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075D" w14:textId="77777777" w:rsidR="00BE3240" w:rsidRDefault="00000000">
      <w:pPr>
        <w:spacing w:after="30"/>
        <w:jc w:val="center"/>
      </w:pPr>
      <w:r>
        <w:rPr>
          <w:rFonts w:eastAsia="Times New Roman"/>
          <w:b/>
          <w:bCs/>
          <w:sz w:val="26"/>
          <w:szCs w:val="26"/>
        </w:rPr>
        <w:t>Quantitative Risk Assessment Using Indicators &amp; Warning (I&amp;W) Analysis</w:t>
      </w:r>
    </w:p>
    <w:p w14:paraId="66586089" w14:textId="77777777" w:rsidR="00BE3240" w:rsidRDefault="00000000">
      <w:pPr>
        <w:spacing w:after="20"/>
        <w:jc w:val="center"/>
      </w:pPr>
      <w:r>
        <w:rPr>
          <w:rFonts w:eastAsia="Times New Roman"/>
          <w:sz w:val="20"/>
          <w:szCs w:val="20"/>
        </w:rPr>
        <w:t xml:space="preserve">Microsoft Cybersecurity Acquisition – </w:t>
      </w:r>
      <w:proofErr w:type="spellStart"/>
      <w:r>
        <w:rPr>
          <w:rFonts w:eastAsia="Times New Roman"/>
          <w:sz w:val="20"/>
          <w:szCs w:val="20"/>
        </w:rPr>
        <w:t>Honglin</w:t>
      </w:r>
      <w:proofErr w:type="spellEnd"/>
      <w:r>
        <w:rPr>
          <w:rFonts w:eastAsia="Times New Roman"/>
          <w:sz w:val="20"/>
          <w:szCs w:val="20"/>
        </w:rPr>
        <w:t xml:space="preserve"> Wang, Chuanli Yang, Raymond Twumasi Opoku – MGMT 6130</w:t>
      </w:r>
    </w:p>
    <w:p w14:paraId="677C5B3B" w14:textId="77777777" w:rsidR="00BE3240" w:rsidRDefault="00000000">
      <w:pPr>
        <w:spacing w:before="100" w:after="40"/>
      </w:pPr>
      <w:r>
        <w:rPr>
          <w:rFonts w:eastAsia="Times New Roman"/>
          <w:b/>
          <w:bCs/>
          <w:sz w:val="24"/>
          <w:szCs w:val="24"/>
        </w:rPr>
        <w:t>Introduction</w:t>
      </w:r>
    </w:p>
    <w:p w14:paraId="28C4E31E" w14:textId="77777777" w:rsidR="00BE3240" w:rsidRDefault="00000000" w:rsidP="00E41B48">
      <w:pPr>
        <w:spacing w:after="40"/>
      </w:pPr>
      <w:r>
        <w:rPr>
          <w:rFonts w:eastAsia="Times New Roman"/>
        </w:rPr>
        <w:t>This report applies quantitative analytics to the three risk areas identified in the prior qualitative assessment of Microsoft’s cybersecurity acquisition: (1) Loss of Cybersecurity Market Share, (2) Critical Data Breach During Platform Integration, and (3) Accelerated Enterprise Customer Acquisition Through Bundled Security Offerings. The Indicators and Warning (I&amp;W) analysis technique serves as the primary framework, supplemented by Monte Carlo simulation (10,000 iterations) and Random Forest machine learning classification. The I&amp;W methodology systematically identifies observable indicators for each risk and establishes threshold-based warning levels that trigger escalating management responses (Grabo et al., 2004). Monte Carlo simulation quantifies the probabilistic range of risk outcomes by sampling from fitted distributions, producing Value-at-Risk (</w:t>
      </w:r>
      <w:proofErr w:type="spellStart"/>
      <w:r>
        <w:rPr>
          <w:rFonts w:eastAsia="Times New Roman"/>
        </w:rPr>
        <w:t>VaR</w:t>
      </w:r>
      <w:proofErr w:type="spellEnd"/>
      <w:r>
        <w:rPr>
          <w:rFonts w:eastAsia="Times New Roman"/>
        </w:rPr>
        <w:t>) estimates at the 95th percentile (Vose, 2008).</w:t>
      </w:r>
    </w:p>
    <w:p w14:paraId="2449B2F8" w14:textId="77777777" w:rsidR="00BE3240" w:rsidRDefault="00000000">
      <w:pPr>
        <w:spacing w:before="100" w:after="40"/>
      </w:pPr>
      <w:r>
        <w:rPr>
          <w:rFonts w:eastAsia="Times New Roman"/>
          <w:b/>
          <w:bCs/>
          <w:sz w:val="24"/>
          <w:szCs w:val="24"/>
        </w:rPr>
        <w:t>Methodology</w:t>
      </w:r>
    </w:p>
    <w:p w14:paraId="3A6388FE" w14:textId="77777777" w:rsidR="00BE3240" w:rsidRDefault="00000000">
      <w:pPr>
        <w:spacing w:before="60" w:after="30"/>
      </w:pPr>
      <w:r>
        <w:rPr>
          <w:rFonts w:eastAsia="Times New Roman"/>
          <w:b/>
          <w:bCs/>
        </w:rPr>
        <w:t>Step 1: Indicator Identification and Scoring</w:t>
      </w:r>
    </w:p>
    <w:p w14:paraId="178B5B42" w14:textId="77777777" w:rsidR="00BE3240" w:rsidRDefault="00000000" w:rsidP="00E41B48">
      <w:pPr>
        <w:spacing w:after="40"/>
      </w:pPr>
      <w:r>
        <w:rPr>
          <w:rFonts w:eastAsia="Times New Roman"/>
        </w:rPr>
        <w:t>Five quantitative indicators were selected per risk area based on observability and relevance. Market share risks were tracked through customer churn rate, competitor launch frequency, NPS trends, market share changes, and R&amp;D investment ratios. Data breach risks were monitored via unresolved vulnerability counts, failed penetration test findings, mean time to detect anomalies, unauthorized access frequency, and integration milestone completion. Enterprise acquisition risks used pipeline conversion rates, onboarding capacity utilization, bundle attach rates, satisfaction scores, and revenue-per-client trends. Each indicator was scored 1–5 (1 = minimal concern, 5 = critical). Composite I&amp;W scores were computed as the arithmetic mean across all indicators per risk area (NIST, 2018).</w:t>
      </w:r>
    </w:p>
    <w:p w14:paraId="5838A46E" w14:textId="77777777" w:rsidR="00BE3240" w:rsidRDefault="00000000">
      <w:pPr>
        <w:spacing w:before="60" w:after="30"/>
      </w:pPr>
      <w:r>
        <w:rPr>
          <w:rFonts w:eastAsia="Times New Roman"/>
          <w:b/>
          <w:bCs/>
        </w:rPr>
        <w:t>Step 2: Warning Threshold Calibration</w:t>
      </w:r>
    </w:p>
    <w:p w14:paraId="1008E54F" w14:textId="77777777" w:rsidR="00BE3240" w:rsidRDefault="00000000" w:rsidP="00E41B48">
      <w:pPr>
        <w:spacing w:after="40"/>
      </w:pPr>
      <w:r>
        <w:rPr>
          <w:rFonts w:eastAsia="Times New Roman"/>
        </w:rPr>
        <w:t xml:space="preserve">Warning thresholds were established at: Green (All Clear) for composite scores below 3.0, Yellow (Caution) for 3.0–3.99, and Red (Critical) at 4.0 or above. These were </w:t>
      </w:r>
      <w:proofErr w:type="gramStart"/>
      <w:r>
        <w:rPr>
          <w:rFonts w:eastAsia="Times New Roman"/>
        </w:rPr>
        <w:t>cross-validated</w:t>
      </w:r>
      <w:proofErr w:type="gramEnd"/>
      <w:r>
        <w:rPr>
          <w:rFonts w:eastAsia="Times New Roman"/>
        </w:rPr>
        <w:t xml:space="preserve"> against quartile boundaries of observed risk scores from the risk register (Grabo et al., 2004).</w:t>
      </w:r>
    </w:p>
    <w:p w14:paraId="4051B6E8" w14:textId="77777777" w:rsidR="00BE3240" w:rsidRDefault="00000000">
      <w:pPr>
        <w:spacing w:before="60" w:after="30"/>
      </w:pPr>
      <w:r>
        <w:rPr>
          <w:rFonts w:eastAsia="Times New Roman"/>
          <w:b/>
          <w:bCs/>
        </w:rPr>
        <w:t>Step 3: Monte Carlo Simulation</w:t>
      </w:r>
    </w:p>
    <w:p w14:paraId="19E2A665" w14:textId="77777777" w:rsidR="00BE3240" w:rsidRDefault="00000000" w:rsidP="00E41B48">
      <w:pPr>
        <w:spacing w:after="40"/>
      </w:pPr>
      <w:r>
        <w:rPr>
          <w:rFonts w:eastAsia="Times New Roman"/>
        </w:rPr>
        <w:t>For each risk area, 10,000 iterations sampled Likelihood and Impact from truncated normal distributions fitted to the observed data. The product yielded risk score distributions from which mean, 5th/95th percentiles, and the probability of exceeding the High threshold (score ≥ 40) were computed (Vose, 2008).</w:t>
      </w:r>
    </w:p>
    <w:p w14:paraId="27162871" w14:textId="77777777" w:rsidR="00BE3240" w:rsidRDefault="00000000">
      <w:pPr>
        <w:spacing w:before="60" w:after="30"/>
      </w:pPr>
      <w:r>
        <w:rPr>
          <w:rFonts w:eastAsia="Times New Roman"/>
          <w:b/>
          <w:bCs/>
        </w:rPr>
        <w:t>Step 4: Machine Learning Validation</w:t>
      </w:r>
    </w:p>
    <w:p w14:paraId="181A2FED" w14:textId="77777777" w:rsidR="00BE3240" w:rsidRDefault="00000000" w:rsidP="00E41B48">
      <w:pPr>
        <w:spacing w:after="40"/>
      </w:pPr>
      <w:r>
        <w:rPr>
          <w:rFonts w:eastAsia="Times New Roman"/>
        </w:rPr>
        <w:t>A Random Forest classifier was enhanced with Monte Carlo-derived features (area mean, standard deviation, probability of High) alongside Likelihood and Impact scores. Stratified 3-fold cross-validation confirmed 88% accuracy with a weighted F1-score of 0.89 (</w:t>
      </w:r>
      <w:proofErr w:type="spellStart"/>
      <w:r>
        <w:rPr>
          <w:rFonts w:eastAsia="Times New Roman"/>
        </w:rPr>
        <w:t>Breiman</w:t>
      </w:r>
      <w:proofErr w:type="spellEnd"/>
      <w:r>
        <w:rPr>
          <w:rFonts w:eastAsia="Times New Roman"/>
        </w:rPr>
        <w:t>, 2001).</w:t>
      </w:r>
    </w:p>
    <w:p w14:paraId="3FAD4567" w14:textId="77777777" w:rsidR="00BE3240" w:rsidRDefault="00000000">
      <w:pPr>
        <w:spacing w:before="100" w:after="40"/>
      </w:pPr>
      <w:r>
        <w:rPr>
          <w:rFonts w:eastAsia="Times New Roman"/>
          <w:b/>
          <w:bCs/>
          <w:sz w:val="24"/>
          <w:szCs w:val="24"/>
        </w:rPr>
        <w:t>Results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00"/>
        <w:gridCol w:w="1100"/>
        <w:gridCol w:w="1300"/>
        <w:gridCol w:w="1000"/>
        <w:gridCol w:w="1000"/>
        <w:gridCol w:w="1360"/>
      </w:tblGrid>
      <w:tr w:rsidR="00BE3240" w14:paraId="4EE2CD1E"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shd w:val="clear" w:color="auto" w:fill="2F5496"/>
            <w:tcMar>
              <w:top w:w="20" w:type="dxa"/>
              <w:left w:w="60" w:type="dxa"/>
              <w:bottom w:w="20" w:type="dxa"/>
              <w:right w:w="60" w:type="dxa"/>
            </w:tcMar>
          </w:tcPr>
          <w:p w14:paraId="754C63FF" w14:textId="77777777" w:rsidR="00BE3240" w:rsidRDefault="00000000">
            <w:pPr>
              <w:jc w:val="center"/>
            </w:pPr>
            <w:r>
              <w:rPr>
                <w:rFonts w:eastAsia="Times New Roman"/>
                <w:b/>
                <w:bCs/>
                <w:color w:val="FFFFFF"/>
                <w:sz w:val="18"/>
                <w:szCs w:val="18"/>
              </w:rPr>
              <w:t>Risk Area</w:t>
            </w:r>
          </w:p>
        </w:tc>
        <w:tc>
          <w:tcPr>
            <w:tcW w:w="1100" w:type="dxa"/>
            <w:tcBorders>
              <w:top w:val="single" w:sz="1" w:space="0" w:color="999999"/>
              <w:left w:val="single" w:sz="1" w:space="0" w:color="999999"/>
              <w:bottom w:val="single" w:sz="1" w:space="0" w:color="999999"/>
              <w:right w:val="single" w:sz="1" w:space="0" w:color="999999"/>
            </w:tcBorders>
            <w:shd w:val="clear" w:color="auto" w:fill="2F5496"/>
            <w:tcMar>
              <w:top w:w="20" w:type="dxa"/>
              <w:left w:w="60" w:type="dxa"/>
              <w:bottom w:w="20" w:type="dxa"/>
              <w:right w:w="60" w:type="dxa"/>
            </w:tcMar>
          </w:tcPr>
          <w:p w14:paraId="0EA516D7" w14:textId="77777777" w:rsidR="00BE3240" w:rsidRDefault="00000000">
            <w:pPr>
              <w:jc w:val="center"/>
            </w:pPr>
            <w:r>
              <w:rPr>
                <w:rFonts w:eastAsia="Times New Roman"/>
                <w:b/>
                <w:bCs/>
                <w:color w:val="FFFFFF"/>
                <w:sz w:val="18"/>
                <w:szCs w:val="18"/>
              </w:rPr>
              <w:t>Avg Score</w:t>
            </w:r>
          </w:p>
        </w:tc>
        <w:tc>
          <w:tcPr>
            <w:tcW w:w="1100" w:type="dxa"/>
            <w:tcBorders>
              <w:top w:val="single" w:sz="1" w:space="0" w:color="999999"/>
              <w:left w:val="single" w:sz="1" w:space="0" w:color="999999"/>
              <w:bottom w:val="single" w:sz="1" w:space="0" w:color="999999"/>
              <w:right w:val="single" w:sz="1" w:space="0" w:color="999999"/>
            </w:tcBorders>
            <w:shd w:val="clear" w:color="auto" w:fill="2F5496"/>
            <w:tcMar>
              <w:top w:w="20" w:type="dxa"/>
              <w:left w:w="60" w:type="dxa"/>
              <w:bottom w:w="20" w:type="dxa"/>
              <w:right w:w="60" w:type="dxa"/>
            </w:tcMar>
          </w:tcPr>
          <w:p w14:paraId="6E69EA7A" w14:textId="77777777" w:rsidR="00BE3240" w:rsidRDefault="00000000">
            <w:pPr>
              <w:jc w:val="center"/>
            </w:pPr>
            <w:r>
              <w:rPr>
                <w:rFonts w:eastAsia="Times New Roman"/>
                <w:b/>
                <w:bCs/>
                <w:color w:val="FFFFFF"/>
                <w:sz w:val="18"/>
                <w:szCs w:val="18"/>
              </w:rPr>
              <w:t>MC Mean</w:t>
            </w:r>
          </w:p>
        </w:tc>
        <w:tc>
          <w:tcPr>
            <w:tcW w:w="1300" w:type="dxa"/>
            <w:tcBorders>
              <w:top w:val="single" w:sz="1" w:space="0" w:color="999999"/>
              <w:left w:val="single" w:sz="1" w:space="0" w:color="999999"/>
              <w:bottom w:val="single" w:sz="1" w:space="0" w:color="999999"/>
              <w:right w:val="single" w:sz="1" w:space="0" w:color="999999"/>
            </w:tcBorders>
            <w:shd w:val="clear" w:color="auto" w:fill="2F5496"/>
            <w:tcMar>
              <w:top w:w="20" w:type="dxa"/>
              <w:left w:w="60" w:type="dxa"/>
              <w:bottom w:w="20" w:type="dxa"/>
              <w:right w:w="60" w:type="dxa"/>
            </w:tcMar>
          </w:tcPr>
          <w:p w14:paraId="7055493F" w14:textId="77777777" w:rsidR="00BE3240" w:rsidRDefault="00000000">
            <w:pPr>
              <w:jc w:val="center"/>
            </w:pPr>
            <w:r>
              <w:rPr>
                <w:rFonts w:eastAsia="Times New Roman"/>
                <w:b/>
                <w:bCs/>
                <w:color w:val="FFFFFF"/>
                <w:sz w:val="18"/>
                <w:szCs w:val="18"/>
              </w:rPr>
              <w:t xml:space="preserve">MC </w:t>
            </w:r>
            <w:proofErr w:type="spellStart"/>
            <w:proofErr w:type="gramStart"/>
            <w:r>
              <w:rPr>
                <w:rFonts w:eastAsia="Times New Roman"/>
                <w:b/>
                <w:bCs/>
                <w:color w:val="FFFFFF"/>
                <w:sz w:val="18"/>
                <w:szCs w:val="18"/>
              </w:rPr>
              <w:t>VaR</w:t>
            </w:r>
            <w:proofErr w:type="spellEnd"/>
            <w:r>
              <w:rPr>
                <w:rFonts w:eastAsia="Times New Roman"/>
                <w:b/>
                <w:bCs/>
                <w:color w:val="FFFFFF"/>
                <w:sz w:val="18"/>
                <w:szCs w:val="18"/>
              </w:rPr>
              <w:t>(</w:t>
            </w:r>
            <w:proofErr w:type="gramEnd"/>
            <w:r>
              <w:rPr>
                <w:rFonts w:eastAsia="Times New Roman"/>
                <w:b/>
                <w:bCs/>
                <w:color w:val="FFFFFF"/>
                <w:sz w:val="18"/>
                <w:szCs w:val="18"/>
              </w:rPr>
              <w:t>95%)</w:t>
            </w:r>
          </w:p>
        </w:tc>
        <w:tc>
          <w:tcPr>
            <w:tcW w:w="1000" w:type="dxa"/>
            <w:tcBorders>
              <w:top w:val="single" w:sz="1" w:space="0" w:color="999999"/>
              <w:left w:val="single" w:sz="1" w:space="0" w:color="999999"/>
              <w:bottom w:val="single" w:sz="1" w:space="0" w:color="999999"/>
              <w:right w:val="single" w:sz="1" w:space="0" w:color="999999"/>
            </w:tcBorders>
            <w:shd w:val="clear" w:color="auto" w:fill="2F5496"/>
            <w:tcMar>
              <w:top w:w="20" w:type="dxa"/>
              <w:left w:w="60" w:type="dxa"/>
              <w:bottom w:w="20" w:type="dxa"/>
              <w:right w:w="60" w:type="dxa"/>
            </w:tcMar>
          </w:tcPr>
          <w:p w14:paraId="12E7EAB4" w14:textId="77777777" w:rsidR="00BE3240" w:rsidRDefault="00000000">
            <w:pPr>
              <w:jc w:val="center"/>
            </w:pPr>
            <w:r>
              <w:rPr>
                <w:rFonts w:eastAsia="Times New Roman"/>
                <w:b/>
                <w:bCs/>
                <w:color w:val="FFFFFF"/>
                <w:sz w:val="18"/>
                <w:szCs w:val="18"/>
              </w:rPr>
              <w:t>P(High)</w:t>
            </w:r>
          </w:p>
        </w:tc>
        <w:tc>
          <w:tcPr>
            <w:tcW w:w="1000" w:type="dxa"/>
            <w:tcBorders>
              <w:top w:val="single" w:sz="1" w:space="0" w:color="999999"/>
              <w:left w:val="single" w:sz="1" w:space="0" w:color="999999"/>
              <w:bottom w:val="single" w:sz="1" w:space="0" w:color="999999"/>
              <w:right w:val="single" w:sz="1" w:space="0" w:color="999999"/>
            </w:tcBorders>
            <w:shd w:val="clear" w:color="auto" w:fill="2F5496"/>
            <w:tcMar>
              <w:top w:w="20" w:type="dxa"/>
              <w:left w:w="60" w:type="dxa"/>
              <w:bottom w:w="20" w:type="dxa"/>
              <w:right w:w="60" w:type="dxa"/>
            </w:tcMar>
          </w:tcPr>
          <w:p w14:paraId="6623B5C2" w14:textId="77777777" w:rsidR="00BE3240" w:rsidRDefault="00000000">
            <w:pPr>
              <w:jc w:val="center"/>
            </w:pPr>
            <w:r>
              <w:rPr>
                <w:rFonts w:eastAsia="Times New Roman"/>
                <w:b/>
                <w:bCs/>
                <w:color w:val="FFFFFF"/>
                <w:sz w:val="18"/>
                <w:szCs w:val="18"/>
              </w:rPr>
              <w:t>I&amp;W</w:t>
            </w:r>
          </w:p>
        </w:tc>
        <w:tc>
          <w:tcPr>
            <w:tcW w:w="1360" w:type="dxa"/>
            <w:tcBorders>
              <w:top w:val="single" w:sz="1" w:space="0" w:color="999999"/>
              <w:left w:val="single" w:sz="1" w:space="0" w:color="999999"/>
              <w:bottom w:val="single" w:sz="1" w:space="0" w:color="999999"/>
              <w:right w:val="single" w:sz="1" w:space="0" w:color="999999"/>
            </w:tcBorders>
            <w:shd w:val="clear" w:color="auto" w:fill="2F5496"/>
            <w:tcMar>
              <w:top w:w="20" w:type="dxa"/>
              <w:left w:w="60" w:type="dxa"/>
              <w:bottom w:w="20" w:type="dxa"/>
              <w:right w:w="60" w:type="dxa"/>
            </w:tcMar>
          </w:tcPr>
          <w:p w14:paraId="0300C06D" w14:textId="77777777" w:rsidR="00BE3240" w:rsidRDefault="00000000">
            <w:pPr>
              <w:jc w:val="center"/>
            </w:pPr>
            <w:r>
              <w:rPr>
                <w:rFonts w:eastAsia="Times New Roman"/>
                <w:b/>
                <w:bCs/>
                <w:color w:val="FFFFFF"/>
                <w:sz w:val="18"/>
                <w:szCs w:val="18"/>
              </w:rPr>
              <w:t>Warning</w:t>
            </w:r>
          </w:p>
        </w:tc>
      </w:tr>
      <w:tr w:rsidR="00BE3240" w14:paraId="6735AFAF"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6DE3E897" w14:textId="77777777" w:rsidR="00BE3240" w:rsidRDefault="00000000">
            <w:pPr>
              <w:jc w:val="center"/>
            </w:pPr>
            <w:r>
              <w:rPr>
                <w:rFonts w:eastAsia="Times New Roman"/>
                <w:color w:val="000000"/>
                <w:sz w:val="18"/>
                <w:szCs w:val="18"/>
              </w:rPr>
              <w:t>Market Share Loss</w:t>
            </w:r>
          </w:p>
        </w:tc>
        <w:tc>
          <w:tcPr>
            <w:tcW w:w="1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5B5EE0E4" w14:textId="77777777" w:rsidR="00BE3240" w:rsidRDefault="00000000">
            <w:pPr>
              <w:jc w:val="center"/>
            </w:pPr>
            <w:r>
              <w:rPr>
                <w:rFonts w:eastAsia="Times New Roman"/>
                <w:color w:val="000000"/>
                <w:sz w:val="18"/>
                <w:szCs w:val="18"/>
              </w:rPr>
              <w:t>66.5</w:t>
            </w:r>
          </w:p>
        </w:tc>
        <w:tc>
          <w:tcPr>
            <w:tcW w:w="1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61E6645E" w14:textId="77777777" w:rsidR="00BE3240" w:rsidRDefault="00000000">
            <w:pPr>
              <w:jc w:val="center"/>
            </w:pPr>
            <w:r>
              <w:rPr>
                <w:rFonts w:eastAsia="Times New Roman"/>
                <w:color w:val="000000"/>
                <w:sz w:val="18"/>
                <w:szCs w:val="18"/>
              </w:rPr>
              <w:t>65.2</w:t>
            </w:r>
          </w:p>
        </w:tc>
        <w:tc>
          <w:tcPr>
            <w:tcW w:w="13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5EA5464F" w14:textId="77777777" w:rsidR="00BE3240" w:rsidRDefault="00000000">
            <w:pPr>
              <w:jc w:val="center"/>
            </w:pPr>
            <w:r>
              <w:rPr>
                <w:rFonts w:eastAsia="Times New Roman"/>
                <w:color w:val="000000"/>
                <w:sz w:val="18"/>
                <w:szCs w:val="18"/>
              </w:rPr>
              <w:t>86.6</w:t>
            </w:r>
          </w:p>
        </w:tc>
        <w:tc>
          <w:tcPr>
            <w:tcW w:w="10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05872E94" w14:textId="77777777" w:rsidR="00BE3240" w:rsidRDefault="00000000">
            <w:pPr>
              <w:jc w:val="center"/>
            </w:pPr>
            <w:r>
              <w:rPr>
                <w:rFonts w:eastAsia="Times New Roman"/>
                <w:color w:val="000000"/>
                <w:sz w:val="18"/>
                <w:szCs w:val="18"/>
              </w:rPr>
              <w:t>98.4%</w:t>
            </w:r>
          </w:p>
        </w:tc>
        <w:tc>
          <w:tcPr>
            <w:tcW w:w="10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2E128A21" w14:textId="77777777" w:rsidR="00BE3240" w:rsidRDefault="00000000">
            <w:pPr>
              <w:jc w:val="center"/>
            </w:pPr>
            <w:r>
              <w:rPr>
                <w:rFonts w:eastAsia="Times New Roman"/>
                <w:color w:val="000000"/>
                <w:sz w:val="18"/>
                <w:szCs w:val="18"/>
              </w:rPr>
              <w:t>3.40</w:t>
            </w:r>
          </w:p>
        </w:tc>
        <w:tc>
          <w:tcPr>
            <w:tcW w:w="136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1849EDD4" w14:textId="77777777" w:rsidR="00BE3240" w:rsidRDefault="00000000">
            <w:pPr>
              <w:jc w:val="center"/>
            </w:pPr>
            <w:r>
              <w:rPr>
                <w:rFonts w:eastAsia="Times New Roman"/>
                <w:color w:val="000000"/>
                <w:sz w:val="18"/>
                <w:szCs w:val="18"/>
              </w:rPr>
              <w:t>YELLOW</w:t>
            </w:r>
          </w:p>
        </w:tc>
      </w:tr>
      <w:tr w:rsidR="00BE3240" w14:paraId="3A895531"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11A1CC55" w14:textId="77777777" w:rsidR="00BE3240" w:rsidRDefault="00000000">
            <w:pPr>
              <w:jc w:val="center"/>
            </w:pPr>
            <w:r>
              <w:rPr>
                <w:rFonts w:eastAsia="Times New Roman"/>
                <w:color w:val="000000"/>
                <w:sz w:val="18"/>
                <w:szCs w:val="18"/>
              </w:rPr>
              <w:t>Data Breach</w:t>
            </w:r>
          </w:p>
        </w:tc>
        <w:tc>
          <w:tcPr>
            <w:tcW w:w="1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072880BF" w14:textId="77777777" w:rsidR="00BE3240" w:rsidRDefault="00000000">
            <w:pPr>
              <w:jc w:val="center"/>
            </w:pPr>
            <w:r>
              <w:rPr>
                <w:rFonts w:eastAsia="Times New Roman"/>
                <w:color w:val="000000"/>
                <w:sz w:val="18"/>
                <w:szCs w:val="18"/>
              </w:rPr>
              <w:t>75.8</w:t>
            </w:r>
          </w:p>
        </w:tc>
        <w:tc>
          <w:tcPr>
            <w:tcW w:w="1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37DFC4C7" w14:textId="77777777" w:rsidR="00BE3240" w:rsidRDefault="00000000">
            <w:pPr>
              <w:jc w:val="center"/>
            </w:pPr>
            <w:r>
              <w:rPr>
                <w:rFonts w:eastAsia="Times New Roman"/>
                <w:color w:val="000000"/>
                <w:sz w:val="18"/>
                <w:szCs w:val="18"/>
              </w:rPr>
              <w:t>74.6</w:t>
            </w:r>
          </w:p>
        </w:tc>
        <w:tc>
          <w:tcPr>
            <w:tcW w:w="13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1E8CD246" w14:textId="77777777" w:rsidR="00BE3240" w:rsidRDefault="00000000">
            <w:pPr>
              <w:jc w:val="center"/>
            </w:pPr>
            <w:r>
              <w:rPr>
                <w:rFonts w:eastAsia="Times New Roman"/>
                <w:color w:val="000000"/>
                <w:sz w:val="18"/>
                <w:szCs w:val="18"/>
              </w:rPr>
              <w:t>95.4</w:t>
            </w:r>
          </w:p>
        </w:tc>
        <w:tc>
          <w:tcPr>
            <w:tcW w:w="10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1B6B81F4" w14:textId="77777777" w:rsidR="00BE3240" w:rsidRDefault="00000000">
            <w:pPr>
              <w:jc w:val="center"/>
            </w:pPr>
            <w:r>
              <w:rPr>
                <w:rFonts w:eastAsia="Times New Roman"/>
                <w:color w:val="000000"/>
                <w:sz w:val="18"/>
                <w:szCs w:val="18"/>
              </w:rPr>
              <w:t>100%</w:t>
            </w:r>
          </w:p>
        </w:tc>
        <w:tc>
          <w:tcPr>
            <w:tcW w:w="10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06651BCD" w14:textId="77777777" w:rsidR="00BE3240" w:rsidRDefault="00000000">
            <w:pPr>
              <w:jc w:val="center"/>
            </w:pPr>
            <w:r>
              <w:rPr>
                <w:rFonts w:eastAsia="Times New Roman"/>
                <w:color w:val="000000"/>
                <w:sz w:val="18"/>
                <w:szCs w:val="18"/>
              </w:rPr>
              <w:t>4.00</w:t>
            </w:r>
          </w:p>
        </w:tc>
        <w:tc>
          <w:tcPr>
            <w:tcW w:w="136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6FE836C0" w14:textId="77777777" w:rsidR="00BE3240" w:rsidRDefault="00000000">
            <w:pPr>
              <w:jc w:val="center"/>
            </w:pPr>
            <w:r>
              <w:rPr>
                <w:rFonts w:eastAsia="Times New Roman"/>
                <w:color w:val="000000"/>
                <w:sz w:val="18"/>
                <w:szCs w:val="18"/>
              </w:rPr>
              <w:t>RED</w:t>
            </w:r>
          </w:p>
        </w:tc>
      </w:tr>
      <w:tr w:rsidR="00BE3240" w14:paraId="3B856E71"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419612F1" w14:textId="77777777" w:rsidR="00BE3240" w:rsidRDefault="00000000">
            <w:pPr>
              <w:jc w:val="center"/>
            </w:pPr>
            <w:r>
              <w:rPr>
                <w:rFonts w:eastAsia="Times New Roman"/>
                <w:color w:val="000000"/>
                <w:sz w:val="18"/>
                <w:szCs w:val="18"/>
              </w:rPr>
              <w:t xml:space="preserve">Enterprise </w:t>
            </w:r>
            <w:proofErr w:type="spellStart"/>
            <w:r>
              <w:rPr>
                <w:rFonts w:eastAsia="Times New Roman"/>
                <w:color w:val="000000"/>
                <w:sz w:val="18"/>
                <w:szCs w:val="18"/>
              </w:rPr>
              <w:t>Acq</w:t>
            </w:r>
            <w:proofErr w:type="spellEnd"/>
            <w:r>
              <w:rPr>
                <w:rFonts w:eastAsia="Times New Roman"/>
                <w:color w:val="000000"/>
                <w:sz w:val="18"/>
                <w:szCs w:val="18"/>
              </w:rPr>
              <w:t>.</w:t>
            </w:r>
          </w:p>
        </w:tc>
        <w:tc>
          <w:tcPr>
            <w:tcW w:w="1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35616EBC" w14:textId="77777777" w:rsidR="00BE3240" w:rsidRDefault="00000000">
            <w:pPr>
              <w:jc w:val="center"/>
            </w:pPr>
            <w:r>
              <w:rPr>
                <w:rFonts w:eastAsia="Times New Roman"/>
                <w:color w:val="000000"/>
                <w:sz w:val="18"/>
                <w:szCs w:val="18"/>
              </w:rPr>
              <w:t>57.2</w:t>
            </w:r>
          </w:p>
        </w:tc>
        <w:tc>
          <w:tcPr>
            <w:tcW w:w="11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75E1EB33" w14:textId="77777777" w:rsidR="00BE3240" w:rsidRDefault="00000000">
            <w:pPr>
              <w:jc w:val="center"/>
            </w:pPr>
            <w:r>
              <w:rPr>
                <w:rFonts w:eastAsia="Times New Roman"/>
                <w:color w:val="000000"/>
                <w:sz w:val="18"/>
                <w:szCs w:val="18"/>
              </w:rPr>
              <w:t>55.4</w:t>
            </w:r>
          </w:p>
        </w:tc>
        <w:tc>
          <w:tcPr>
            <w:tcW w:w="13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7708F99C" w14:textId="77777777" w:rsidR="00BE3240" w:rsidRDefault="00000000">
            <w:pPr>
              <w:jc w:val="center"/>
            </w:pPr>
            <w:r>
              <w:rPr>
                <w:rFonts w:eastAsia="Times New Roman"/>
                <w:color w:val="000000"/>
                <w:sz w:val="18"/>
                <w:szCs w:val="18"/>
              </w:rPr>
              <w:t>79.0</w:t>
            </w:r>
          </w:p>
        </w:tc>
        <w:tc>
          <w:tcPr>
            <w:tcW w:w="10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2E5CE011" w14:textId="77777777" w:rsidR="00BE3240" w:rsidRDefault="00000000">
            <w:pPr>
              <w:jc w:val="center"/>
            </w:pPr>
            <w:r>
              <w:rPr>
                <w:rFonts w:eastAsia="Times New Roman"/>
                <w:color w:val="000000"/>
                <w:sz w:val="18"/>
                <w:szCs w:val="18"/>
              </w:rPr>
              <w:t>86.5%</w:t>
            </w:r>
          </w:p>
        </w:tc>
        <w:tc>
          <w:tcPr>
            <w:tcW w:w="100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3C0CB289" w14:textId="77777777" w:rsidR="00BE3240" w:rsidRDefault="00000000">
            <w:pPr>
              <w:jc w:val="center"/>
            </w:pPr>
            <w:r>
              <w:rPr>
                <w:rFonts w:eastAsia="Times New Roman"/>
                <w:color w:val="000000"/>
                <w:sz w:val="18"/>
                <w:szCs w:val="18"/>
              </w:rPr>
              <w:t>2.40</w:t>
            </w:r>
          </w:p>
        </w:tc>
        <w:tc>
          <w:tcPr>
            <w:tcW w:w="1360" w:type="dxa"/>
            <w:tcBorders>
              <w:top w:val="single" w:sz="1" w:space="0" w:color="999999"/>
              <w:left w:val="single" w:sz="1" w:space="0" w:color="999999"/>
              <w:bottom w:val="single" w:sz="1" w:space="0" w:color="999999"/>
              <w:right w:val="single" w:sz="1" w:space="0" w:color="999999"/>
            </w:tcBorders>
            <w:tcMar>
              <w:top w:w="20" w:type="dxa"/>
              <w:left w:w="60" w:type="dxa"/>
              <w:bottom w:w="20" w:type="dxa"/>
              <w:right w:w="60" w:type="dxa"/>
            </w:tcMar>
          </w:tcPr>
          <w:p w14:paraId="4E29FAC0" w14:textId="77777777" w:rsidR="00BE3240" w:rsidRDefault="00000000">
            <w:pPr>
              <w:jc w:val="center"/>
            </w:pPr>
            <w:r>
              <w:rPr>
                <w:rFonts w:eastAsia="Times New Roman"/>
                <w:color w:val="000000"/>
                <w:sz w:val="18"/>
                <w:szCs w:val="18"/>
              </w:rPr>
              <w:t>GREEN</w:t>
            </w:r>
          </w:p>
        </w:tc>
      </w:tr>
    </w:tbl>
    <w:p w14:paraId="08EAC4F6" w14:textId="77777777" w:rsidR="00BE3240" w:rsidRDefault="00000000">
      <w:pPr>
        <w:spacing w:before="20" w:after="60"/>
        <w:jc w:val="center"/>
      </w:pPr>
      <w:r>
        <w:rPr>
          <w:rFonts w:eastAsia="Times New Roman"/>
          <w:i/>
          <w:iCs/>
          <w:sz w:val="18"/>
          <w:szCs w:val="18"/>
        </w:rPr>
        <w:t>Table 1</w:t>
      </w:r>
      <w:r>
        <w:rPr>
          <w:rFonts w:eastAsia="Times New Roman"/>
          <w:sz w:val="18"/>
          <w:szCs w:val="18"/>
        </w:rPr>
        <w:t>. Quantitative Risk Assessment Summary.</w:t>
      </w:r>
    </w:p>
    <w:p w14:paraId="3192D807" w14:textId="77777777" w:rsidR="00BE3240" w:rsidRDefault="00000000" w:rsidP="00E41B48">
      <w:pPr>
        <w:spacing w:after="40"/>
      </w:pPr>
      <w:r>
        <w:rPr>
          <w:rFonts w:eastAsia="Times New Roman"/>
        </w:rPr>
        <w:t xml:space="preserve">Data Breach received a Red I&amp;W warning (composite 4.00), driven by 18 unresolved vulnerabilities and critical penetration test failures. Monte Carlo confirmed 100% probability of exceeding the High threshold, with a 95th-percentile </w:t>
      </w:r>
      <w:proofErr w:type="spellStart"/>
      <w:r>
        <w:rPr>
          <w:rFonts w:eastAsia="Times New Roman"/>
        </w:rPr>
        <w:t>VaR</w:t>
      </w:r>
      <w:proofErr w:type="spellEnd"/>
      <w:r>
        <w:rPr>
          <w:rFonts w:eastAsia="Times New Roman"/>
        </w:rPr>
        <w:t xml:space="preserve"> of 95.4. Market Share Loss received Yellow (3.40), reflecting elevated churn signals and competitive pressure, with 98.4% High probability. Enterprise Acquisition achieved Green (2.40); however, Monte Carlo reveals 86.5% High probability, indicating the underlying score distribution still warrants monitoring despite favorable current indicators.</w:t>
      </w:r>
    </w:p>
    <w:p w14:paraId="69764308" w14:textId="77777777" w:rsidR="00BE3240" w:rsidRDefault="00000000">
      <w:pPr>
        <w:spacing w:before="40" w:after="20"/>
        <w:jc w:val="center"/>
      </w:pPr>
      <w:r>
        <w:rPr>
          <w:noProof/>
        </w:rPr>
        <w:lastRenderedPageBreak/>
        <w:drawing>
          <wp:inline distT="0" distB="0" distL="0" distR="0" wp14:anchorId="09C3A953" wp14:editId="32438B1A">
            <wp:extent cx="4762500"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323975"/>
                    </a:xfrm>
                    <a:prstGeom prst="rect">
                      <a:avLst/>
                    </a:prstGeom>
                  </pic:spPr>
                </pic:pic>
              </a:graphicData>
            </a:graphic>
          </wp:inline>
        </w:drawing>
      </w:r>
    </w:p>
    <w:p w14:paraId="78F67679" w14:textId="77777777" w:rsidR="00BE3240" w:rsidRDefault="00000000">
      <w:pPr>
        <w:spacing w:after="40"/>
        <w:jc w:val="center"/>
      </w:pPr>
      <w:r>
        <w:rPr>
          <w:rFonts w:eastAsia="Times New Roman"/>
          <w:i/>
          <w:iCs/>
          <w:sz w:val="18"/>
          <w:szCs w:val="18"/>
        </w:rPr>
        <w:t>Figure 1</w:t>
      </w:r>
      <w:r>
        <w:rPr>
          <w:rFonts w:eastAsia="Times New Roman"/>
          <w:sz w:val="18"/>
          <w:szCs w:val="18"/>
        </w:rPr>
        <w:t>. Monte Carlo Risk Score Distributions (n = 10,000).</w:t>
      </w:r>
    </w:p>
    <w:p w14:paraId="222C07BB" w14:textId="77777777" w:rsidR="00BE3240" w:rsidRDefault="00000000">
      <w:pPr>
        <w:spacing w:before="20" w:after="20"/>
        <w:jc w:val="center"/>
      </w:pPr>
      <w:r>
        <w:rPr>
          <w:noProof/>
        </w:rPr>
        <w:drawing>
          <wp:inline distT="0" distB="0" distL="0" distR="0" wp14:anchorId="643C35E4" wp14:editId="74EC56AC">
            <wp:extent cx="3810000" cy="2286000"/>
            <wp:effectExtent l="0" t="0" r="0" b="0"/>
            <wp:docPr id="1752988014" name="Picture 1752988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286000"/>
                    </a:xfrm>
                    <a:prstGeom prst="rect">
                      <a:avLst/>
                    </a:prstGeom>
                  </pic:spPr>
                </pic:pic>
              </a:graphicData>
            </a:graphic>
          </wp:inline>
        </w:drawing>
      </w:r>
    </w:p>
    <w:p w14:paraId="0E314982" w14:textId="77777777" w:rsidR="00BE3240" w:rsidRDefault="00000000">
      <w:pPr>
        <w:spacing w:after="40"/>
        <w:jc w:val="center"/>
      </w:pPr>
      <w:r>
        <w:rPr>
          <w:rFonts w:eastAsia="Times New Roman"/>
          <w:i/>
          <w:iCs/>
          <w:sz w:val="18"/>
          <w:szCs w:val="18"/>
        </w:rPr>
        <w:t>Figure 2</w:t>
      </w:r>
      <w:r>
        <w:rPr>
          <w:rFonts w:eastAsia="Times New Roman"/>
          <w:sz w:val="18"/>
          <w:szCs w:val="18"/>
        </w:rPr>
        <w:t>. I&amp;W Composite Warning Scores by Risk Area.</w:t>
      </w:r>
    </w:p>
    <w:p w14:paraId="13DDB906" w14:textId="77777777" w:rsidR="00BE3240" w:rsidRDefault="00000000">
      <w:pPr>
        <w:spacing w:before="100" w:after="40"/>
      </w:pPr>
      <w:r>
        <w:rPr>
          <w:rFonts w:eastAsia="Times New Roman"/>
          <w:b/>
          <w:bCs/>
          <w:sz w:val="24"/>
          <w:szCs w:val="24"/>
        </w:rPr>
        <w:t>Conclusion</w:t>
      </w:r>
    </w:p>
    <w:p w14:paraId="3C0FE8E2" w14:textId="77777777" w:rsidR="00BE3240" w:rsidRDefault="00000000" w:rsidP="00E41B48">
      <w:pPr>
        <w:spacing w:after="40"/>
      </w:pPr>
      <w:r>
        <w:rPr>
          <w:rFonts w:eastAsia="Times New Roman"/>
        </w:rPr>
        <w:t xml:space="preserve">The I&amp;W quantitative assessment confirms Data Breach During Platform Integration demands immediate intervention (Red), Market Share Loss requires heightened vigilance (Yellow), and Enterprise Acquisition shows favorable current indicators (Green). Monte Carlo </w:t>
      </w:r>
      <w:proofErr w:type="spellStart"/>
      <w:r>
        <w:rPr>
          <w:rFonts w:eastAsia="Times New Roman"/>
        </w:rPr>
        <w:t>VaR</w:t>
      </w:r>
      <w:proofErr w:type="spellEnd"/>
      <w:r>
        <w:rPr>
          <w:rFonts w:eastAsia="Times New Roman"/>
        </w:rPr>
        <w:t xml:space="preserve"> estimates enable leadership to allocate mitigation budgets proportional to tail-risk exposure. The ML validation (88% accuracy, F1 = 0.89) confirms the combined qualitative–quantitative framework produces reliable classifications (COSO, 2017). These results have been integrated into the updated Risk Register.</w:t>
      </w:r>
    </w:p>
    <w:p w14:paraId="4965E770" w14:textId="77777777" w:rsidR="00BE3240" w:rsidRDefault="00000000">
      <w:pPr>
        <w:spacing w:before="100" w:after="40"/>
      </w:pPr>
      <w:r>
        <w:rPr>
          <w:rFonts w:eastAsia="Times New Roman"/>
          <w:b/>
          <w:bCs/>
          <w:sz w:val="24"/>
          <w:szCs w:val="24"/>
        </w:rPr>
        <w:t>References</w:t>
      </w:r>
    </w:p>
    <w:p w14:paraId="656C9C83" w14:textId="77777777" w:rsidR="00BE3240" w:rsidRDefault="00000000">
      <w:pPr>
        <w:spacing w:after="30"/>
        <w:ind w:left="480" w:hanging="480"/>
      </w:pPr>
      <w:proofErr w:type="spellStart"/>
      <w:r>
        <w:rPr>
          <w:rFonts w:eastAsia="Times New Roman"/>
          <w:sz w:val="20"/>
          <w:szCs w:val="20"/>
        </w:rPr>
        <w:t>Breiman</w:t>
      </w:r>
      <w:proofErr w:type="spellEnd"/>
      <w:r>
        <w:rPr>
          <w:rFonts w:eastAsia="Times New Roman"/>
          <w:sz w:val="20"/>
          <w:szCs w:val="20"/>
        </w:rPr>
        <w:t>, L. (2001). Random forests. Machine Learning, 45(1), 5–32.</w:t>
      </w:r>
    </w:p>
    <w:p w14:paraId="12BD2BDA" w14:textId="77777777" w:rsidR="00BE3240" w:rsidRDefault="00000000">
      <w:pPr>
        <w:spacing w:after="30"/>
        <w:ind w:left="480" w:hanging="480"/>
      </w:pPr>
      <w:r>
        <w:rPr>
          <w:rFonts w:eastAsia="Times New Roman"/>
          <w:sz w:val="20"/>
          <w:szCs w:val="20"/>
        </w:rPr>
        <w:t>COSO. (2017). Enterprise risk management—Integrating with strategy and performance.</w:t>
      </w:r>
    </w:p>
    <w:p w14:paraId="7E481100" w14:textId="77777777" w:rsidR="00BE3240" w:rsidRDefault="00000000">
      <w:pPr>
        <w:spacing w:after="30"/>
        <w:ind w:left="480" w:hanging="480"/>
      </w:pPr>
      <w:r>
        <w:rPr>
          <w:rFonts w:eastAsia="Times New Roman"/>
          <w:sz w:val="20"/>
          <w:szCs w:val="20"/>
        </w:rPr>
        <w:t>Grabo, C. M., Goldman, J., &amp; Wasik, J. M. (2004). Anticipating surprise: Analysis for strategic warning. CSIR.</w:t>
      </w:r>
    </w:p>
    <w:p w14:paraId="2DC11FCB" w14:textId="77777777" w:rsidR="00BE3240" w:rsidRDefault="00000000">
      <w:pPr>
        <w:spacing w:after="30"/>
        <w:ind w:left="480" w:hanging="480"/>
      </w:pPr>
      <w:r>
        <w:rPr>
          <w:rFonts w:eastAsia="Times New Roman"/>
          <w:sz w:val="20"/>
          <w:szCs w:val="20"/>
        </w:rPr>
        <w:t xml:space="preserve">Hastie, T., </w:t>
      </w:r>
      <w:proofErr w:type="spellStart"/>
      <w:r>
        <w:rPr>
          <w:rFonts w:eastAsia="Times New Roman"/>
          <w:sz w:val="20"/>
          <w:szCs w:val="20"/>
        </w:rPr>
        <w:t>Tibshirani</w:t>
      </w:r>
      <w:proofErr w:type="spellEnd"/>
      <w:r>
        <w:rPr>
          <w:rFonts w:eastAsia="Times New Roman"/>
          <w:sz w:val="20"/>
          <w:szCs w:val="20"/>
        </w:rPr>
        <w:t>, R., &amp; Friedman, J. (2009). The elements of statistical learning (2nd ed.). Springer.</w:t>
      </w:r>
    </w:p>
    <w:p w14:paraId="64ED6CB6" w14:textId="77777777" w:rsidR="00BE3240" w:rsidRDefault="00000000">
      <w:pPr>
        <w:spacing w:after="30"/>
        <w:ind w:left="480" w:hanging="480"/>
      </w:pPr>
      <w:r>
        <w:rPr>
          <w:rFonts w:eastAsia="Times New Roman"/>
          <w:sz w:val="20"/>
          <w:szCs w:val="20"/>
        </w:rPr>
        <w:t>National Institute of Standards and Technology. (2018). Cybersecurity framework (v1.1). U.S. Dept. of Commerce.</w:t>
      </w:r>
    </w:p>
    <w:p w14:paraId="03706447" w14:textId="77777777" w:rsidR="00BE3240" w:rsidRDefault="00000000">
      <w:pPr>
        <w:spacing w:after="30"/>
        <w:ind w:left="480" w:hanging="480"/>
      </w:pPr>
      <w:r>
        <w:rPr>
          <w:rFonts w:eastAsia="Times New Roman"/>
          <w:sz w:val="20"/>
          <w:szCs w:val="20"/>
        </w:rPr>
        <w:t>Vose, D. (2008). Risk analysis: A quantitative guide (3rd ed.). Wiley.</w:t>
      </w:r>
    </w:p>
    <w:sectPr w:rsidR="00BE3240">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4C1E"/>
    <w:multiLevelType w:val="hybridMultilevel"/>
    <w:tmpl w:val="A554068C"/>
    <w:lvl w:ilvl="0" w:tplc="697AC6B4">
      <w:start w:val="1"/>
      <w:numFmt w:val="bullet"/>
      <w:lvlText w:val="●"/>
      <w:lvlJc w:val="left"/>
      <w:pPr>
        <w:ind w:left="720" w:hanging="360"/>
      </w:pPr>
    </w:lvl>
    <w:lvl w:ilvl="1" w:tplc="90E671A0">
      <w:start w:val="1"/>
      <w:numFmt w:val="bullet"/>
      <w:lvlText w:val="○"/>
      <w:lvlJc w:val="left"/>
      <w:pPr>
        <w:ind w:left="1440" w:hanging="360"/>
      </w:pPr>
    </w:lvl>
    <w:lvl w:ilvl="2" w:tplc="7E8677EA">
      <w:start w:val="1"/>
      <w:numFmt w:val="bullet"/>
      <w:lvlText w:val="■"/>
      <w:lvlJc w:val="left"/>
      <w:pPr>
        <w:ind w:left="2160" w:hanging="360"/>
      </w:pPr>
    </w:lvl>
    <w:lvl w:ilvl="3" w:tplc="EF567F5E">
      <w:start w:val="1"/>
      <w:numFmt w:val="bullet"/>
      <w:lvlText w:val="●"/>
      <w:lvlJc w:val="left"/>
      <w:pPr>
        <w:ind w:left="2880" w:hanging="360"/>
      </w:pPr>
    </w:lvl>
    <w:lvl w:ilvl="4" w:tplc="B5700512">
      <w:start w:val="1"/>
      <w:numFmt w:val="bullet"/>
      <w:lvlText w:val="○"/>
      <w:lvlJc w:val="left"/>
      <w:pPr>
        <w:ind w:left="3600" w:hanging="360"/>
      </w:pPr>
    </w:lvl>
    <w:lvl w:ilvl="5" w:tplc="C9EE4510">
      <w:start w:val="1"/>
      <w:numFmt w:val="bullet"/>
      <w:lvlText w:val="■"/>
      <w:lvlJc w:val="left"/>
      <w:pPr>
        <w:ind w:left="4320" w:hanging="360"/>
      </w:pPr>
    </w:lvl>
    <w:lvl w:ilvl="6" w:tplc="FAB8FBA6">
      <w:start w:val="1"/>
      <w:numFmt w:val="bullet"/>
      <w:lvlText w:val="●"/>
      <w:lvlJc w:val="left"/>
      <w:pPr>
        <w:ind w:left="5040" w:hanging="360"/>
      </w:pPr>
    </w:lvl>
    <w:lvl w:ilvl="7" w:tplc="D53E6872">
      <w:start w:val="1"/>
      <w:numFmt w:val="bullet"/>
      <w:lvlText w:val="●"/>
      <w:lvlJc w:val="left"/>
      <w:pPr>
        <w:ind w:left="5760" w:hanging="360"/>
      </w:pPr>
    </w:lvl>
    <w:lvl w:ilvl="8" w:tplc="3C36624E">
      <w:start w:val="1"/>
      <w:numFmt w:val="bullet"/>
      <w:lvlText w:val="●"/>
      <w:lvlJc w:val="left"/>
      <w:pPr>
        <w:ind w:left="6480" w:hanging="360"/>
      </w:pPr>
    </w:lvl>
  </w:abstractNum>
  <w:num w:numId="1" w16cid:durableId="2030251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240"/>
    <w:rsid w:val="006B7A74"/>
    <w:rsid w:val="00BE3240"/>
    <w:rsid w:val="00E41B4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5EF6"/>
  <w15:docId w15:val="{92021A6C-F959-4C23-95D8-3AE0059A2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00" w:after="40"/>
      <w:outlineLvl w:val="0"/>
    </w:pPr>
    <w:rPr>
      <w:rFonts w:eastAsia="Times New Roman"/>
      <w:b/>
      <w:bCs/>
      <w:sz w:val="24"/>
      <w:szCs w:val="24"/>
    </w:rPr>
  </w:style>
  <w:style w:type="paragraph" w:styleId="Heading2">
    <w:name w:val="heading 2"/>
    <w:uiPriority w:val="9"/>
    <w:semiHidden/>
    <w:unhideWhenUsed/>
    <w:qFormat/>
    <w:pPr>
      <w:spacing w:before="60" w:after="30"/>
      <w:outlineLvl w:val="1"/>
    </w:pPr>
    <w:rPr>
      <w:rFonts w:eastAsia="Times New Roman"/>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751</Words>
  <Characters>4285</Characters>
  <Application>Microsoft Office Word</Application>
  <DocSecurity>0</DocSecurity>
  <Lines>35</Lines>
  <Paragraphs>10</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Jiongkai Pang</cp:lastModifiedBy>
  <cp:revision>2</cp:revision>
  <dcterms:created xsi:type="dcterms:W3CDTF">2026-03-19T00:06:00Z</dcterms:created>
  <dcterms:modified xsi:type="dcterms:W3CDTF">2026-03-19T00:11:00Z</dcterms:modified>
</cp:coreProperties>
</file>