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0248" w14:textId="77777777" w:rsidR="006C658A" w:rsidRDefault="006C658A">
      <w:pPr>
        <w:spacing w:before="2400"/>
      </w:pPr>
    </w:p>
    <w:p w14:paraId="10A567D0" w14:textId="77777777" w:rsidR="006C658A" w:rsidRDefault="00000000">
      <w:pPr>
        <w:spacing w:after="200"/>
        <w:jc w:val="center"/>
      </w:pPr>
      <w:r>
        <w:rPr>
          <w:rFonts w:eastAsia="Arial"/>
          <w:b/>
          <w:bCs/>
          <w:color w:val="1F4E79"/>
          <w:sz w:val="36"/>
          <w:szCs w:val="36"/>
        </w:rPr>
        <w:t>S.W.O.T. Analysis with Enterprise Risk Management Focus</w:t>
      </w:r>
    </w:p>
    <w:p w14:paraId="348C605E" w14:textId="77777777" w:rsidR="006C658A" w:rsidRDefault="00000000">
      <w:pPr>
        <w:spacing w:after="100"/>
        <w:jc w:val="center"/>
      </w:pPr>
      <w:r>
        <w:rPr>
          <w:rFonts w:eastAsia="Arial"/>
          <w:color w:val="555555"/>
          <w:sz w:val="26"/>
          <w:szCs w:val="26"/>
        </w:rPr>
        <w:t>Microsoft Corporation: Proposed Acquisition of a Cybersecurity Platform</w:t>
      </w:r>
    </w:p>
    <w:p w14:paraId="0859CCC5" w14:textId="77777777" w:rsidR="006C658A" w:rsidRDefault="006C658A">
      <w:pPr>
        <w:spacing w:after="600"/>
      </w:pPr>
    </w:p>
    <w:p w14:paraId="78115424" w14:textId="051DA939" w:rsidR="006C658A" w:rsidRDefault="00000000">
      <w:pPr>
        <w:spacing w:after="60"/>
        <w:jc w:val="center"/>
      </w:pPr>
      <w:r>
        <w:rPr>
          <w:rFonts w:eastAsia="Arial"/>
          <w:color w:val="555555"/>
          <w:sz w:val="22"/>
          <w:szCs w:val="22"/>
        </w:rPr>
        <w:t xml:space="preserve">Prepared for: </w:t>
      </w:r>
      <w:r w:rsidR="00EC600C" w:rsidRPr="00EC600C">
        <w:rPr>
          <w:color w:val="555555"/>
          <w:sz w:val="22"/>
          <w:szCs w:val="22"/>
        </w:rPr>
        <w:t>ALY6130 Risk Management for Analytics</w:t>
      </w:r>
    </w:p>
    <w:p w14:paraId="4BD5DA38" w14:textId="77777777" w:rsidR="006C658A" w:rsidRDefault="00000000">
      <w:pPr>
        <w:spacing w:after="60"/>
        <w:jc w:val="center"/>
      </w:pPr>
      <w:r>
        <w:rPr>
          <w:rFonts w:eastAsia="Arial"/>
          <w:color w:val="555555"/>
          <w:sz w:val="22"/>
          <w:szCs w:val="22"/>
        </w:rPr>
        <w:t>Date: February 2026</w:t>
      </w:r>
    </w:p>
    <w:p w14:paraId="66217AF8" w14:textId="77777777" w:rsidR="006C658A" w:rsidRDefault="00000000">
      <w:r>
        <w:br w:type="page"/>
      </w:r>
    </w:p>
    <w:p w14:paraId="2D777A20" w14:textId="77777777" w:rsidR="006C658A" w:rsidRDefault="00000000">
      <w:pPr>
        <w:pStyle w:val="Heading1"/>
      </w:pPr>
      <w:r>
        <w:lastRenderedPageBreak/>
        <w:t>Introduction</w:t>
      </w:r>
    </w:p>
    <w:p w14:paraId="5B94E508" w14:textId="77777777" w:rsidR="006C658A" w:rsidRDefault="00000000">
      <w:pPr>
        <w:spacing w:after="120"/>
        <w:jc w:val="both"/>
      </w:pPr>
      <w:r>
        <w:rPr>
          <w:rFonts w:eastAsia="Arial"/>
          <w:color w:val="333333"/>
        </w:rPr>
        <w:t>This report presents a S.W.O.T. analysis with an Enterprise Risk Management (ERM) focus for Microsoft Corporation as it considers the acquisition of a mid-sized cybersecurity platform company. According to Hopkin (2018), ERM provides a structured framework for identifying, assessing, and managing risks across an organization in a holistic manner. The integration of ERM principles into strategic planning tools like S.W.O.T. analysis strengthens the decision-making process by ensuring that both upside opportunities and downside risks are evaluated systematically (Bromiley et al., 2015).</w:t>
      </w:r>
    </w:p>
    <w:p w14:paraId="7A2341B7" w14:textId="77777777" w:rsidR="006C658A" w:rsidRDefault="00000000">
      <w:pPr>
        <w:spacing w:after="120"/>
        <w:jc w:val="both"/>
      </w:pPr>
      <w:r>
        <w:rPr>
          <w:rFonts w:eastAsia="Arial"/>
          <w:color w:val="333333"/>
        </w:rPr>
        <w:t>The proposed acquisition targets a cybersecurity-as-a-service (CaaS) firm that specializes in AI-driven threat detection and zero-trust architecture solutions. This acquisition would expand Microsoft’s presence in the rapidly growing cybersecurity market, placing it in direct competition with specialized vendors such as CrowdStrike, Palo Alto Networks, and Fortinet—a competitive environment it has not yet fully experienced at this scale (Fraser &amp; Simkins, 2016). The S.W.O.T. framework, as outlined by Helms and Nixon (2010), enables management to assess internal capabilities and external conditions before committing to a major strategic move.</w:t>
      </w:r>
    </w:p>
    <w:p w14:paraId="359CF335" w14:textId="77777777" w:rsidR="006C658A" w:rsidRDefault="00000000">
      <w:pPr>
        <w:spacing w:after="120"/>
        <w:jc w:val="both"/>
      </w:pPr>
      <w:r>
        <w:rPr>
          <w:rFonts w:eastAsia="Arial"/>
          <w:color w:val="333333"/>
        </w:rPr>
        <w:t>This analysis also incorporates consideration for technical risk and information security risk, both of which are critical in the technology sector and especially relevant when acquiring a cybersecurity firm. As noted by COSO (2017), organizations must evaluate operational, strategic, compliance, and reporting risks to maintain an effective ERM posture.</w:t>
      </w:r>
    </w:p>
    <w:p w14:paraId="612AF71E" w14:textId="77777777" w:rsidR="006C658A" w:rsidRDefault="00000000">
      <w:pPr>
        <w:pStyle w:val="Heading1"/>
      </w:pPr>
      <w:r>
        <w:t>Company Overview</w:t>
      </w:r>
    </w:p>
    <w:p w14:paraId="485722F3" w14:textId="77777777" w:rsidR="006C658A" w:rsidRDefault="00000000">
      <w:pPr>
        <w:spacing w:after="120"/>
        <w:jc w:val="both"/>
      </w:pPr>
      <w:r>
        <w:rPr>
          <w:rFonts w:eastAsia="Arial"/>
          <w:color w:val="333333"/>
        </w:rPr>
        <w:t>Microsoft Corporation is a multinational technology company headquartered in Redmond, Washington. It is one of the world’s most valuable companies with operations spanning cloud computing (Azure), productivity software (Microsoft 365), operating systems (Windows), gaming (Xbox), and enterprise solutions. Microsoft’s existing security division, Microsoft Security, already generates over $20 billion in annual revenue (Hopkin, 2018). The proposed acquisition of a dedicated cybersecurity platform would further consolidate Microsoft’s position as a full-spectrum enterprise technology provider.</w:t>
      </w:r>
    </w:p>
    <w:p w14:paraId="51E49114" w14:textId="77777777" w:rsidR="006C658A" w:rsidRPr="00EC600C" w:rsidRDefault="00000000">
      <w:pPr>
        <w:pStyle w:val="Heading1"/>
        <w:rPr>
          <w:lang w:val="fr-CA"/>
        </w:rPr>
      </w:pPr>
      <w:r w:rsidRPr="00EC600C">
        <w:rPr>
          <w:lang w:val="fr-CA"/>
        </w:rPr>
        <w:t>S.W.O.T. Analysis Matrix</w:t>
      </w:r>
    </w:p>
    <w:p w14:paraId="489E8D13" w14:textId="77777777" w:rsidR="006C658A" w:rsidRDefault="00000000">
      <w:pPr>
        <w:spacing w:after="200"/>
        <w:jc w:val="both"/>
      </w:pPr>
      <w:r>
        <w:rPr>
          <w:rFonts w:eastAsia="Arial"/>
          <w:i/>
          <w:iCs/>
          <w:color w:val="333333"/>
        </w:rPr>
        <w:t>The following matrix presents three examples per quadrant, aligned with ERM principles and inclusive of technical and information security risks (Bromiley et al., 2015; Fraser &amp; Simkins,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658A" w14:paraId="190514FD" w14:textId="77777777">
        <w:tblPrEx>
          <w:tblCellMar>
            <w:top w:w="0" w:type="dxa"/>
            <w:bottom w:w="0" w:type="dxa"/>
          </w:tblCellMar>
        </w:tblPrEx>
        <w:tc>
          <w:tcPr>
            <w:tcW w:w="4680" w:type="dxa"/>
            <w:tcBorders>
              <w:top w:val="single" w:sz="3" w:space="0" w:color="1F4E79"/>
              <w:left w:val="single" w:sz="3" w:space="0" w:color="1F4E79"/>
              <w:bottom w:val="single" w:sz="3" w:space="0" w:color="1F4E79"/>
              <w:right w:val="single" w:sz="3" w:space="0" w:color="1F4E79"/>
            </w:tcBorders>
            <w:shd w:val="clear" w:color="auto" w:fill="1B5E20"/>
            <w:tcMar>
              <w:top w:w="100" w:type="dxa"/>
              <w:left w:w="140" w:type="dxa"/>
              <w:bottom w:w="100" w:type="dxa"/>
              <w:right w:w="140" w:type="dxa"/>
            </w:tcMar>
            <w:vAlign w:val="center"/>
          </w:tcPr>
          <w:p w14:paraId="0596DF75" w14:textId="77777777" w:rsidR="006C658A" w:rsidRDefault="00000000">
            <w:pPr>
              <w:jc w:val="center"/>
            </w:pPr>
            <w:r>
              <w:rPr>
                <w:rFonts w:eastAsia="Arial"/>
                <w:b/>
                <w:bCs/>
                <w:color w:val="FFFFFF"/>
                <w:sz w:val="24"/>
                <w:szCs w:val="24"/>
              </w:rPr>
              <w:t>STRENGTHS (Internal)</w:t>
            </w:r>
          </w:p>
        </w:tc>
        <w:tc>
          <w:tcPr>
            <w:tcW w:w="4680" w:type="dxa"/>
            <w:tcBorders>
              <w:top w:val="single" w:sz="3" w:space="0" w:color="1F4E79"/>
              <w:left w:val="single" w:sz="3" w:space="0" w:color="1F4E79"/>
              <w:bottom w:val="single" w:sz="3" w:space="0" w:color="1F4E79"/>
              <w:right w:val="single" w:sz="3" w:space="0" w:color="1F4E79"/>
            </w:tcBorders>
            <w:shd w:val="clear" w:color="auto" w:fill="B71C1C"/>
            <w:tcMar>
              <w:top w:w="100" w:type="dxa"/>
              <w:left w:w="140" w:type="dxa"/>
              <w:bottom w:w="100" w:type="dxa"/>
              <w:right w:w="140" w:type="dxa"/>
            </w:tcMar>
            <w:vAlign w:val="center"/>
          </w:tcPr>
          <w:p w14:paraId="08073EE9" w14:textId="77777777" w:rsidR="006C658A" w:rsidRDefault="00000000">
            <w:pPr>
              <w:jc w:val="center"/>
            </w:pPr>
            <w:r>
              <w:rPr>
                <w:rFonts w:eastAsia="Arial"/>
                <w:b/>
                <w:bCs/>
                <w:color w:val="FFFFFF"/>
                <w:sz w:val="24"/>
                <w:szCs w:val="24"/>
              </w:rPr>
              <w:t>WEAKNESSES (Internal)</w:t>
            </w:r>
          </w:p>
        </w:tc>
      </w:tr>
      <w:tr w:rsidR="006C658A" w14:paraId="2CD0EDA2" w14:textId="77777777">
        <w:tblPrEx>
          <w:tblCellMar>
            <w:top w:w="0" w:type="dxa"/>
            <w:bottom w:w="0" w:type="dxa"/>
          </w:tblCellMar>
        </w:tblPrEx>
        <w:tc>
          <w:tcPr>
            <w:tcW w:w="4680" w:type="dxa"/>
            <w:tcBorders>
              <w:top w:val="single" w:sz="3" w:space="0" w:color="1F4E79"/>
              <w:left w:val="single" w:sz="3" w:space="0" w:color="1F4E79"/>
              <w:bottom w:val="single" w:sz="3" w:space="0" w:color="1F4E79"/>
              <w:right w:val="single" w:sz="3" w:space="0" w:color="1F4E79"/>
            </w:tcBorders>
            <w:shd w:val="clear" w:color="auto" w:fill="E8F5E9"/>
            <w:tcMar>
              <w:top w:w="100" w:type="dxa"/>
              <w:left w:w="140" w:type="dxa"/>
              <w:bottom w:w="100" w:type="dxa"/>
              <w:right w:w="140" w:type="dxa"/>
            </w:tcMar>
          </w:tcPr>
          <w:p w14:paraId="7302E50E" w14:textId="77777777" w:rsidR="006C658A" w:rsidRDefault="00000000">
            <w:pPr>
              <w:pStyle w:val="ListParagraph"/>
              <w:numPr>
                <w:ilvl w:val="0"/>
                <w:numId w:val="2"/>
              </w:numPr>
              <w:spacing w:after="100"/>
            </w:pPr>
            <w:r>
              <w:rPr>
                <w:rFonts w:eastAsia="Arial"/>
                <w:b/>
                <w:bCs/>
                <w:color w:val="222222"/>
              </w:rPr>
              <w:t xml:space="preserve">Robust Cloud Infrastructure: </w:t>
            </w:r>
            <w:r>
              <w:rPr>
                <w:rFonts w:eastAsia="Arial"/>
                <w:color w:val="444444"/>
              </w:rPr>
              <w:t>Microsoft Azure provides a scalable platform for integrating the acquired cybersecurity services, reducing deployment timelines and increasing market reach (Hopkin, 2018).</w:t>
            </w:r>
          </w:p>
          <w:p w14:paraId="511A3E4D" w14:textId="77777777" w:rsidR="006C658A" w:rsidRDefault="00000000">
            <w:pPr>
              <w:pStyle w:val="ListParagraph"/>
              <w:numPr>
                <w:ilvl w:val="0"/>
                <w:numId w:val="2"/>
              </w:numPr>
              <w:spacing w:after="100"/>
            </w:pPr>
            <w:r>
              <w:rPr>
                <w:rFonts w:eastAsia="Arial"/>
                <w:b/>
                <w:bCs/>
                <w:color w:val="222222"/>
              </w:rPr>
              <w:t xml:space="preserve">Strong Financial Position: </w:t>
            </w:r>
            <w:r>
              <w:rPr>
                <w:rFonts w:eastAsia="Arial"/>
                <w:color w:val="444444"/>
              </w:rPr>
              <w:t>With significant cash reserves and consistent revenue growth, Microsoft can fund the acquisition without excessive leverage, reducing financial risk exposure (Bromiley et al., 2015).</w:t>
            </w:r>
          </w:p>
          <w:p w14:paraId="76D4DF52" w14:textId="77777777" w:rsidR="006C658A" w:rsidRDefault="00000000">
            <w:pPr>
              <w:pStyle w:val="ListParagraph"/>
              <w:numPr>
                <w:ilvl w:val="0"/>
                <w:numId w:val="2"/>
              </w:numPr>
              <w:spacing w:after="100"/>
            </w:pPr>
            <w:r>
              <w:rPr>
                <w:rFonts w:eastAsia="Arial"/>
                <w:b/>
                <w:bCs/>
                <w:color w:val="222222"/>
              </w:rPr>
              <w:t xml:space="preserve">Established Enterprise Customer Base: </w:t>
            </w:r>
            <w:r>
              <w:rPr>
                <w:rFonts w:eastAsia="Arial"/>
                <w:color w:val="444444"/>
              </w:rPr>
              <w:t>Microsoft’s existing relationships with Fortune 500 companies provide an immediate distribution channel for the new cybersecurity product, lowering go-to-market risk (Fraser &amp; Simkins, 2016).</w:t>
            </w:r>
          </w:p>
        </w:tc>
        <w:tc>
          <w:tcPr>
            <w:tcW w:w="4680" w:type="dxa"/>
            <w:tcBorders>
              <w:top w:val="single" w:sz="3" w:space="0" w:color="1F4E79"/>
              <w:left w:val="single" w:sz="3" w:space="0" w:color="1F4E79"/>
              <w:bottom w:val="single" w:sz="3" w:space="0" w:color="1F4E79"/>
              <w:right w:val="single" w:sz="3" w:space="0" w:color="1F4E79"/>
            </w:tcBorders>
            <w:shd w:val="clear" w:color="auto" w:fill="FFEBEE"/>
            <w:tcMar>
              <w:top w:w="100" w:type="dxa"/>
              <w:left w:w="140" w:type="dxa"/>
              <w:bottom w:w="100" w:type="dxa"/>
              <w:right w:w="140" w:type="dxa"/>
            </w:tcMar>
          </w:tcPr>
          <w:p w14:paraId="5F883457" w14:textId="77777777" w:rsidR="006C658A" w:rsidRDefault="00000000">
            <w:pPr>
              <w:pStyle w:val="ListParagraph"/>
              <w:numPr>
                <w:ilvl w:val="0"/>
                <w:numId w:val="2"/>
              </w:numPr>
              <w:spacing w:after="100"/>
            </w:pPr>
            <w:r>
              <w:rPr>
                <w:rFonts w:eastAsia="Arial"/>
                <w:b/>
                <w:bCs/>
                <w:color w:val="222222"/>
              </w:rPr>
              <w:t xml:space="preserve">Integration Complexity (Technical Risk): </w:t>
            </w:r>
            <w:r>
              <w:rPr>
                <w:rFonts w:eastAsia="Arial"/>
                <w:color w:val="444444"/>
              </w:rPr>
              <w:t>Merging disparate technology stacks introduces significant technical risk, including potential system incompatibilities, data migration failures, and service disruptions during the transition period (COSO, 2017).</w:t>
            </w:r>
          </w:p>
          <w:p w14:paraId="074CC8A6" w14:textId="77777777" w:rsidR="006C658A" w:rsidRDefault="00000000">
            <w:pPr>
              <w:pStyle w:val="ListParagraph"/>
              <w:numPr>
                <w:ilvl w:val="0"/>
                <w:numId w:val="2"/>
              </w:numPr>
              <w:spacing w:after="100"/>
            </w:pPr>
            <w:r>
              <w:rPr>
                <w:rFonts w:eastAsia="Arial"/>
                <w:b/>
                <w:bCs/>
                <w:color w:val="222222"/>
              </w:rPr>
              <w:t xml:space="preserve">Cultural Misalignment: </w:t>
            </w:r>
            <w:r>
              <w:rPr>
                <w:rFonts w:eastAsia="Arial"/>
                <w:color w:val="444444"/>
              </w:rPr>
              <w:t>Differences in organizational culture between a large corporation and an agile startup-style cybersecurity firm may slow integration and lead to talent attrition, a key operational risk (Helms &amp; Nixon, 2010).</w:t>
            </w:r>
          </w:p>
          <w:p w14:paraId="27BA3005" w14:textId="77777777" w:rsidR="006C658A" w:rsidRDefault="00000000">
            <w:pPr>
              <w:pStyle w:val="ListParagraph"/>
              <w:numPr>
                <w:ilvl w:val="0"/>
                <w:numId w:val="2"/>
              </w:numPr>
              <w:spacing w:after="100"/>
            </w:pPr>
            <w:r>
              <w:rPr>
                <w:rFonts w:eastAsia="Arial"/>
                <w:b/>
                <w:bCs/>
                <w:color w:val="222222"/>
              </w:rPr>
              <w:t xml:space="preserve">Legacy Security Architecture Gaps (Information Security Risk): </w:t>
            </w:r>
            <w:r>
              <w:rPr>
                <w:rFonts w:eastAsia="Arial"/>
                <w:color w:val="444444"/>
              </w:rPr>
              <w:t xml:space="preserve">Microsoft’s existing security products may have architectural conflicts with the acquisition </w:t>
            </w:r>
            <w:r>
              <w:rPr>
                <w:rFonts w:eastAsia="Arial"/>
                <w:color w:val="444444"/>
              </w:rPr>
              <w:lastRenderedPageBreak/>
              <w:t>target’s zero-trust framework, creating information security vulnerabilities during integration (Hopkin, 2018).</w:t>
            </w:r>
          </w:p>
        </w:tc>
      </w:tr>
      <w:tr w:rsidR="006C658A" w14:paraId="09C8800D" w14:textId="77777777">
        <w:tblPrEx>
          <w:tblCellMar>
            <w:top w:w="0" w:type="dxa"/>
            <w:bottom w:w="0" w:type="dxa"/>
          </w:tblCellMar>
        </w:tblPrEx>
        <w:tc>
          <w:tcPr>
            <w:tcW w:w="4680" w:type="dxa"/>
            <w:tcBorders>
              <w:top w:val="single" w:sz="3" w:space="0" w:color="1F4E79"/>
              <w:left w:val="single" w:sz="3" w:space="0" w:color="1F4E79"/>
              <w:bottom w:val="single" w:sz="3" w:space="0" w:color="1F4E79"/>
              <w:right w:val="single" w:sz="3" w:space="0" w:color="1F4E79"/>
            </w:tcBorders>
            <w:shd w:val="clear" w:color="auto" w:fill="0D47A1"/>
            <w:tcMar>
              <w:top w:w="100" w:type="dxa"/>
              <w:left w:w="140" w:type="dxa"/>
              <w:bottom w:w="100" w:type="dxa"/>
              <w:right w:w="140" w:type="dxa"/>
            </w:tcMar>
            <w:vAlign w:val="center"/>
          </w:tcPr>
          <w:p w14:paraId="66393412" w14:textId="77777777" w:rsidR="006C658A" w:rsidRDefault="00000000">
            <w:pPr>
              <w:jc w:val="center"/>
            </w:pPr>
            <w:r>
              <w:rPr>
                <w:rFonts w:eastAsia="Arial"/>
                <w:b/>
                <w:bCs/>
                <w:color w:val="FFFFFF"/>
                <w:sz w:val="24"/>
                <w:szCs w:val="24"/>
              </w:rPr>
              <w:lastRenderedPageBreak/>
              <w:t>OPPORTUNITIES (External)</w:t>
            </w:r>
          </w:p>
        </w:tc>
        <w:tc>
          <w:tcPr>
            <w:tcW w:w="4680" w:type="dxa"/>
            <w:tcBorders>
              <w:top w:val="single" w:sz="3" w:space="0" w:color="1F4E79"/>
              <w:left w:val="single" w:sz="3" w:space="0" w:color="1F4E79"/>
              <w:bottom w:val="single" w:sz="3" w:space="0" w:color="1F4E79"/>
              <w:right w:val="single" w:sz="3" w:space="0" w:color="1F4E79"/>
            </w:tcBorders>
            <w:shd w:val="clear" w:color="auto" w:fill="E65100"/>
            <w:tcMar>
              <w:top w:w="100" w:type="dxa"/>
              <w:left w:w="140" w:type="dxa"/>
              <w:bottom w:w="100" w:type="dxa"/>
              <w:right w:w="140" w:type="dxa"/>
            </w:tcMar>
            <w:vAlign w:val="center"/>
          </w:tcPr>
          <w:p w14:paraId="3B8F76AC" w14:textId="77777777" w:rsidR="006C658A" w:rsidRDefault="00000000">
            <w:pPr>
              <w:jc w:val="center"/>
            </w:pPr>
            <w:r>
              <w:rPr>
                <w:rFonts w:eastAsia="Arial"/>
                <w:b/>
                <w:bCs/>
                <w:color w:val="FFFFFF"/>
                <w:sz w:val="24"/>
                <w:szCs w:val="24"/>
              </w:rPr>
              <w:t>THREATS (External)</w:t>
            </w:r>
          </w:p>
        </w:tc>
      </w:tr>
      <w:tr w:rsidR="006C658A" w14:paraId="15D3843B" w14:textId="77777777">
        <w:tblPrEx>
          <w:tblCellMar>
            <w:top w:w="0" w:type="dxa"/>
            <w:bottom w:w="0" w:type="dxa"/>
          </w:tblCellMar>
        </w:tblPrEx>
        <w:tc>
          <w:tcPr>
            <w:tcW w:w="4680" w:type="dxa"/>
            <w:tcBorders>
              <w:top w:val="single" w:sz="3" w:space="0" w:color="1F4E79"/>
              <w:left w:val="single" w:sz="3" w:space="0" w:color="1F4E79"/>
              <w:bottom w:val="single" w:sz="3" w:space="0" w:color="1F4E79"/>
              <w:right w:val="single" w:sz="3" w:space="0" w:color="1F4E79"/>
            </w:tcBorders>
            <w:shd w:val="clear" w:color="auto" w:fill="E3F2FD"/>
            <w:tcMar>
              <w:top w:w="100" w:type="dxa"/>
              <w:left w:w="140" w:type="dxa"/>
              <w:bottom w:w="100" w:type="dxa"/>
              <w:right w:w="140" w:type="dxa"/>
            </w:tcMar>
          </w:tcPr>
          <w:p w14:paraId="6BE524D9" w14:textId="77777777" w:rsidR="006C658A" w:rsidRDefault="00000000">
            <w:pPr>
              <w:pStyle w:val="ListParagraph"/>
              <w:numPr>
                <w:ilvl w:val="0"/>
                <w:numId w:val="2"/>
              </w:numPr>
              <w:spacing w:after="100"/>
            </w:pPr>
            <w:r>
              <w:rPr>
                <w:rFonts w:eastAsia="Arial"/>
                <w:b/>
                <w:bCs/>
                <w:color w:val="222222"/>
              </w:rPr>
              <w:t xml:space="preserve">Growing Cybersecurity Market Demand: </w:t>
            </w:r>
            <w:r>
              <w:rPr>
                <w:rFonts w:eastAsia="Arial"/>
                <w:color w:val="444444"/>
              </w:rPr>
              <w:t>The global cybersecurity market is projected to exceed $300 billion by 2028, driven by increasing cyber threats and regulatory requirements, presenting a substantial revenue opportunity (Bromiley et al., 2015).</w:t>
            </w:r>
          </w:p>
          <w:p w14:paraId="50C38687" w14:textId="77777777" w:rsidR="006C658A" w:rsidRDefault="00000000">
            <w:pPr>
              <w:pStyle w:val="ListParagraph"/>
              <w:numPr>
                <w:ilvl w:val="0"/>
                <w:numId w:val="2"/>
              </w:numPr>
              <w:spacing w:after="100"/>
            </w:pPr>
            <w:r>
              <w:rPr>
                <w:rFonts w:eastAsia="Arial"/>
                <w:b/>
                <w:bCs/>
                <w:color w:val="222222"/>
              </w:rPr>
              <w:t xml:space="preserve">Regulatory Compliance as a Service: </w:t>
            </w:r>
            <w:r>
              <w:rPr>
                <w:rFonts w:eastAsia="Arial"/>
                <w:color w:val="444444"/>
              </w:rPr>
              <w:t>New data privacy regulations such as GDPR, CCPA, and emerging AI governance frameworks create demand for integrated compliance-security solutions that Microsoft could uniquely offer post-acquisition (COSO, 2017).</w:t>
            </w:r>
          </w:p>
          <w:p w14:paraId="780CBFE2" w14:textId="77777777" w:rsidR="006C658A" w:rsidRDefault="00000000">
            <w:pPr>
              <w:pStyle w:val="ListParagraph"/>
              <w:numPr>
                <w:ilvl w:val="0"/>
                <w:numId w:val="2"/>
              </w:numPr>
              <w:spacing w:after="100"/>
            </w:pPr>
            <w:r>
              <w:rPr>
                <w:rFonts w:eastAsia="Arial"/>
                <w:b/>
                <w:bCs/>
                <w:color w:val="222222"/>
              </w:rPr>
              <w:t xml:space="preserve">AI-Driven Threat Intelligence Expansion: </w:t>
            </w:r>
            <w:r>
              <w:rPr>
                <w:rFonts w:eastAsia="Arial"/>
                <w:color w:val="444444"/>
              </w:rPr>
              <w:t>The acquisition provides access to proprietary AI models and threat intelligence data that can be cross-leveraged with Microsoft’s Copilot and Azure AI investments, creating differentiated product capabilities (Fraser &amp; Simkins, 2016).</w:t>
            </w:r>
          </w:p>
        </w:tc>
        <w:tc>
          <w:tcPr>
            <w:tcW w:w="4680" w:type="dxa"/>
            <w:tcBorders>
              <w:top w:val="single" w:sz="3" w:space="0" w:color="1F4E79"/>
              <w:left w:val="single" w:sz="3" w:space="0" w:color="1F4E79"/>
              <w:bottom w:val="single" w:sz="3" w:space="0" w:color="1F4E79"/>
              <w:right w:val="single" w:sz="3" w:space="0" w:color="1F4E79"/>
            </w:tcBorders>
            <w:shd w:val="clear" w:color="auto" w:fill="FFF3E0"/>
            <w:tcMar>
              <w:top w:w="100" w:type="dxa"/>
              <w:left w:w="140" w:type="dxa"/>
              <w:bottom w:w="100" w:type="dxa"/>
              <w:right w:w="140" w:type="dxa"/>
            </w:tcMar>
          </w:tcPr>
          <w:p w14:paraId="1C2A2EF3" w14:textId="77777777" w:rsidR="006C658A" w:rsidRDefault="00000000">
            <w:pPr>
              <w:pStyle w:val="ListParagraph"/>
              <w:numPr>
                <w:ilvl w:val="0"/>
                <w:numId w:val="2"/>
              </w:numPr>
              <w:spacing w:after="100"/>
            </w:pPr>
            <w:r>
              <w:rPr>
                <w:rFonts w:eastAsia="Arial"/>
                <w:b/>
                <w:bCs/>
                <w:color w:val="222222"/>
              </w:rPr>
              <w:t xml:space="preserve">Intensified Competitive Rivalry: </w:t>
            </w:r>
            <w:r>
              <w:rPr>
                <w:rFonts w:eastAsia="Arial"/>
                <w:color w:val="444444"/>
              </w:rPr>
              <w:t>Entering the specialized cybersecurity market places Microsoft in direct competition with focused, agile competitors such as CrowdStrike and Palo Alto Networks—a competitive environment it has not yet fully experienced at this scale (Helms &amp; Nixon, 2010).</w:t>
            </w:r>
          </w:p>
          <w:p w14:paraId="1957DED8" w14:textId="77777777" w:rsidR="006C658A" w:rsidRDefault="00000000">
            <w:pPr>
              <w:pStyle w:val="ListParagraph"/>
              <w:numPr>
                <w:ilvl w:val="0"/>
                <w:numId w:val="2"/>
              </w:numPr>
              <w:spacing w:after="100"/>
            </w:pPr>
            <w:r>
              <w:rPr>
                <w:rFonts w:eastAsia="Arial"/>
                <w:b/>
                <w:bCs/>
                <w:color w:val="222222"/>
              </w:rPr>
              <w:t xml:space="preserve">Sophisticated Cyber Threat Landscape (Information Security Risk): </w:t>
            </w:r>
            <w:r>
              <w:rPr>
                <w:rFonts w:eastAsia="Arial"/>
                <w:color w:val="444444"/>
              </w:rPr>
              <w:t>As a cybersecurity provider, Microsoft would become a higher-value target for nation-state actors and advanced persistent threats (APTs), significantly elevating its own information security risk exposure (Hopkin, 2018).</w:t>
            </w:r>
          </w:p>
          <w:p w14:paraId="5B0CD1A5" w14:textId="77777777" w:rsidR="006C658A" w:rsidRDefault="00000000">
            <w:pPr>
              <w:pStyle w:val="ListParagraph"/>
              <w:numPr>
                <w:ilvl w:val="0"/>
                <w:numId w:val="2"/>
              </w:numPr>
              <w:spacing w:after="100"/>
            </w:pPr>
            <w:r>
              <w:rPr>
                <w:rFonts w:eastAsia="Arial"/>
                <w:b/>
                <w:bCs/>
                <w:color w:val="222222"/>
              </w:rPr>
              <w:t xml:space="preserve">Antitrust and Regulatory Scrutiny: </w:t>
            </w:r>
            <w:r>
              <w:rPr>
                <w:rFonts w:eastAsia="Arial"/>
                <w:color w:val="444444"/>
              </w:rPr>
              <w:t>The acquisition may trigger antitrust investigations from regulators in the U.S., EU, and other jurisdictions, potentially delaying or blocking the deal and creating compliance risk (COSO, 2017).</w:t>
            </w:r>
          </w:p>
        </w:tc>
      </w:tr>
    </w:tbl>
    <w:p w14:paraId="6E848460" w14:textId="77777777" w:rsidR="006C658A" w:rsidRDefault="00000000">
      <w:pPr>
        <w:pStyle w:val="Heading1"/>
        <w:spacing w:before="300"/>
      </w:pPr>
      <w:r>
        <w:t>Technical Risk Assessment</w:t>
      </w:r>
    </w:p>
    <w:p w14:paraId="6CD758E0" w14:textId="77777777" w:rsidR="006C658A" w:rsidRDefault="00000000">
      <w:pPr>
        <w:spacing w:after="120"/>
        <w:jc w:val="both"/>
      </w:pPr>
      <w:r>
        <w:rPr>
          <w:rFonts w:eastAsia="Arial"/>
          <w:color w:val="333333"/>
        </w:rPr>
        <w:t>Technical risk is a central concern in any technology-sector acquisition. According to COSO (2017), technical risk encompasses the possibility that technology systems, platforms, or infrastructure may fail to perform as expected during or after integration. In the context of this acquisition, three primary technical risks have been identified.</w:t>
      </w:r>
    </w:p>
    <w:p w14:paraId="1C7968E9" w14:textId="77777777" w:rsidR="006C658A" w:rsidRDefault="00000000">
      <w:pPr>
        <w:spacing w:after="120"/>
        <w:jc w:val="both"/>
      </w:pPr>
      <w:r>
        <w:rPr>
          <w:rFonts w:eastAsia="Arial"/>
          <w:color w:val="333333"/>
        </w:rPr>
        <w:t>First, platform interoperability represents a significant challenge. The acquired cybersecurity platform may rely on proprietary protocols or open-source frameworks that conflict with Microsoft’s existing Azure architecture. Failure to achieve seamless integration could result in service degradation for existing customers and delayed product launches (Bromiley et al., 2015). Second, data migration risk involves the transfer of massive threat intelligence databases, customer configurations, and incident logs between platforms. Data loss, corruption, or misclassification during migration could undermine the credibility and effectiveness of the security product (Hopkin, 2018). Third, scalability uncertainty poses a risk if the acquired platform was designed for mid-market clients and may struggle to perform at enterprise scale within Microsoft’s global infrastructure, requiring significant re-engineering (Fraser &amp; Simkins, 2016).</w:t>
      </w:r>
    </w:p>
    <w:p w14:paraId="78BA7CE5" w14:textId="77777777" w:rsidR="006C658A" w:rsidRDefault="00000000">
      <w:pPr>
        <w:pStyle w:val="Heading1"/>
      </w:pPr>
      <w:r>
        <w:t>Information Security Risk Assessment</w:t>
      </w:r>
    </w:p>
    <w:p w14:paraId="25565D9F" w14:textId="77777777" w:rsidR="006C658A" w:rsidRDefault="00000000">
      <w:pPr>
        <w:spacing w:after="120"/>
        <w:jc w:val="both"/>
      </w:pPr>
      <w:r>
        <w:rPr>
          <w:rFonts w:eastAsia="Arial"/>
          <w:color w:val="333333"/>
        </w:rPr>
        <w:t>Information security risk is particularly acute in this scenario because the acquisition target is itself a cybersecurity company. Helms and Nixon (2010) emphasize that security-focused acquisitions carry a paradoxical risk: the very systems designed to protect clients can become vectors for breach if improperly managed during transitions.</w:t>
      </w:r>
    </w:p>
    <w:p w14:paraId="7D525D1F" w14:textId="77777777" w:rsidR="006C658A" w:rsidRDefault="00000000">
      <w:pPr>
        <w:spacing w:after="120"/>
        <w:jc w:val="both"/>
      </w:pPr>
      <w:r>
        <w:rPr>
          <w:rFonts w:eastAsia="Arial"/>
          <w:color w:val="333333"/>
        </w:rPr>
        <w:t xml:space="preserve">Key information security risks include supply chain vulnerabilities introduced by inheriting the target’s third-party vendor relationships and code dependencies. Any compromised component within the acquired </w:t>
      </w:r>
      <w:r>
        <w:rPr>
          <w:rFonts w:eastAsia="Arial"/>
          <w:color w:val="333333"/>
        </w:rPr>
        <w:lastRenderedPageBreak/>
        <w:t>platform’s software supply chain could propagate vulnerabilities across Microsoft’s broader ecosystem (COSO, 2017). Additionally, the consolidation of sensitive threat intelligence data from both organizations creates a high-value target for cyber adversaries. Insider threat risk also increases during acquisition transitions, as employees facing uncertainty about their roles may inadvertently or intentionally expose proprietary data (Hopkin, 2018). Microsoft must implement enhanced access controls, zero-trust verification protocols, and continuous monitoring throughout the integration period to mitigate these risks (Bromiley et al., 2015).</w:t>
      </w:r>
    </w:p>
    <w:p w14:paraId="5BCB6F96" w14:textId="77777777" w:rsidR="006C658A" w:rsidRDefault="00000000">
      <w:pPr>
        <w:pStyle w:val="Heading1"/>
      </w:pPr>
      <w:r>
        <w:t>ERM Implications and Recommendations</w:t>
      </w:r>
    </w:p>
    <w:p w14:paraId="2684BB1D" w14:textId="77777777" w:rsidR="006C658A" w:rsidRDefault="00000000">
      <w:pPr>
        <w:spacing w:after="120"/>
        <w:jc w:val="both"/>
      </w:pPr>
      <w:r>
        <w:rPr>
          <w:rFonts w:eastAsia="Arial"/>
          <w:color w:val="333333"/>
        </w:rPr>
        <w:t>Integrating S.W.O.T. findings with ERM principles, this analysis recommends several actions. Microsoft should establish a dedicated cross-functional integration risk committee that reports to the Chief Risk Officer and includes representatives from IT security, legal, finance, and operations (COSO, 2017). Risk tolerance thresholds should be defined for each S.W.O.T. category, with clear escalation protocols for technical failures and security incidents during the integration phase (Fraser &amp; Simkins, 2016). Furthermore, a phased integration approach is recommended, beginning with a sandbox environment to test interoperability before migrating production workloads. Continuous risk monitoring using key risk indicators (KRIs) aligned with the identified threats and weaknesses should inform go/no-go decisions at each integration milestone (Hopkin, 2018).</w:t>
      </w:r>
    </w:p>
    <w:p w14:paraId="4D0B1769" w14:textId="77777777" w:rsidR="006C658A" w:rsidRDefault="00000000">
      <w:pPr>
        <w:pStyle w:val="Heading1"/>
      </w:pPr>
      <w:r>
        <w:t>Conclusion</w:t>
      </w:r>
    </w:p>
    <w:p w14:paraId="3D8DE2BF" w14:textId="77777777" w:rsidR="006C658A" w:rsidRDefault="00000000">
      <w:pPr>
        <w:spacing w:after="120"/>
        <w:jc w:val="both"/>
      </w:pPr>
      <w:r>
        <w:rPr>
          <w:rFonts w:eastAsia="Arial"/>
          <w:color w:val="333333"/>
        </w:rPr>
        <w:t>This S.W.O.T. analysis demonstrates that Microsoft’s proposed cybersecurity platform acquisition presents substantial strategic opportunities balanced by significant risks. The company’s internal strengths—including financial resources, cloud infrastructure, and enterprise relationships—position it favorably. However, the weaknesses related to integration complexity, cultural alignment, and legacy architecture gaps require careful ERM planning. Externally, the growing cybersecurity market and regulatory landscape offer compelling opportunities, while competitive rivalry, elevated threat exposure, and regulatory scrutiny represent material threats. By embedding ERM principles into every stage of the acquisition process, Microsoft can make an informed, risk-aware decision that maximizes shareholder value while protecting organizational resilience (Bromiley et al., 2015; COSO, 2017).</w:t>
      </w:r>
    </w:p>
    <w:p w14:paraId="07409DCB" w14:textId="77777777" w:rsidR="006C658A" w:rsidRDefault="00000000">
      <w:r>
        <w:br w:type="page"/>
      </w:r>
    </w:p>
    <w:p w14:paraId="54F23782" w14:textId="77777777" w:rsidR="006C658A" w:rsidRDefault="00000000">
      <w:pPr>
        <w:pStyle w:val="Heading1"/>
      </w:pPr>
      <w:r>
        <w:lastRenderedPageBreak/>
        <w:t>References</w:t>
      </w:r>
    </w:p>
    <w:p w14:paraId="6B4849FE" w14:textId="77777777" w:rsidR="006C658A" w:rsidRDefault="00000000">
      <w:pPr>
        <w:spacing w:after="200"/>
        <w:ind w:left="720" w:hanging="720"/>
      </w:pPr>
      <w:r>
        <w:rPr>
          <w:rFonts w:eastAsia="Arial"/>
          <w:color w:val="333333"/>
        </w:rPr>
        <w:t>Bromiley, P., McShane, M., Nair, A., &amp; Rustambekov, E. (2015). Enterprise risk management: Review, critique, and research directions. Long Range Planning, 48(4), 265–276. https://doi.org/10.1016/j.lrp.2014.07.005</w:t>
      </w:r>
    </w:p>
    <w:p w14:paraId="4F4B9853" w14:textId="77777777" w:rsidR="006C658A" w:rsidRDefault="00000000">
      <w:pPr>
        <w:spacing w:after="200"/>
        <w:ind w:left="720" w:hanging="720"/>
      </w:pPr>
      <w:r>
        <w:rPr>
          <w:rFonts w:eastAsia="Arial"/>
          <w:color w:val="333333"/>
        </w:rPr>
        <w:t>Committee of Sponsoring Organizations of the Treadway Commission. (2017). Enterprise risk management—Integrating with strategy and performance. COSO. https://www.coso.org/guidance-on-ic</w:t>
      </w:r>
    </w:p>
    <w:p w14:paraId="221F7628" w14:textId="77777777" w:rsidR="006C658A" w:rsidRDefault="00000000">
      <w:pPr>
        <w:spacing w:after="200"/>
        <w:ind w:left="720" w:hanging="720"/>
      </w:pPr>
      <w:r w:rsidRPr="00EC600C">
        <w:rPr>
          <w:rFonts w:eastAsia="Arial"/>
          <w:color w:val="333333"/>
          <w:lang w:val="fr-CA"/>
        </w:rPr>
        <w:t xml:space="preserve">Fraser, J. R. S., &amp; Simkins, B. J. (2016). </w:t>
      </w:r>
      <w:r>
        <w:rPr>
          <w:rFonts w:eastAsia="Arial"/>
          <w:color w:val="333333"/>
        </w:rPr>
        <w:t>The challenges of and solutions for implementing enterprise risk management. Business Horizons, 59(6), 689–698. https://doi.org/10.1016/j.bushor.2016.06.007</w:t>
      </w:r>
    </w:p>
    <w:p w14:paraId="2C049361" w14:textId="77777777" w:rsidR="006C658A" w:rsidRDefault="00000000">
      <w:pPr>
        <w:spacing w:after="200"/>
        <w:ind w:left="720" w:hanging="720"/>
      </w:pPr>
      <w:r>
        <w:rPr>
          <w:rFonts w:eastAsia="Arial"/>
          <w:color w:val="333333"/>
        </w:rPr>
        <w:t>Helms, M. M., &amp; Nixon, J. (2010). Exploring SWOT analysis—Where are we now? A review of academic research from the last decade. Journal of Strategy and Management, 3(3), 215–251. https://doi.org/10.1108/17554251011064837</w:t>
      </w:r>
    </w:p>
    <w:p w14:paraId="4696C894" w14:textId="77777777" w:rsidR="006C658A" w:rsidRDefault="00000000">
      <w:pPr>
        <w:spacing w:after="200"/>
        <w:ind w:left="720" w:hanging="720"/>
      </w:pPr>
      <w:r>
        <w:rPr>
          <w:rFonts w:eastAsia="Arial"/>
          <w:color w:val="333333"/>
        </w:rPr>
        <w:t>Hopkin, P. (2018). Fundamentals of risk management: Understanding, evaluating, and implementing effective risk management (5th ed.). Kogan Page.</w:t>
      </w:r>
    </w:p>
    <w:sectPr w:rsidR="006C65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66EA"/>
    <w:multiLevelType w:val="hybridMultilevel"/>
    <w:tmpl w:val="443C2920"/>
    <w:lvl w:ilvl="0" w:tplc="2B84CB80">
      <w:start w:val="1"/>
      <w:numFmt w:val="bullet"/>
      <w:lvlText w:val="●"/>
      <w:lvlJc w:val="left"/>
      <w:pPr>
        <w:ind w:left="720" w:hanging="360"/>
      </w:pPr>
    </w:lvl>
    <w:lvl w:ilvl="1" w:tplc="7E10BAF4">
      <w:start w:val="1"/>
      <w:numFmt w:val="bullet"/>
      <w:lvlText w:val="○"/>
      <w:lvlJc w:val="left"/>
      <w:pPr>
        <w:ind w:left="1440" w:hanging="360"/>
      </w:pPr>
    </w:lvl>
    <w:lvl w:ilvl="2" w:tplc="AA10A9D8">
      <w:start w:val="1"/>
      <w:numFmt w:val="bullet"/>
      <w:lvlText w:val="■"/>
      <w:lvlJc w:val="left"/>
      <w:pPr>
        <w:ind w:left="2160" w:hanging="360"/>
      </w:pPr>
    </w:lvl>
    <w:lvl w:ilvl="3" w:tplc="6E229DFE">
      <w:start w:val="1"/>
      <w:numFmt w:val="bullet"/>
      <w:lvlText w:val="●"/>
      <w:lvlJc w:val="left"/>
      <w:pPr>
        <w:ind w:left="2880" w:hanging="360"/>
      </w:pPr>
    </w:lvl>
    <w:lvl w:ilvl="4" w:tplc="9BF80612">
      <w:start w:val="1"/>
      <w:numFmt w:val="bullet"/>
      <w:lvlText w:val="○"/>
      <w:lvlJc w:val="left"/>
      <w:pPr>
        <w:ind w:left="3600" w:hanging="360"/>
      </w:pPr>
    </w:lvl>
    <w:lvl w:ilvl="5" w:tplc="63644B72">
      <w:start w:val="1"/>
      <w:numFmt w:val="bullet"/>
      <w:lvlText w:val="■"/>
      <w:lvlJc w:val="left"/>
      <w:pPr>
        <w:ind w:left="4320" w:hanging="360"/>
      </w:pPr>
    </w:lvl>
    <w:lvl w:ilvl="6" w:tplc="AAB45A96">
      <w:start w:val="1"/>
      <w:numFmt w:val="bullet"/>
      <w:lvlText w:val="●"/>
      <w:lvlJc w:val="left"/>
      <w:pPr>
        <w:ind w:left="5040" w:hanging="360"/>
      </w:pPr>
    </w:lvl>
    <w:lvl w:ilvl="7" w:tplc="C43E2D9E">
      <w:start w:val="1"/>
      <w:numFmt w:val="bullet"/>
      <w:lvlText w:val="●"/>
      <w:lvlJc w:val="left"/>
      <w:pPr>
        <w:ind w:left="5760" w:hanging="360"/>
      </w:pPr>
    </w:lvl>
    <w:lvl w:ilvl="8" w:tplc="66BCCA66">
      <w:start w:val="1"/>
      <w:numFmt w:val="bullet"/>
      <w:lvlText w:val="●"/>
      <w:lvlJc w:val="left"/>
      <w:pPr>
        <w:ind w:left="6480" w:hanging="360"/>
      </w:pPr>
    </w:lvl>
  </w:abstractNum>
  <w:abstractNum w:abstractNumId="1" w15:restartNumberingAfterBreak="0">
    <w:nsid w:val="72115382"/>
    <w:multiLevelType w:val="hybridMultilevel"/>
    <w:tmpl w:val="E0022748"/>
    <w:lvl w:ilvl="0" w:tplc="7BA27956">
      <w:start w:val="1"/>
      <w:numFmt w:val="bullet"/>
      <w:lvlText w:val="•"/>
      <w:lvlJc w:val="left"/>
      <w:pPr>
        <w:ind w:left="460" w:hanging="260"/>
      </w:pPr>
    </w:lvl>
    <w:lvl w:ilvl="1" w:tplc="748A77E0">
      <w:numFmt w:val="decimal"/>
      <w:lvlText w:val=""/>
      <w:lvlJc w:val="left"/>
    </w:lvl>
    <w:lvl w:ilvl="2" w:tplc="3104E6CC">
      <w:numFmt w:val="decimal"/>
      <w:lvlText w:val=""/>
      <w:lvlJc w:val="left"/>
    </w:lvl>
    <w:lvl w:ilvl="3" w:tplc="B164D038">
      <w:numFmt w:val="decimal"/>
      <w:lvlText w:val=""/>
      <w:lvlJc w:val="left"/>
    </w:lvl>
    <w:lvl w:ilvl="4" w:tplc="9A0401A6">
      <w:numFmt w:val="decimal"/>
      <w:lvlText w:val=""/>
      <w:lvlJc w:val="left"/>
    </w:lvl>
    <w:lvl w:ilvl="5" w:tplc="7B9A6198">
      <w:numFmt w:val="decimal"/>
      <w:lvlText w:val=""/>
      <w:lvlJc w:val="left"/>
    </w:lvl>
    <w:lvl w:ilvl="6" w:tplc="9F586B7C">
      <w:numFmt w:val="decimal"/>
      <w:lvlText w:val=""/>
      <w:lvlJc w:val="left"/>
    </w:lvl>
    <w:lvl w:ilvl="7" w:tplc="D24C28A4">
      <w:numFmt w:val="decimal"/>
      <w:lvlText w:val=""/>
      <w:lvlJc w:val="left"/>
    </w:lvl>
    <w:lvl w:ilvl="8" w:tplc="5EE6F8C4">
      <w:numFmt w:val="decimal"/>
      <w:lvlText w:val=""/>
      <w:lvlJc w:val="left"/>
    </w:lvl>
  </w:abstractNum>
  <w:abstractNum w:abstractNumId="2" w15:restartNumberingAfterBreak="0">
    <w:nsid w:val="76AD219C"/>
    <w:multiLevelType w:val="hybridMultilevel"/>
    <w:tmpl w:val="485E9828"/>
    <w:lvl w:ilvl="0" w:tplc="B03A4D86">
      <w:start w:val="1"/>
      <w:numFmt w:val="bullet"/>
      <w:lvlText w:val="•"/>
      <w:lvlJc w:val="left"/>
      <w:pPr>
        <w:ind w:left="460" w:hanging="260"/>
      </w:pPr>
    </w:lvl>
    <w:lvl w:ilvl="1" w:tplc="87FAF92C">
      <w:numFmt w:val="decimal"/>
      <w:lvlText w:val=""/>
      <w:lvlJc w:val="left"/>
    </w:lvl>
    <w:lvl w:ilvl="2" w:tplc="D74885FC">
      <w:numFmt w:val="decimal"/>
      <w:lvlText w:val=""/>
      <w:lvlJc w:val="left"/>
    </w:lvl>
    <w:lvl w:ilvl="3" w:tplc="7562B988">
      <w:numFmt w:val="decimal"/>
      <w:lvlText w:val=""/>
      <w:lvlJc w:val="left"/>
    </w:lvl>
    <w:lvl w:ilvl="4" w:tplc="30A22532">
      <w:numFmt w:val="decimal"/>
      <w:lvlText w:val=""/>
      <w:lvlJc w:val="left"/>
    </w:lvl>
    <w:lvl w:ilvl="5" w:tplc="4AFCFE16">
      <w:numFmt w:val="decimal"/>
      <w:lvlText w:val=""/>
      <w:lvlJc w:val="left"/>
    </w:lvl>
    <w:lvl w:ilvl="6" w:tplc="6032D7AE">
      <w:numFmt w:val="decimal"/>
      <w:lvlText w:val=""/>
      <w:lvlJc w:val="left"/>
    </w:lvl>
    <w:lvl w:ilvl="7" w:tplc="E63E878E">
      <w:numFmt w:val="decimal"/>
      <w:lvlText w:val=""/>
      <w:lvlJc w:val="left"/>
    </w:lvl>
    <w:lvl w:ilvl="8" w:tplc="D4A09212">
      <w:numFmt w:val="decimal"/>
      <w:lvlText w:val=""/>
      <w:lvlJc w:val="left"/>
    </w:lvl>
  </w:abstractNum>
  <w:num w:numId="1" w16cid:durableId="316955403">
    <w:abstractNumId w:val="0"/>
    <w:lvlOverride w:ilvl="0">
      <w:startOverride w:val="1"/>
    </w:lvlOverride>
  </w:num>
  <w:num w:numId="2" w16cid:durableId="97991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8A"/>
    <w:rsid w:val="002B129C"/>
    <w:rsid w:val="006C658A"/>
    <w:rsid w:val="00EC600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81A6"/>
  <w15:docId w15:val="{962A4EC0-19FB-4083-A67E-A5A52F23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Arial"/>
      <w:b/>
      <w:bCs/>
      <w:color w:val="1F4E79"/>
      <w:sz w:val="28"/>
      <w:szCs w:val="28"/>
    </w:rPr>
  </w:style>
  <w:style w:type="paragraph" w:styleId="Heading2">
    <w:name w:val="heading 2"/>
    <w:uiPriority w:val="9"/>
    <w:semiHidden/>
    <w:unhideWhenUsed/>
    <w:qFormat/>
    <w:pPr>
      <w:spacing w:before="200" w:after="100"/>
      <w:outlineLvl w:val="1"/>
    </w:pPr>
    <w:rPr>
      <w:rFonts w:eastAsia="Arial"/>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Jiongkai Pang</cp:lastModifiedBy>
  <cp:revision>2</cp:revision>
  <dcterms:created xsi:type="dcterms:W3CDTF">2026-02-26T01:17:00Z</dcterms:created>
  <dcterms:modified xsi:type="dcterms:W3CDTF">2026-02-26T01:18:00Z</dcterms:modified>
</cp:coreProperties>
</file>