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a1a2e"/>
          <w:sz w:val="40"/>
          <w:szCs w:val="40"/>
        </w:rPr>
        <w:t xml:space="preserve">TERMS AND CONDITIONS OF USE</w:t>
      </w:r>
    </w:p>
    <w:p>
      <w:pPr>
        <w:spacing w:after="80" w:before="0"/>
        <w:jc w:val="center"/>
      </w:pPr>
      <w:r>
        <w:rPr>
          <w:rFonts w:ascii="Arial" w:cs="Arial" w:eastAsia="Arial" w:hAnsi="Arial"/>
          <w:b/>
          <w:bCs/>
          <w:color w:val="2c3e7a"/>
          <w:sz w:val="30"/>
          <w:szCs w:val="30"/>
        </w:rPr>
        <w:t xml:space="preserve">Outlook Email Evaluator</w:t>
      </w:r>
    </w:p>
    <w:p>
      <w:pPr>
        <w:spacing w:after="80" w:before="0"/>
        <w:jc w:val="center"/>
      </w:pPr>
      <w:r>
        <w:rPr>
          <w:rFonts w:ascii="Arial" w:cs="Arial" w:eastAsia="Arial" w:hAnsi="Arial"/>
          <w:i/>
          <w:iCs/>
          <w:color w:val="444444"/>
          <w:sz w:val="26"/>
          <w:szCs w:val="26"/>
        </w:rPr>
        <w:t xml:space="preserve">Ingot Solutions</w:t>
      </w:r>
    </w:p>
    <w:p>
      <w:pPr>
        <w:spacing w:after="60" w:before="0"/>
        <w:jc w:val="center"/>
      </w:pPr>
      <w:r>
        <w:rPr>
          <w:rFonts w:ascii="Arial" w:cs="Arial" w:eastAsia="Arial" w:hAnsi="Arial"/>
          <w:color w:val="666666"/>
          <w:sz w:val="20"/>
          <w:szCs w:val="20"/>
        </w:rPr>
        <w:t xml:space="preserve">Effective Date: April 4, 2026</w:t>
      </w:r>
    </w:p>
    <w:p>
      <w:pPr>
        <w:spacing w:after="480" w:before="0"/>
        <w:jc w:val="center"/>
      </w:pPr>
      <w:r>
        <w:rPr>
          <w:rFonts w:ascii="Arial" w:cs="Arial" w:eastAsia="Arial" w:hAnsi="Arial"/>
          <w:color w:val="666666"/>
          <w:sz w:val="20"/>
          <w:szCs w:val="20"/>
        </w:rPr>
        <w:t xml:space="preserve">Province of Alberta, Canada</w:t>
      </w:r>
    </w:p>
    <w:p>
      <w:pPr>
        <w:pBdr>
          <w:top w:val="single" w:color="c0392b" w:sz="6"/>
          <w:bottom w:val="single" w:color="c0392b" w:sz="6"/>
          <w:left w:val="single" w:color="c0392b" w:sz="6"/>
          <w:right w:val="single" w:color="c0392b" w:sz="6"/>
        </w:pBdr>
        <w:spacing w:after="80" w:before="0"/>
      </w:pPr>
      <w:r>
        <w:rPr>
          <w:rFonts w:ascii="Arial" w:cs="Arial" w:eastAsia="Arial" w:hAnsi="Arial"/>
          <w:b/>
          <w:bCs/>
          <w:color w:val="c0392b"/>
          <w:sz w:val="22"/>
          <w:szCs w:val="22"/>
        </w:rPr>
        <w:t xml:space="preserve">IMPORTANT — PLEASE READ CAREFULLY</w:t>
      </w:r>
    </w:p>
    <w:p>
      <w:pPr>
        <w:pBdr>
          <w:bottom w:val="single" w:color="c0392b" w:sz="6"/>
          <w:left w:val="single" w:color="c0392b" w:sz="6"/>
          <w:right w:val="single" w:color="c0392b" w:sz="6"/>
        </w:pBdr>
        <w:spacing w:after="480" w:before="0"/>
      </w:pPr>
      <w:r>
        <w:rPr>
          <w:rFonts w:ascii="Arial" w:cs="Arial" w:eastAsia="Arial" w:hAnsi="Arial"/>
          <w:b/>
          <w:bCs/>
          <w:color w:val="c0392b"/>
          <w:sz w:val="20"/>
          <w:szCs w:val="20"/>
        </w:rPr>
        <w:t xml:space="preserve">BY INSTALLING, ACTIVATING, OR USING THE OUTLOOK EMAIL EVALUATOR SOFTWARE, BROWSER EXTENSION, OR ANY ASSOCIATED SERVICE (COLLECTIVELY, THE “SOFTWARE”), YOU ACKNOWLEDGE THAT YOU HAVE READ, UNDERSTOOD, AND AGREE TO BE BOUND BY THESE TERMS AND CONDITIONS. IF YOU DO NOT AGREE, DO NOT INSTALL OR USE THE SOFTWARE.</w:t>
      </w:r>
    </w:p>
    <w:p>
      <w:pPr>
        <w:pStyle w:val="Heading1"/>
      </w:pPr>
      <w:r>
        <w:t xml:space="preserve">1. Parties and Acceptance</w:t>
      </w:r>
    </w:p>
    <w:p>
      <w:pPr>
        <w:spacing w:after="200" w:before="120"/>
      </w:pPr>
      <w:r>
        <w:rPr>
          <w:rFonts w:ascii="Arial" w:cs="Arial" w:eastAsia="Arial" w:hAnsi="Arial"/>
          <w:sz w:val="22"/>
          <w:szCs w:val="22"/>
        </w:rPr>
        <w:t xml:space="preserve">These Terms and Conditions (“Agreement”) constitute a legally binding contract between you (“User,” “you,” or “your”) and Ingot Solutions, a sole proprietorship registered in the Province of Alberta, Canada (“Ingot Solutions,” “we,” “us,” or “our”). This Agreement governs your access to and use of the Outlook Email Evaluator software, browser extension, application programming interfaces, associated documentation, and all related services provided under Trial, Standard, and Pro license tiers (collectively, the “Software”).</w:t>
      </w:r>
    </w:p>
    <w:p>
      <w:pPr>
        <w:spacing w:after="200" w:before="0"/>
      </w:pPr>
      <w:r>
        <w:rPr>
          <w:rFonts w:ascii="Arial" w:cs="Arial" w:eastAsia="Arial" w:hAnsi="Arial"/>
          <w:sz w:val="22"/>
          <w:szCs w:val="22"/>
        </w:rPr>
        <w:t xml:space="preserve">Your use of the Software, activation of a license key, or continued use following notification of any amendment to this Agreement constitutes your acceptance of all terms herein. If you are accepting on behalf of an organization, you represent and warrant that you have authority to bind that organization to this Agreement.</w:t>
      </w:r>
    </w:p>
    <w:p>
      <w:pPr>
        <w:pStyle w:val="Heading1"/>
      </w:pPr>
      <w:r>
        <w:t xml:space="preserve">2. License Tiers and Permitted Use</w:t>
      </w:r>
    </w:p>
    <w:p>
      <w:pPr>
        <w:pStyle w:val="Heading2"/>
      </w:pPr>
      <w:r>
        <w:t xml:space="preserve">2.1 Trial License</w:t>
      </w:r>
    </w:p>
    <w:p>
      <w:pPr>
        <w:spacing w:after="120" w:before="80"/>
      </w:pPr>
      <w:r>
        <w:rPr>
          <w:rFonts w:ascii="Arial" w:cs="Arial" w:eastAsia="Arial" w:hAnsi="Arial"/>
          <w:sz w:val="22"/>
          <w:szCs w:val="22"/>
        </w:rPr>
        <w:t xml:space="preserve">Subject to the terms of this Agreement, Ingot Solutions grants you a limited, non-exclusive, non-transferable, revocable license to install and use the Software for evaluation purposes only. The Trial license:</w:t>
      </w:r>
    </w:p>
    <w:p>
      <w:pPr>
        <w:pStyle w:val="ListParagraph"/>
        <w:numPr>
          <w:ilvl w:val="0"/>
          <w:numId w:val="2"/>
        </w:numPr>
        <w:spacing w:after="60" w:before="60"/>
      </w:pPr>
      <w:r>
        <w:rPr>
          <w:rFonts w:ascii="Arial" w:cs="Arial" w:eastAsia="Arial" w:hAnsi="Arial"/>
          <w:sz w:val="22"/>
          <w:szCs w:val="22"/>
        </w:rPr>
        <w:t xml:space="preserve">Is provided at no charge for a limited evaluation period as specified at time of activation;</w:t>
      </w:r>
    </w:p>
    <w:p>
      <w:pPr>
        <w:pStyle w:val="ListParagraph"/>
        <w:numPr>
          <w:ilvl w:val="0"/>
          <w:numId w:val="2"/>
        </w:numPr>
        <w:spacing w:after="60" w:before="60"/>
      </w:pPr>
      <w:r>
        <w:rPr>
          <w:rFonts w:ascii="Arial" w:cs="Arial" w:eastAsia="Arial" w:hAnsi="Arial"/>
          <w:sz w:val="22"/>
          <w:szCs w:val="22"/>
        </w:rPr>
        <w:t xml:space="preserve">May include feature restrictions, usage caps, or watermarking at Ingot Solutions’ sole discretion;</w:t>
      </w:r>
    </w:p>
    <w:p>
      <w:pPr>
        <w:pStyle w:val="ListParagraph"/>
        <w:numPr>
          <w:ilvl w:val="0"/>
          <w:numId w:val="2"/>
        </w:numPr>
        <w:spacing w:after="60" w:before="60"/>
      </w:pPr>
      <w:r>
        <w:rPr>
          <w:rFonts w:ascii="Arial" w:cs="Arial" w:eastAsia="Arial" w:hAnsi="Arial"/>
          <w:sz w:val="22"/>
          <w:szCs w:val="22"/>
        </w:rPr>
        <w:t xml:space="preserve">May not be used for commercial or production purposes without upgrading to a paid tier;</w:t>
      </w:r>
    </w:p>
    <w:p>
      <w:pPr>
        <w:pStyle w:val="ListParagraph"/>
        <w:numPr>
          <w:ilvl w:val="0"/>
          <w:numId w:val="2"/>
        </w:numPr>
        <w:spacing w:after="60" w:before="60"/>
      </w:pPr>
      <w:r>
        <w:rPr>
          <w:rFonts w:ascii="Arial" w:cs="Arial" w:eastAsia="Arial" w:hAnsi="Arial"/>
          <w:sz w:val="22"/>
          <w:szCs w:val="22"/>
        </w:rPr>
        <w:t xml:space="preserve">Automatically expires at the end of the trial period without notice.</w:t>
      </w:r>
    </w:p>
    <w:p>
      <w:pPr>
        <w:pStyle w:val="Heading2"/>
      </w:pPr>
      <w:r>
        <w:t xml:space="preserve">2.2 Standard License</w:t>
      </w:r>
    </w:p>
    <w:p>
      <w:pPr>
        <w:spacing w:after="120" w:before="80"/>
      </w:pPr>
      <w:r>
        <w:rPr>
          <w:rFonts w:ascii="Arial" w:cs="Arial" w:eastAsia="Arial" w:hAnsi="Arial"/>
          <w:sz w:val="22"/>
          <w:szCs w:val="22"/>
        </w:rPr>
        <w:t xml:space="preserve">Upon payment of applicable fees and activation of a valid Standard license key, Ingot Solutions grants you a limited, non-exclusive, non-transferable license to:</w:t>
      </w:r>
    </w:p>
    <w:p>
      <w:pPr>
        <w:pStyle w:val="ListParagraph"/>
        <w:numPr>
          <w:ilvl w:val="0"/>
          <w:numId w:val="2"/>
        </w:numPr>
        <w:spacing w:after="60" w:before="60"/>
      </w:pPr>
      <w:r>
        <w:rPr>
          <w:rFonts w:ascii="Arial" w:cs="Arial" w:eastAsia="Arial" w:hAnsi="Arial"/>
          <w:sz w:val="22"/>
          <w:szCs w:val="22"/>
        </w:rPr>
        <w:t xml:space="preserve">Install and use the Software on up to the number of devices specified at purchase;</w:t>
      </w:r>
    </w:p>
    <w:p>
      <w:pPr>
        <w:pStyle w:val="ListParagraph"/>
        <w:numPr>
          <w:ilvl w:val="0"/>
          <w:numId w:val="2"/>
        </w:numPr>
        <w:spacing w:after="60" w:before="60"/>
      </w:pPr>
      <w:r>
        <w:rPr>
          <w:rFonts w:ascii="Arial" w:cs="Arial" w:eastAsia="Arial" w:hAnsi="Arial"/>
          <w:sz w:val="22"/>
          <w:szCs w:val="22"/>
        </w:rPr>
        <w:t xml:space="preserve">Use the Software for your internal business or personal email analysis purposes;</w:t>
      </w:r>
    </w:p>
    <w:p>
      <w:pPr>
        <w:pStyle w:val="ListParagraph"/>
        <w:numPr>
          <w:ilvl w:val="0"/>
          <w:numId w:val="2"/>
        </w:numPr>
        <w:spacing w:after="60" w:before="60"/>
      </w:pPr>
      <w:r>
        <w:rPr>
          <w:rFonts w:ascii="Arial" w:cs="Arial" w:eastAsia="Arial" w:hAnsi="Arial"/>
          <w:sz w:val="22"/>
          <w:szCs w:val="22"/>
        </w:rPr>
        <w:t xml:space="preserve">Receive standard updates and bug fixes during the active license period.</w:t>
      </w:r>
    </w:p>
    <w:p>
      <w:pPr>
        <w:pStyle w:val="Heading2"/>
      </w:pPr>
      <w:r>
        <w:t xml:space="preserve">2.3 Pro License</w:t>
      </w:r>
    </w:p>
    <w:p>
      <w:pPr>
        <w:spacing w:after="120" w:before="80"/>
      </w:pPr>
      <w:r>
        <w:rPr>
          <w:rFonts w:ascii="Arial" w:cs="Arial" w:eastAsia="Arial" w:hAnsi="Arial"/>
          <w:sz w:val="22"/>
          <w:szCs w:val="22"/>
        </w:rPr>
        <w:t xml:space="preserve">Upon payment of applicable Pro tier fees and activation of a valid Pro license key, Ingot Solutions grants you a limited, non-exclusive, non-transferable license to:</w:t>
      </w:r>
    </w:p>
    <w:p>
      <w:pPr>
        <w:pStyle w:val="ListParagraph"/>
        <w:numPr>
          <w:ilvl w:val="0"/>
          <w:numId w:val="2"/>
        </w:numPr>
        <w:spacing w:after="60" w:before="60"/>
      </w:pPr>
      <w:r>
        <w:rPr>
          <w:rFonts w:ascii="Arial" w:cs="Arial" w:eastAsia="Arial" w:hAnsi="Arial"/>
          <w:sz w:val="22"/>
          <w:szCs w:val="22"/>
        </w:rPr>
        <w:t xml:space="preserve">Install and use the Software on the number of devices or seats specified at purchase;</w:t>
      </w:r>
    </w:p>
    <w:p>
      <w:pPr>
        <w:pStyle w:val="ListParagraph"/>
        <w:numPr>
          <w:ilvl w:val="0"/>
          <w:numId w:val="2"/>
        </w:numPr>
        <w:spacing w:after="60" w:before="60"/>
      </w:pPr>
      <w:r>
        <w:rPr>
          <w:rFonts w:ascii="Arial" w:cs="Arial" w:eastAsia="Arial" w:hAnsi="Arial"/>
          <w:sz w:val="22"/>
          <w:szCs w:val="22"/>
        </w:rPr>
        <w:t xml:space="preserve">Access all Pro-tier features, integrations, and advanced functionality as made available;</w:t>
      </w:r>
    </w:p>
    <w:p>
      <w:pPr>
        <w:pStyle w:val="ListParagraph"/>
        <w:numPr>
          <w:ilvl w:val="0"/>
          <w:numId w:val="2"/>
        </w:numPr>
        <w:spacing w:after="60" w:before="60"/>
      </w:pPr>
      <w:r>
        <w:rPr>
          <w:rFonts w:ascii="Arial" w:cs="Arial" w:eastAsia="Arial" w:hAnsi="Arial"/>
          <w:sz w:val="22"/>
          <w:szCs w:val="22"/>
        </w:rPr>
        <w:t xml:space="preserve">Receive priority updates, enhanced support as described in Section 9, and access to beta features where offered;</w:t>
      </w:r>
    </w:p>
    <w:p>
      <w:pPr>
        <w:pStyle w:val="ListParagraph"/>
        <w:numPr>
          <w:ilvl w:val="0"/>
          <w:numId w:val="2"/>
        </w:numPr>
        <w:spacing w:after="60" w:before="60"/>
      </w:pPr>
      <w:r>
        <w:rPr>
          <w:rFonts w:ascii="Arial" w:cs="Arial" w:eastAsia="Arial" w:hAnsi="Arial"/>
          <w:sz w:val="22"/>
          <w:szCs w:val="22"/>
        </w:rPr>
        <w:t xml:space="preserve">Deploy the Software in organizational or commercial environments subject to seat count limitations.</w:t>
      </w:r>
    </w:p>
    <w:p>
      <w:pPr>
        <w:pStyle w:val="Heading2"/>
      </w:pPr>
      <w:r>
        <w:t xml:space="preserve">2.4 General License Restrictions</w:t>
      </w:r>
    </w:p>
    <w:p>
      <w:pPr>
        <w:spacing w:after="120" w:before="80"/>
      </w:pPr>
      <w:r>
        <w:rPr>
          <w:rFonts w:ascii="Arial" w:cs="Arial" w:eastAsia="Arial" w:hAnsi="Arial"/>
          <w:sz w:val="22"/>
          <w:szCs w:val="22"/>
        </w:rPr>
        <w:t xml:space="preserve">Regardless of license tier, you may not:</w:t>
      </w:r>
    </w:p>
    <w:p>
      <w:pPr>
        <w:pStyle w:val="ListParagraph"/>
        <w:numPr>
          <w:ilvl w:val="0"/>
          <w:numId w:val="2"/>
        </w:numPr>
        <w:spacing w:after="60" w:before="60"/>
      </w:pPr>
      <w:r>
        <w:rPr>
          <w:rFonts w:ascii="Arial" w:cs="Arial" w:eastAsia="Arial" w:hAnsi="Arial"/>
          <w:sz w:val="22"/>
          <w:szCs w:val="22"/>
        </w:rPr>
        <w:t xml:space="preserve">Sublicense, sell, resell, transfer, assign, or otherwise commercially exploit the Software or any portion thereof;</w:t>
      </w:r>
    </w:p>
    <w:p>
      <w:pPr>
        <w:pStyle w:val="ListParagraph"/>
        <w:numPr>
          <w:ilvl w:val="0"/>
          <w:numId w:val="2"/>
        </w:numPr>
        <w:spacing w:after="60" w:before="60"/>
      </w:pPr>
      <w:r>
        <w:rPr>
          <w:rFonts w:ascii="Arial" w:cs="Arial" w:eastAsia="Arial" w:hAnsi="Arial"/>
          <w:sz w:val="22"/>
          <w:szCs w:val="22"/>
        </w:rPr>
        <w:t xml:space="preserve">Reverse engineer, decompile, disassemble, or attempt to derive source code from the Software;</w:t>
      </w:r>
    </w:p>
    <w:p>
      <w:pPr>
        <w:pStyle w:val="ListParagraph"/>
        <w:numPr>
          <w:ilvl w:val="0"/>
          <w:numId w:val="2"/>
        </w:numPr>
        <w:spacing w:after="60" w:before="60"/>
      </w:pPr>
      <w:r>
        <w:rPr>
          <w:rFonts w:ascii="Arial" w:cs="Arial" w:eastAsia="Arial" w:hAnsi="Arial"/>
          <w:sz w:val="22"/>
          <w:szCs w:val="22"/>
        </w:rPr>
        <w:t xml:space="preserve">Modify, adapt, translate, or create derivative works based on the Software without written consent;</w:t>
      </w:r>
    </w:p>
    <w:p>
      <w:pPr>
        <w:pStyle w:val="ListParagraph"/>
        <w:numPr>
          <w:ilvl w:val="0"/>
          <w:numId w:val="2"/>
        </w:numPr>
        <w:spacing w:after="60" w:before="60"/>
      </w:pPr>
      <w:r>
        <w:rPr>
          <w:rFonts w:ascii="Arial" w:cs="Arial" w:eastAsia="Arial" w:hAnsi="Arial"/>
          <w:sz w:val="22"/>
          <w:szCs w:val="22"/>
        </w:rPr>
        <w:t xml:space="preserve">Remove, alter, or obscure any proprietary notices, branding, or license key mechanisms;</w:t>
      </w:r>
    </w:p>
    <w:p>
      <w:pPr>
        <w:pStyle w:val="ListParagraph"/>
        <w:numPr>
          <w:ilvl w:val="0"/>
          <w:numId w:val="2"/>
        </w:numPr>
        <w:spacing w:after="60" w:before="60"/>
      </w:pPr>
      <w:r>
        <w:rPr>
          <w:rFonts w:ascii="Arial" w:cs="Arial" w:eastAsia="Arial" w:hAnsi="Arial"/>
          <w:sz w:val="22"/>
          <w:szCs w:val="22"/>
        </w:rPr>
        <w:t xml:space="preserve">Use the Software in any way that violates applicable law or third-party rights;</w:t>
      </w:r>
    </w:p>
    <w:p>
      <w:pPr>
        <w:pStyle w:val="ListParagraph"/>
        <w:numPr>
          <w:ilvl w:val="0"/>
          <w:numId w:val="2"/>
        </w:numPr>
        <w:spacing w:after="60" w:before="60"/>
      </w:pPr>
      <w:r>
        <w:rPr>
          <w:rFonts w:ascii="Arial" w:cs="Arial" w:eastAsia="Arial" w:hAnsi="Arial"/>
          <w:sz w:val="22"/>
          <w:szCs w:val="22"/>
        </w:rPr>
        <w:t xml:space="preserve">Share, distribute, or publish your license key to any third party.</w:t>
      </w:r>
    </w:p>
    <w:p>
      <w:pPr>
        <w:spacing w:after="200" w:before="120"/>
      </w:pPr>
      <w:r>
        <w:rPr>
          <w:rFonts w:ascii="Arial" w:cs="Arial" w:eastAsia="Arial" w:hAnsi="Arial"/>
          <w:sz w:val="22"/>
          <w:szCs w:val="22"/>
        </w:rPr>
        <w:t xml:space="preserve"/>
      </w:r>
    </w:p>
    <w:p>
      <w:pPr>
        <w:pStyle w:val="Heading1"/>
      </w:pPr>
      <w:r>
        <w:t xml:space="preserve">3. Nature of the Software — Email Analysis Tool</w:t>
      </w:r>
    </w:p>
    <w:p>
      <w:pPr>
        <w:spacing w:after="200" w:before="120"/>
      </w:pPr>
      <w:r>
        <w:rPr>
          <w:rFonts w:ascii="Arial" w:cs="Arial" w:eastAsia="Arial" w:hAnsi="Arial"/>
          <w:sz w:val="22"/>
          <w:szCs w:val="22"/>
        </w:rPr>
        <w:t xml:space="preserve">The Outlook Email Evaluator is an artificial intelligence-assisted software tool designed to provide probabilistic analysis and scoring of email messages for the purpose of assisting users in identifying potential phishing attempts, spam, and other suspicious communications. You expressly acknowledge and agree to the following:</w:t>
      </w:r>
    </w:p>
    <w:p>
      <w:pPr>
        <w:pStyle w:val="ListParagraph"/>
        <w:numPr>
          <w:ilvl w:val="0"/>
          <w:numId w:val="2"/>
        </w:numPr>
        <w:spacing w:after="80" w:before="80"/>
      </w:pPr>
      <w:r>
        <w:rPr>
          <w:rFonts w:ascii="Arial" w:cs="Arial" w:eastAsia="Arial" w:hAnsi="Arial"/>
          <w:sz w:val="22"/>
          <w:szCs w:val="22"/>
        </w:rPr>
        <w:t xml:space="preserve">The Software provides analysis and recommendations only. It does NOT make definitive determinations regarding the safety, legitimacy, or threat status of any email message;</w:t>
      </w:r>
    </w:p>
    <w:p>
      <w:pPr>
        <w:pStyle w:val="ListParagraph"/>
        <w:numPr>
          <w:ilvl w:val="0"/>
          <w:numId w:val="2"/>
        </w:numPr>
        <w:spacing w:after="80" w:before="80"/>
      </w:pPr>
      <w:r>
        <w:rPr>
          <w:rFonts w:ascii="Arial" w:cs="Arial" w:eastAsia="Arial" w:hAnsi="Arial"/>
          <w:sz w:val="22"/>
          <w:szCs w:val="22"/>
        </w:rPr>
        <w:t xml:space="preserve">All analysis output, including phishing scores, spam scores, verdicts, findings, and suggested actions, is generated through automated processing and artificial intelligence and may be inaccurate, incomplete, or incorrect;</w:t>
      </w:r>
    </w:p>
    <w:p>
      <w:pPr>
        <w:pStyle w:val="ListParagraph"/>
        <w:numPr>
          <w:ilvl w:val="0"/>
          <w:numId w:val="2"/>
        </w:numPr>
        <w:spacing w:after="80" w:before="80"/>
      </w:pPr>
      <w:r>
        <w:rPr>
          <w:rFonts w:ascii="Arial" w:cs="Arial" w:eastAsia="Arial" w:hAnsi="Arial"/>
          <w:sz w:val="22"/>
          <w:szCs w:val="22"/>
        </w:rPr>
        <w:t xml:space="preserve">The Software is not a substitute for professional cybersecurity advice, human judgment, organizational security policies, or IT security personnel;</w:t>
      </w:r>
    </w:p>
    <w:p>
      <w:pPr>
        <w:pStyle w:val="ListParagraph"/>
        <w:numPr>
          <w:ilvl w:val="0"/>
          <w:numId w:val="2"/>
        </w:numPr>
        <w:spacing w:after="80" w:before="80"/>
      </w:pPr>
      <w:r>
        <w:rPr>
          <w:rFonts w:ascii="Arial" w:cs="Arial" w:eastAsia="Arial" w:hAnsi="Arial"/>
          <w:sz w:val="22"/>
          <w:szCs w:val="22"/>
        </w:rPr>
        <w:t xml:space="preserve">No email analysis tool, including this Software, can detect all threats, phishing attempts, or malicious communications with certainty;</w:t>
      </w:r>
    </w:p>
    <w:p>
      <w:pPr>
        <w:pStyle w:val="ListParagraph"/>
        <w:numPr>
          <w:ilvl w:val="0"/>
          <w:numId w:val="2"/>
        </w:numPr>
        <w:spacing w:after="80" w:before="80"/>
      </w:pPr>
      <w:r>
        <w:rPr>
          <w:rFonts w:ascii="Arial" w:cs="Arial" w:eastAsia="Arial" w:hAnsi="Arial"/>
          <w:sz w:val="22"/>
          <w:szCs w:val="22"/>
        </w:rPr>
        <w:t xml:space="preserve">You retain sole responsibility for all decisions made based on, or influenced by, the output of the Software.</w:t>
      </w:r>
    </w:p>
    <w:p>
      <w:pPr>
        <w:spacing w:after="200" w:before="120"/>
      </w:pPr>
      <w:r>
        <w:rPr>
          <w:rFonts w:ascii="Arial" w:cs="Arial" w:eastAsia="Arial" w:hAnsi="Arial"/>
          <w:sz w:val="22"/>
          <w:szCs w:val="22"/>
        </w:rPr>
        <w:t xml:space="preserve"/>
      </w:r>
    </w:p>
    <w:p>
      <w:pPr>
        <w:pStyle w:val="Heading1"/>
      </w:pPr>
      <w:r>
        <w:t xml:space="preserve">4. Disclaimer of Accuracy and Fitness for Purpose</w:t>
      </w:r>
    </w:p>
    <w:p>
      <w:pPr>
        <w:spacing w:after="200" w:before="120"/>
      </w:pPr>
      <w:r>
        <w:rPr>
          <w:rFonts w:ascii="Arial" w:cs="Arial" w:eastAsia="Arial" w:hAnsi="Arial"/>
          <w:b/>
          <w:bCs/>
          <w:sz w:val="22"/>
          <w:szCs w:val="22"/>
        </w:rPr>
        <w:t xml:space="preserve">THE SOFTWARE IS PROVIDED ON AN “AS IS” AND “AS AVAILABLE” BASIS. INGOT SOLUTIONS EXPRESSLY DISCLAIMS ALL WARRANTIES OF ANY KIND, WHETHER EXPRESS, IMPLIED, STATUTORY, OR OTHERWISE, INCLUDING BUT NOT LIMITED TO:</w:t>
      </w:r>
    </w:p>
    <w:p>
      <w:pPr>
        <w:pStyle w:val="ListParagraph"/>
        <w:numPr>
          <w:ilvl w:val="0"/>
          <w:numId w:val="2"/>
        </w:numPr>
        <w:spacing w:after="80" w:before="80"/>
      </w:pPr>
      <w:r>
        <w:rPr>
          <w:rFonts w:ascii="Arial" w:cs="Arial" w:eastAsia="Arial" w:hAnsi="Arial"/>
          <w:b/>
          <w:bCs/>
          <w:sz w:val="22"/>
          <w:szCs w:val="22"/>
        </w:rPr>
        <w:t xml:space="preserve">IMPLIED WARRANTIES OF MERCHANTABILITY, FITNESS FOR A PARTICULAR PURPOSE, AND NON-INFRINGEMENT;</w:t>
      </w:r>
    </w:p>
    <w:p>
      <w:pPr>
        <w:pStyle w:val="ListParagraph"/>
        <w:numPr>
          <w:ilvl w:val="0"/>
          <w:numId w:val="2"/>
        </w:numPr>
        <w:spacing w:after="80" w:before="80"/>
      </w:pPr>
      <w:r>
        <w:rPr>
          <w:rFonts w:ascii="Arial" w:cs="Arial" w:eastAsia="Arial" w:hAnsi="Arial"/>
          <w:b/>
          <w:bCs/>
          <w:sz w:val="22"/>
          <w:szCs w:val="22"/>
        </w:rPr>
        <w:t xml:space="preserve">WARRANTIES THAT THE SOFTWARE WILL ACCURATELY IDENTIFY, CLASSIFY, OR DETECT PHISHING ATTEMPTS, SPAM, MALWARE, OR ANY OTHER THREAT;</w:t>
      </w:r>
    </w:p>
    <w:p>
      <w:pPr>
        <w:pStyle w:val="ListParagraph"/>
        <w:numPr>
          <w:ilvl w:val="0"/>
          <w:numId w:val="2"/>
        </w:numPr>
        <w:spacing w:after="80" w:before="80"/>
      </w:pPr>
      <w:r>
        <w:rPr>
          <w:rFonts w:ascii="Arial" w:cs="Arial" w:eastAsia="Arial" w:hAnsi="Arial"/>
          <w:b/>
          <w:bCs/>
          <w:sz w:val="22"/>
          <w:szCs w:val="22"/>
        </w:rPr>
        <w:t xml:space="preserve">WARRANTIES THAT THE SOFTWARE WILL BE ERROR-FREE, UNINTERRUPTED, SECURE, OR AVAILABLE AT ANY TIME;</w:t>
      </w:r>
    </w:p>
    <w:p>
      <w:pPr>
        <w:pStyle w:val="ListParagraph"/>
        <w:numPr>
          <w:ilvl w:val="0"/>
          <w:numId w:val="2"/>
        </w:numPr>
        <w:spacing w:after="80" w:before="80"/>
      </w:pPr>
      <w:r>
        <w:rPr>
          <w:rFonts w:ascii="Arial" w:cs="Arial" w:eastAsia="Arial" w:hAnsi="Arial"/>
          <w:b/>
          <w:bCs/>
          <w:sz w:val="22"/>
          <w:szCs w:val="22"/>
        </w:rPr>
        <w:t xml:space="preserve">WARRANTIES AS TO THE ACCURACY, RELIABILITY, COMPLETENESS, OR TIMELINESS OF ANY ANALYSIS, VERDICT, SCORE, OR RECOMMENDATION PRODUCED BY THE SOFTWARE;</w:t>
      </w:r>
    </w:p>
    <w:p>
      <w:pPr>
        <w:pStyle w:val="ListParagraph"/>
        <w:numPr>
          <w:ilvl w:val="0"/>
          <w:numId w:val="2"/>
        </w:numPr>
        <w:spacing w:after="80" w:before="80"/>
      </w:pPr>
      <w:r>
        <w:rPr>
          <w:rFonts w:ascii="Arial" w:cs="Arial" w:eastAsia="Arial" w:hAnsi="Arial"/>
          <w:b/>
          <w:bCs/>
          <w:sz w:val="22"/>
          <w:szCs w:val="22"/>
        </w:rPr>
        <w:t xml:space="preserve">WARRANTIES THAT USE OF THE SOFTWARE WILL PREVENT ANY SECURITY INCIDENT, DATA BREACH, FINANCIAL LOSS, OR HARM.</w:t>
      </w:r>
    </w:p>
    <w:p>
      <w:pPr>
        <w:spacing w:after="200" w:before="160"/>
      </w:pPr>
      <w:r>
        <w:rPr>
          <w:rFonts w:ascii="Arial" w:cs="Arial" w:eastAsia="Arial" w:hAnsi="Arial"/>
          <w:sz w:val="22"/>
          <w:szCs w:val="22"/>
        </w:rPr>
        <w:t xml:space="preserve">Ingot Solutions does not warrant or represent that the Software will correctly classify any particular email, and expressly disclaims any warranty that a “SAFE” verdict means an email is free from threat, or that a “PHISHING” verdict means an email is definitively malicious.</w:t>
      </w:r>
    </w:p>
    <w:p>
      <w:pPr>
        <w:pStyle w:val="Heading1"/>
      </w:pPr>
      <w:r>
        <w:t xml:space="preserve">5. Limitation of Liability</w:t>
      </w:r>
    </w:p>
    <w:p>
      <w:pPr>
        <w:spacing w:after="200" w:before="120"/>
      </w:pPr>
      <w:r>
        <w:rPr>
          <w:rFonts w:ascii="Arial" w:cs="Arial" w:eastAsia="Arial" w:hAnsi="Arial"/>
          <w:b/>
          <w:bCs/>
          <w:sz w:val="22"/>
          <w:szCs w:val="22"/>
        </w:rPr>
        <w:t xml:space="preserve">TO THE MAXIMUM EXTENT PERMITTED BY APPLICABLE LAW IN THE PROVINCE OF ALBERTA AND THE LAWS OF CANADA:</w:t>
      </w:r>
    </w:p>
    <w:p>
      <w:pPr>
        <w:pStyle w:val="Heading2"/>
      </w:pPr>
      <w:r>
        <w:t xml:space="preserve">5.1 Exclusion of Consequential Damages</w:t>
      </w:r>
    </w:p>
    <w:p>
      <w:pPr>
        <w:spacing w:after="200" w:before="80"/>
      </w:pPr>
      <w:r>
        <w:rPr>
          <w:rFonts w:ascii="Arial" w:cs="Arial" w:eastAsia="Arial" w:hAnsi="Arial"/>
          <w:b/>
          <w:bCs/>
          <w:sz w:val="22"/>
          <w:szCs w:val="22"/>
        </w:rPr>
        <w:t xml:space="preserve">IN NO EVENT SHALL INGOT SOLUTIONS, ITS OWNER(S), OFFICERS, CONTRACTORS, AGENTS, LICENSORS, OR SUPPLIERS BE LIABLE FOR ANY INDIRECT, INCIDENTAL, SPECIAL, CONSEQUENTIAL, PUNITIVE, OR EXEMPLARY DAMAGES, INCLUDING BUT NOT LIMITED TO: LOSS OF PROFITS, LOSS OF REVENUE, LOSS OF DATA, LOSS OF BUSINESS, BUSINESS INTERRUPTION, SECURITY BREACHES, FINANCIAL LOSSES, DAMAGE TO SYSTEMS OR NETWORKS, REPUTATIONAL HARM, OR ANY OTHER ECONOMIC LOSS, EVEN IF INGOT SOLUTIONS HAS BEEN ADVISED OF THE POSSIBILITY OF SUCH DAMAGES AND WHETHER ARISING IN CONTRACT, TORT (INCLUDING NEGLIGENCE), STRICT LIABILITY, OR OTHERWISE.</w:t>
      </w:r>
    </w:p>
    <w:p>
      <w:pPr>
        <w:pStyle w:val="Heading2"/>
      </w:pPr>
      <w:r>
        <w:t xml:space="preserve">5.2 Cap on Liability</w:t>
      </w:r>
    </w:p>
    <w:p>
      <w:pPr>
        <w:spacing w:after="200" w:before="80"/>
      </w:pPr>
      <w:r>
        <w:rPr>
          <w:rFonts w:ascii="Arial" w:cs="Arial" w:eastAsia="Arial" w:hAnsi="Arial"/>
          <w:b/>
          <w:bCs/>
          <w:sz w:val="22"/>
          <w:szCs w:val="22"/>
        </w:rPr>
        <w:t xml:space="preserve">IN ALL CASES, INGOT SOLUTIONS’ AGGREGATE LIABILITY TO YOU FOR ANY CLAIMS ARISING OUT OF OR RELATING TO THIS AGREEMENT OR THE SOFTWARE SHALL NOT EXCEED THE GREATER OF: (A) THE TOTAL FEES ACTUALLY PAID BY YOU TO INGOT SOLUTIONS IN THE TWELVE (12) MONTHS IMMEDIATELY PRECEDING THE EVENT GIVING RISE TO THE CLAIM; OR (B) ONE HUNDRED CANADIAN DOLLARS (CAD $100.00). THIS CAP APPLIES REGARDLESS OF THE FORM OF ACTION, WHETHER IN CONTRACT, TORT, NEGLIGENCE, OR OTHERWISE.</w:t>
      </w:r>
    </w:p>
    <w:p>
      <w:pPr>
        <w:pStyle w:val="Heading2"/>
      </w:pPr>
      <w:r>
        <w:t xml:space="preserve">5.3 Misclassification of Email</w:t>
      </w:r>
    </w:p>
    <w:p>
      <w:pPr>
        <w:spacing w:after="200" w:before="80"/>
      </w:pPr>
      <w:r>
        <w:rPr>
          <w:rFonts w:ascii="Arial" w:cs="Arial" w:eastAsia="Arial" w:hAnsi="Arial"/>
          <w:b/>
          <w:bCs/>
          <w:sz w:val="22"/>
          <w:szCs w:val="22"/>
        </w:rPr>
        <w:t xml:space="preserve">WITHOUT LIMITING THE FOREGOING, INGOT SOLUTIONS SHALL HAVE NO LIABILITY WHATSOEVER FOR ANY HARM, LOSS, DAMAGE, COST, OR EXPENSE ARISING FROM OR RELATED TO: (A) THE SOFTWARE’S FAILURE TO IDENTIFY OR CORRECTLY CLASSIFY A PHISHING, SPAM, MALICIOUS, OR OTHERWISE HARMFUL EMAIL; (B) THE SOFTWARE’S INCORRECT CLASSIFICATION OF A LEGITIMATE EMAIL AS PHISHING, SPAM, OR SUSPICIOUS; (C) ANY ACTION TAKEN OR NOT TAKEN BY YOU OR ANY THIRD PARTY IN RELIANCE ON THE OUTPUT OF THE SOFTWARE; OR (D) ANY SECURITY INCIDENT, FINANCIAL FRAUD, DATA THEFT, OR OTHER HARM RESULTING FROM ANY EMAIL, REGARDLESS OF HOW SUCH EMAIL WAS CLASSIFIED BY THE SOFTWARE.</w:t>
      </w:r>
    </w:p>
    <w:p>
      <w:pPr>
        <w:pStyle w:val="Heading1"/>
      </w:pPr>
      <w:r>
        <w:t xml:space="preserve">6. User Indemnification</w:t>
      </w:r>
    </w:p>
    <w:p>
      <w:pPr>
        <w:spacing w:after="200" w:before="120"/>
      </w:pPr>
      <w:r>
        <w:rPr>
          <w:rFonts w:ascii="Arial" w:cs="Arial" w:eastAsia="Arial" w:hAnsi="Arial"/>
          <w:sz w:val="22"/>
          <w:szCs w:val="22"/>
        </w:rPr>
        <w:t xml:space="preserve">You agree to defend, indemnify, and hold harmless Ingot Solutions and its owner(s), contractors, agents, and assigns (collectively, “Indemnified Parties”) from and against any and all claims, actions, proceedings, liabilities, damages, losses, costs, and expenses (including reasonable legal fees) arising out of or relating to:</w:t>
      </w:r>
    </w:p>
    <w:p>
      <w:pPr>
        <w:pStyle w:val="ListParagraph"/>
        <w:numPr>
          <w:ilvl w:val="0"/>
          <w:numId w:val="2"/>
        </w:numPr>
        <w:spacing w:after="80" w:before="80"/>
      </w:pPr>
      <w:r>
        <w:rPr>
          <w:rFonts w:ascii="Arial" w:cs="Arial" w:eastAsia="Arial" w:hAnsi="Arial"/>
          <w:sz w:val="22"/>
          <w:szCs w:val="22"/>
        </w:rPr>
        <w:t xml:space="preserve">Your use or misuse of the Software, including any reliance on its output;</w:t>
      </w:r>
    </w:p>
    <w:p>
      <w:pPr>
        <w:pStyle w:val="ListParagraph"/>
        <w:numPr>
          <w:ilvl w:val="0"/>
          <w:numId w:val="2"/>
        </w:numPr>
        <w:spacing w:after="80" w:before="80"/>
      </w:pPr>
      <w:r>
        <w:rPr>
          <w:rFonts w:ascii="Arial" w:cs="Arial" w:eastAsia="Arial" w:hAnsi="Arial"/>
          <w:sz w:val="22"/>
          <w:szCs w:val="22"/>
        </w:rPr>
        <w:t xml:space="preserve">Your violation of any provision of this Agreement;</w:t>
      </w:r>
    </w:p>
    <w:p>
      <w:pPr>
        <w:pStyle w:val="ListParagraph"/>
        <w:numPr>
          <w:ilvl w:val="0"/>
          <w:numId w:val="2"/>
        </w:numPr>
        <w:spacing w:after="80" w:before="80"/>
      </w:pPr>
      <w:r>
        <w:rPr>
          <w:rFonts w:ascii="Arial" w:cs="Arial" w:eastAsia="Arial" w:hAnsi="Arial"/>
          <w:sz w:val="22"/>
          <w:szCs w:val="22"/>
        </w:rPr>
        <w:t xml:space="preserve">Any decision made by you or a third party based on the analysis, verdicts, scores, or recommendations produced by the Software;</w:t>
      </w:r>
    </w:p>
    <w:p>
      <w:pPr>
        <w:pStyle w:val="ListParagraph"/>
        <w:numPr>
          <w:ilvl w:val="0"/>
          <w:numId w:val="2"/>
        </w:numPr>
        <w:spacing w:after="80" w:before="80"/>
      </w:pPr>
      <w:r>
        <w:rPr>
          <w:rFonts w:ascii="Arial" w:cs="Arial" w:eastAsia="Arial" w:hAnsi="Arial"/>
          <w:sz w:val="22"/>
          <w:szCs w:val="22"/>
        </w:rPr>
        <w:t xml:space="preserve">Any security incident, data breach, financial loss, or harm suffered by you or any third party in connection with your use of the Software;</w:t>
      </w:r>
    </w:p>
    <w:p>
      <w:pPr>
        <w:pStyle w:val="ListParagraph"/>
        <w:numPr>
          <w:ilvl w:val="0"/>
          <w:numId w:val="2"/>
        </w:numPr>
        <w:spacing w:after="80" w:before="80"/>
      </w:pPr>
      <w:r>
        <w:rPr>
          <w:rFonts w:ascii="Arial" w:cs="Arial" w:eastAsia="Arial" w:hAnsi="Arial"/>
          <w:sz w:val="22"/>
          <w:szCs w:val="22"/>
        </w:rPr>
        <w:t xml:space="preserve">Your violation of any applicable law, regulation, or third-party right;</w:t>
      </w:r>
    </w:p>
    <w:p>
      <w:pPr>
        <w:pStyle w:val="ListParagraph"/>
        <w:numPr>
          <w:ilvl w:val="0"/>
          <w:numId w:val="2"/>
        </w:numPr>
        <w:spacing w:after="80" w:before="80"/>
      </w:pPr>
      <w:r>
        <w:rPr>
          <w:rFonts w:ascii="Arial" w:cs="Arial" w:eastAsia="Arial" w:hAnsi="Arial"/>
          <w:sz w:val="22"/>
          <w:szCs w:val="22"/>
        </w:rPr>
        <w:t xml:space="preserve">Any claim that your use of the Software caused harm to a third party.</w:t>
      </w:r>
    </w:p>
    <w:p>
      <w:pPr>
        <w:spacing w:after="200" w:before="160"/>
      </w:pPr>
      <w:r>
        <w:rPr>
          <w:rFonts w:ascii="Arial" w:cs="Arial" w:eastAsia="Arial" w:hAnsi="Arial"/>
          <w:sz w:val="22"/>
          <w:szCs w:val="22"/>
        </w:rPr>
        <w:t xml:space="preserve">Ingot Solutions reserves the right to assume exclusive control of the defence of any matter subject to indemnification by you, at your expense. You agree to cooperate fully with Ingot Solutions in asserting any available defences.</w:t>
      </w:r>
    </w:p>
    <w:p>
      <w:pPr>
        <w:pStyle w:val="Heading1"/>
      </w:pPr>
      <w:r>
        <w:t xml:space="preserve">7. User Responsibilities and Acknowledgements</w:t>
      </w:r>
    </w:p>
    <w:p>
      <w:pPr>
        <w:spacing w:after="120" w:before="120"/>
      </w:pPr>
      <w:r>
        <w:rPr>
          <w:rFonts w:ascii="Arial" w:cs="Arial" w:eastAsia="Arial" w:hAnsi="Arial"/>
          <w:sz w:val="22"/>
          <w:szCs w:val="22"/>
        </w:rPr>
        <w:t xml:space="preserve">You expressly acknowledge and agree that:</w:t>
      </w:r>
    </w:p>
    <w:p>
      <w:pPr>
        <w:pStyle w:val="ListParagraph"/>
        <w:numPr>
          <w:ilvl w:val="0"/>
          <w:numId w:val="2"/>
        </w:numPr>
        <w:spacing w:after="80" w:before="80"/>
      </w:pPr>
      <w:r>
        <w:rPr>
          <w:rFonts w:ascii="Arial" w:cs="Arial" w:eastAsia="Arial" w:hAnsi="Arial"/>
          <w:sz w:val="22"/>
          <w:szCs w:val="22"/>
        </w:rPr>
        <w:t xml:space="preserve">You are solely responsible for all final decisions regarding the handling, opening, responding to, forwarding, or deleting of any email, regardless of the Software’s output;</w:t>
      </w:r>
    </w:p>
    <w:p>
      <w:pPr>
        <w:pStyle w:val="ListParagraph"/>
        <w:numPr>
          <w:ilvl w:val="0"/>
          <w:numId w:val="2"/>
        </w:numPr>
        <w:spacing w:after="80" w:before="80"/>
      </w:pPr>
      <w:r>
        <w:rPr>
          <w:rFonts w:ascii="Arial" w:cs="Arial" w:eastAsia="Arial" w:hAnsi="Arial"/>
          <w:sz w:val="22"/>
          <w:szCs w:val="22"/>
        </w:rPr>
        <w:t xml:space="preserve">You will not rely solely on the Software as your only means of evaluating the safety or legitimacy of any email communication;</w:t>
      </w:r>
    </w:p>
    <w:p>
      <w:pPr>
        <w:pStyle w:val="ListParagraph"/>
        <w:numPr>
          <w:ilvl w:val="0"/>
          <w:numId w:val="2"/>
        </w:numPr>
        <w:spacing w:after="80" w:before="80"/>
      </w:pPr>
      <w:r>
        <w:rPr>
          <w:rFonts w:ascii="Arial" w:cs="Arial" w:eastAsia="Arial" w:hAnsi="Arial"/>
          <w:sz w:val="22"/>
          <w:szCs w:val="22"/>
        </w:rPr>
        <w:t xml:space="preserve">You are responsible for maintaining your own cybersecurity practices, including organizational policies, IT security measures, and employee training;</w:t>
      </w:r>
    </w:p>
    <w:p>
      <w:pPr>
        <w:pStyle w:val="ListParagraph"/>
        <w:numPr>
          <w:ilvl w:val="0"/>
          <w:numId w:val="2"/>
        </w:numPr>
        <w:spacing w:after="80" w:before="80"/>
      </w:pPr>
      <w:r>
        <w:rPr>
          <w:rFonts w:ascii="Arial" w:cs="Arial" w:eastAsia="Arial" w:hAnsi="Arial"/>
          <w:sz w:val="22"/>
          <w:szCs w:val="22"/>
        </w:rPr>
        <w:t xml:space="preserve">You are responsible for ensuring the Software is used in compliance with all applicable laws, regulations, and your organization’s internal policies;</w:t>
      </w:r>
    </w:p>
    <w:p>
      <w:pPr>
        <w:pStyle w:val="ListParagraph"/>
        <w:numPr>
          <w:ilvl w:val="0"/>
          <w:numId w:val="2"/>
        </w:numPr>
        <w:spacing w:after="80" w:before="80"/>
      </w:pPr>
      <w:r>
        <w:rPr>
          <w:rFonts w:ascii="Arial" w:cs="Arial" w:eastAsia="Arial" w:hAnsi="Arial"/>
          <w:sz w:val="22"/>
          <w:szCs w:val="22"/>
        </w:rPr>
        <w:t xml:space="preserve">You will keep your license key confidential and notify Ingot Solutions promptly if you believe your license key has been compromised;</w:t>
      </w:r>
    </w:p>
    <w:p>
      <w:pPr>
        <w:pStyle w:val="ListParagraph"/>
        <w:numPr>
          <w:ilvl w:val="0"/>
          <w:numId w:val="2"/>
        </w:numPr>
        <w:spacing w:after="80" w:before="80"/>
      </w:pPr>
      <w:r>
        <w:rPr>
          <w:rFonts w:ascii="Arial" w:cs="Arial" w:eastAsia="Arial" w:hAnsi="Arial"/>
          <w:sz w:val="22"/>
          <w:szCs w:val="22"/>
        </w:rPr>
        <w:t xml:space="preserve">The Software analyzes email metadata, content, and links as presented to it and cannot detect threats that are not present or visible in the analyzed content.</w:t>
      </w:r>
    </w:p>
    <w:p>
      <w:pPr>
        <w:spacing w:after="200" w:before="120"/>
      </w:pPr>
      <w:r>
        <w:rPr>
          <w:rFonts w:ascii="Arial" w:cs="Arial" w:eastAsia="Arial" w:hAnsi="Arial"/>
          <w:sz w:val="22"/>
          <w:szCs w:val="22"/>
        </w:rPr>
        <w:t xml:space="preserve"/>
      </w:r>
    </w:p>
    <w:p>
      <w:pPr>
        <w:pStyle w:val="Heading1"/>
      </w:pPr>
      <w:r>
        <w:t xml:space="preserve">8. Intellectual Property</w:t>
      </w:r>
    </w:p>
    <w:p>
      <w:pPr>
        <w:spacing w:after="200" w:before="120"/>
      </w:pPr>
      <w:r>
        <w:rPr>
          <w:rFonts w:ascii="Arial" w:cs="Arial" w:eastAsia="Arial" w:hAnsi="Arial"/>
          <w:sz w:val="22"/>
          <w:szCs w:val="22"/>
        </w:rPr>
        <w:t xml:space="preserve">The Software, including all source code, object code, algorithms, interfaces, designs, documentation, branding, and related materials, is the exclusive intellectual property of Ingot Solutions and is protected by Canadian and international copyright, trade secret, and intellectual property laws. Nothing in this Agreement transfers any ownership rights in the Software to you. You are granted only the limited license rights expressly set out in Section 2.</w:t>
      </w:r>
    </w:p>
    <w:p>
      <w:pPr>
        <w:pStyle w:val="Heading1"/>
      </w:pPr>
      <w:r>
        <w:t xml:space="preserve">9. Support and Updates</w:t>
      </w:r>
    </w:p>
    <w:p>
      <w:pPr>
        <w:spacing w:after="200" w:before="120"/>
      </w:pPr>
      <w:r>
        <w:rPr>
          <w:rFonts w:ascii="Arial" w:cs="Arial" w:eastAsia="Arial" w:hAnsi="Arial"/>
          <w:sz w:val="22"/>
          <w:szCs w:val="22"/>
        </w:rPr>
        <w:t xml:space="preserve">Ingot Solutions may, at its sole discretion, provide updates, patches, or new versions of the Software. There is no obligation to provide any specific level of support, update frequency, or feature development for any license tier unless otherwise expressly agreed in writing. Support, if offered, is provided on a best-efforts basis. Ingot Solutions reserves the right to modify, suspend, or discontinue any feature or the Software entirely at any time, with or without notice, without liability.</w:t>
      </w:r>
    </w:p>
    <w:p>
      <w:pPr>
        <w:pStyle w:val="Heading1"/>
      </w:pPr>
      <w:r>
        <w:t xml:space="preserve">10. Privacy and Data</w:t>
      </w:r>
    </w:p>
    <w:p>
      <w:pPr>
        <w:spacing w:after="200" w:before="120"/>
      </w:pPr>
      <w:r>
        <w:rPr>
          <w:rFonts w:ascii="Arial" w:cs="Arial" w:eastAsia="Arial" w:hAnsi="Arial"/>
          <w:sz w:val="22"/>
          <w:szCs w:val="22"/>
        </w:rPr>
        <w:t xml:space="preserve">The Software processes email content locally through your browser and transmits analysis prompts to third-party artificial intelligence service providers for processing. By using the Software, you acknowledge and consent to this processing. You are solely responsible for ensuring that your use of the Software, including the transmission of email content to AI processing services, complies with all applicable privacy laws, including the Personal Information Protection and Electronic Documents Act (PIPEDA), Alberta’s Personal Information Protection Act (PIPA), and any other applicable legislation. Ingot Solutions is not responsible for the privacy practices of third-party AI service providers.</w:t>
      </w:r>
    </w:p>
    <w:p>
      <w:pPr>
        <w:pStyle w:val="Heading1"/>
      </w:pPr>
      <w:r>
        <w:t xml:space="preserve">11. Term and Termination</w:t>
      </w:r>
    </w:p>
    <w:p>
      <w:pPr>
        <w:spacing w:after="200" w:before="120"/>
      </w:pPr>
      <w:r>
        <w:rPr>
          <w:rFonts w:ascii="Arial" w:cs="Arial" w:eastAsia="Arial" w:hAnsi="Arial"/>
          <w:sz w:val="22"/>
          <w:szCs w:val="22"/>
        </w:rPr>
        <w:t xml:space="preserve">This Agreement is effective upon your acceptance and continues until terminated. Ingot Solutions may terminate this Agreement and your license immediately and without notice if you breach any provision of this Agreement. Upon termination, you must immediately cease all use of the Software and destroy all copies in your possession. Sections 3, 4, 5, 6, 8, 10, 13, and 14 shall survive termination of this Agreement.</w:t>
      </w:r>
    </w:p>
    <w:p>
      <w:pPr>
        <w:pStyle w:val="Heading1"/>
      </w:pPr>
      <w:r>
        <w:t xml:space="preserve">12. Amendments</w:t>
      </w:r>
    </w:p>
    <w:p>
      <w:pPr>
        <w:spacing w:after="200" w:before="120"/>
      </w:pPr>
      <w:r>
        <w:rPr>
          <w:rFonts w:ascii="Arial" w:cs="Arial" w:eastAsia="Arial" w:hAnsi="Arial"/>
          <w:sz w:val="22"/>
          <w:szCs w:val="22"/>
        </w:rPr>
        <w:t xml:space="preserve">Ingot Solutions reserves the right to modify these Terms and Conditions at any time. Amendments will be effective upon posting of the updated Agreement or notification through the Software or associated communications. Your continued use of the Software following notification of any amendment constitutes your acceptance of the revised terms. If you do not agree to any amendment, you must discontinue use of the Software.</w:t>
      </w:r>
    </w:p>
    <w:p>
      <w:pPr>
        <w:pStyle w:val="Heading1"/>
      </w:pPr>
      <w:r>
        <w:t xml:space="preserve">13. Governing Law and Dispute Resolution</w:t>
      </w:r>
    </w:p>
    <w:p>
      <w:pPr>
        <w:spacing w:after="200" w:before="120"/>
      </w:pPr>
      <w:r>
        <w:rPr>
          <w:rFonts w:ascii="Arial" w:cs="Arial" w:eastAsia="Arial" w:hAnsi="Arial"/>
          <w:sz w:val="22"/>
          <w:szCs w:val="22"/>
        </w:rPr>
        <w:t xml:space="preserve">This Agreement shall be governed by and construed in accordance with the laws of the Province of Alberta and the federal laws of Canada applicable therein, without regard to conflict of law principles. Any dispute, claim, or controversy arising out of or relating to this Agreement or the Software shall be subject to the exclusive jurisdiction of the courts of the Province of Alberta, Canada, and you hereby irrevocably submit to the personal jurisdiction of such courts. The United Nations Convention on Contracts for the International Sale of Goods does not apply to this Agreement.</w:t>
      </w:r>
    </w:p>
    <w:p>
      <w:pPr>
        <w:pStyle w:val="Heading1"/>
      </w:pPr>
      <w:r>
        <w:t xml:space="preserve">14. General Provisions</w:t>
      </w:r>
    </w:p>
    <w:p>
      <w:pPr>
        <w:pStyle w:val="Heading2"/>
      </w:pPr>
      <w:r>
        <w:t xml:space="preserve">14.1 Entire Agreement</w:t>
      </w:r>
    </w:p>
    <w:p>
      <w:pPr>
        <w:spacing w:after="160" w:before="80"/>
      </w:pPr>
      <w:r>
        <w:rPr>
          <w:rFonts w:ascii="Arial" w:cs="Arial" w:eastAsia="Arial" w:hAnsi="Arial"/>
          <w:sz w:val="22"/>
          <w:szCs w:val="22"/>
        </w:rPr>
        <w:t xml:space="preserve">This Agreement constitutes the entire agreement between you and Ingot Solutions with respect to the Software and supersedes all prior or contemporaneous understandings, negotiations, representations, and agreements, whether oral or written.</w:t>
      </w:r>
    </w:p>
    <w:p>
      <w:pPr>
        <w:pStyle w:val="Heading2"/>
      </w:pPr>
      <w:r>
        <w:t xml:space="preserve">14.2 Severability</w:t>
      </w:r>
    </w:p>
    <w:p>
      <w:pPr>
        <w:spacing w:after="160" w:before="80"/>
      </w:pPr>
      <w:r>
        <w:rPr>
          <w:rFonts w:ascii="Arial" w:cs="Arial" w:eastAsia="Arial" w:hAnsi="Arial"/>
          <w:sz w:val="22"/>
          <w:szCs w:val="22"/>
        </w:rPr>
        <w:t xml:space="preserve">If any provision of this Agreement is found to be invalid, illegal, or unenforceable under applicable law, that provision shall be modified to the minimum extent necessary to make it enforceable, and the remaining provisions shall continue in full force and effect.</w:t>
      </w:r>
    </w:p>
    <w:p>
      <w:pPr>
        <w:pStyle w:val="Heading2"/>
      </w:pPr>
      <w:r>
        <w:t xml:space="preserve">14.3 No Waiver</w:t>
      </w:r>
    </w:p>
    <w:p>
      <w:pPr>
        <w:spacing w:after="160" w:before="80"/>
      </w:pPr>
      <w:r>
        <w:rPr>
          <w:rFonts w:ascii="Arial" w:cs="Arial" w:eastAsia="Arial" w:hAnsi="Arial"/>
          <w:sz w:val="22"/>
          <w:szCs w:val="22"/>
        </w:rPr>
        <w:t xml:space="preserve">Failure by Ingot Solutions to enforce any provision of this Agreement shall not constitute a waiver of its right to enforce that provision or any other provision in the future.</w:t>
      </w:r>
    </w:p>
    <w:p>
      <w:pPr>
        <w:pStyle w:val="Heading2"/>
      </w:pPr>
      <w:r>
        <w:t xml:space="preserve">14.4 No Assignment</w:t>
      </w:r>
    </w:p>
    <w:p>
      <w:pPr>
        <w:spacing w:after="160" w:before="80"/>
      </w:pPr>
      <w:r>
        <w:rPr>
          <w:rFonts w:ascii="Arial" w:cs="Arial" w:eastAsia="Arial" w:hAnsi="Arial"/>
          <w:sz w:val="22"/>
          <w:szCs w:val="22"/>
        </w:rPr>
        <w:t xml:space="preserve">You may not assign or transfer any of your rights or obligations under this Agreement without the prior written consent of Ingot Solutions. Ingot Solutions may assign this Agreement without restriction.</w:t>
      </w:r>
    </w:p>
    <w:p>
      <w:pPr>
        <w:pStyle w:val="Heading2"/>
      </w:pPr>
      <w:r>
        <w:t xml:space="preserve">14.5 Force Majeure</w:t>
      </w:r>
    </w:p>
    <w:p>
      <w:pPr>
        <w:spacing w:after="160" w:before="80"/>
      </w:pPr>
      <w:r>
        <w:rPr>
          <w:rFonts w:ascii="Arial" w:cs="Arial" w:eastAsia="Arial" w:hAnsi="Arial"/>
          <w:sz w:val="22"/>
          <w:szCs w:val="22"/>
        </w:rPr>
        <w:t xml:space="preserve">Ingot Solutions shall not be liable for any failure or delay in performance due to causes beyond its reasonable control, including acts of God, natural disasters, government actions, internet outages, or third-party service failures.</w:t>
      </w:r>
    </w:p>
    <w:p>
      <w:pPr>
        <w:pStyle w:val="Heading2"/>
      </w:pPr>
      <w:r>
        <w:t xml:space="preserve">14.6 Language</w:t>
      </w:r>
    </w:p>
    <w:p>
      <w:pPr>
        <w:spacing w:after="200" w:before="80"/>
      </w:pPr>
      <w:r>
        <w:rPr>
          <w:rFonts w:ascii="Arial" w:cs="Arial" w:eastAsia="Arial" w:hAnsi="Arial"/>
          <w:sz w:val="22"/>
          <w:szCs w:val="22"/>
        </w:rPr>
        <w:t xml:space="preserve">The parties have expressly requested that this Agreement and all related documents be drafted in the English language. Les parties ont expressément demandé que cette convention et tous les documents connexes soient rédigés en langue anglaise.</w:t>
      </w:r>
    </w:p>
    <w:p>
      <w:pPr>
        <w:pStyle w:val="Heading1"/>
      </w:pPr>
      <w:r>
        <w:t xml:space="preserve">15. Contact Information</w:t>
      </w:r>
    </w:p>
    <w:p>
      <w:pPr>
        <w:spacing w:after="200" w:before="120"/>
      </w:pPr>
      <w:r>
        <w:rPr>
          <w:rFonts w:ascii="Arial" w:cs="Arial" w:eastAsia="Arial" w:hAnsi="Arial"/>
          <w:sz w:val="22"/>
          <w:szCs w:val="22"/>
        </w:rPr>
        <w:t xml:space="preserve">For questions regarding these Terms and Conditions, please contact Ingot Solutions at:</w:t>
      </w:r>
    </w:p>
    <w:p>
      <w:pPr>
        <w:spacing w:after="40" w:before="60"/>
      </w:pPr>
      <w:r>
        <w:rPr>
          <w:rFonts w:ascii="Arial" w:cs="Arial" w:eastAsia="Arial" w:hAnsi="Arial"/>
          <w:b/>
          <w:bCs/>
          <w:sz w:val="22"/>
          <w:szCs w:val="22"/>
        </w:rPr>
        <w:t xml:space="preserve">Ingot Solutions</w:t>
      </w:r>
    </w:p>
    <w:p>
      <w:pPr>
        <w:spacing w:after="40" w:before="0"/>
      </w:pPr>
      <w:r>
        <w:rPr>
          <w:rFonts w:ascii="Arial" w:cs="Arial" w:eastAsia="Arial" w:hAnsi="Arial"/>
          <w:sz w:val="22"/>
          <w:szCs w:val="22"/>
        </w:rPr>
        <w:t xml:space="preserve">Province of Alberta, Canada</w:t>
      </w:r>
    </w:p>
    <w:p>
      <w:pPr>
        <w:pBdr>
          <w:top w:val="single" w:color="2c3e7a" w:sz="4" w:space="8"/>
        </w:pBdr>
        <w:spacing w:after="120" w:before="480"/>
      </w:pPr>
      <w:r>
        <w:rPr>
          <w:rFonts w:ascii="Arial" w:cs="Arial" w:eastAsia="Arial" w:hAnsi="Arial"/>
          <w:b/>
          <w:bCs/>
          <w:color w:val="1a1a2e"/>
          <w:sz w:val="24"/>
          <w:szCs w:val="24"/>
        </w:rPr>
        <w:t xml:space="preserve">ACKNOWLEDGEMENT</w:t>
      </w:r>
    </w:p>
    <w:p>
      <w:pPr>
        <w:spacing w:after="360" w:before="120"/>
      </w:pPr>
      <w:r>
        <w:rPr>
          <w:rFonts w:ascii="Arial" w:cs="Arial" w:eastAsia="Arial" w:hAnsi="Arial"/>
          <w:i/>
          <w:iCs/>
          <w:sz w:val="22"/>
          <w:szCs w:val="22"/>
        </w:rPr>
        <w:t xml:space="preserve">By using, installing, or activating the Outlook Email Evaluator, you confirm that you have read, understood, and agree to be bound by these Terms and Conditions in their entirety.</w:t>
      </w:r>
    </w:p>
    <w:p>
      <w:pPr>
        <w:spacing w:after="40" w:before="0"/>
      </w:pPr>
      <w:r>
        <w:rPr>
          <w:rFonts w:ascii="Arial" w:cs="Arial" w:eastAsia="Arial" w:hAnsi="Arial"/>
          <w:color w:val="888888"/>
          <w:sz w:val="20"/>
          <w:szCs w:val="20"/>
        </w:rPr>
        <w:t xml:space="preserve">© 2026 Ingot Solutions. All rights reserved.</w:t>
      </w:r>
    </w:p>
    <w:p>
      <w:pPr>
        <w:spacing w:after="0" w:before="0"/>
      </w:pPr>
      <w:r>
        <w:rPr>
          <w:rFonts w:ascii="Arial" w:cs="Arial" w:eastAsia="Arial" w:hAnsi="Arial"/>
          <w:color w:val="888888"/>
          <w:sz w:val="20"/>
          <w:szCs w:val="20"/>
        </w:rPr>
        <w:t xml:space="preserve">Version 1.0 — Effective April 4,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Arial" w:cs="Arial" w:eastAsia="Arial" w:hAnsi="Arial"/>
        <w:color w:val="888888"/>
        <w:sz w:val="18"/>
        <w:szCs w:val="18"/>
      </w:rPr>
      <w:t xml:space="preserve">Confidential | © 2026 Ingot Solutions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space="4"/>
      </w:pBdr>
      <w:tabs>
        <w:tab w:val="right" w:pos="9026"/>
      </w:tabs>
    </w:pPr>
    <w:r>
      <w:rPr>
        <w:rFonts w:ascii="Arial" w:cs="Arial" w:eastAsia="Arial" w:hAnsi="Arial"/>
        <w:color w:val="888888"/>
        <w:sz w:val="18"/>
        <w:szCs w:val="18"/>
      </w:rPr>
      <w:t xml:space="preserve">Ingot Solutions — Outlook Email Evaluator</w:t>
    </w:r>
    <w:r>
      <w:rPr>
        <w:rFonts w:ascii="Arial" w:cs="Arial" w:eastAsia="Arial" w:hAnsi="Arial"/>
        <w:color w:val="888888"/>
        <w:sz w:val="18"/>
        <w:szCs w:val="18"/>
      </w:rPr>
      <w:t xml:space="preserve">	Terms and Conditions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c3e7a" w:sz="4" w:space="4"/>
      </w:pBdr>
      <w:spacing w:after="180" w:before="360"/>
      <w:outlineLvl w:val="0"/>
    </w:pPr>
    <w:rPr>
      <w:rFonts w:ascii="Arial" w:cs="Arial" w:eastAsia="Arial" w:hAnsi="Arial"/>
      <w:b/>
      <w:bCs/>
      <w:color w:val="1a1a2e"/>
      <w:sz w:val="28"/>
      <w:szCs w:val="28"/>
    </w:rPr>
  </w:style>
  <w:style w:type="paragraph" w:styleId="Heading2">
    <w:name w:val="Heading 2"/>
    <w:basedOn w:val="Normal"/>
    <w:next w:val="Normal"/>
    <w:qFormat/>
    <w:pPr>
      <w:spacing w:after="120" w:before="280"/>
      <w:outlineLvl w:val="1"/>
    </w:pPr>
    <w:rPr>
      <w:rFonts w:ascii="Arial" w:cs="Arial" w:eastAsia="Arial" w:hAnsi="Arial"/>
      <w:b/>
      <w:bCs/>
      <w:color w:val="2c3e7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2026-04-05T01:20:22.163Z</dcterms:created>
  <dcterms:modified xsi:type="dcterms:W3CDTF">2026-04-05T01:20:22.163Z</dcterms:modified>
</cp:coreProperties>
</file>

<file path=docProps/custom.xml><?xml version="1.0" encoding="utf-8"?>
<Properties xmlns="http://schemas.openxmlformats.org/officeDocument/2006/custom-properties" xmlns:vt="http://schemas.openxmlformats.org/officeDocument/2006/docPropsVTypes"/>
</file>