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74" w:rsidRDefault="00FF2374" w:rsidP="00FF237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620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74" w:rsidRPr="00872626" w:rsidRDefault="00FF2374" w:rsidP="00FF237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mbria" w:hAnsi="Cambria" w:cs="Cambria"/>
          <w:color w:val="4F81BD"/>
          <w:sz w:val="52"/>
          <w:szCs w:val="52"/>
        </w:rPr>
      </w:pPr>
      <w:r w:rsidRPr="007B1BCB">
        <w:rPr>
          <w:rFonts w:ascii="Cambria" w:hAnsi="Cambria" w:cs="Cambria"/>
          <w:color w:val="365F92"/>
          <w:sz w:val="52"/>
          <w:szCs w:val="52"/>
        </w:rPr>
        <w:t>Унив</w:t>
      </w:r>
      <w:r w:rsidRPr="00872626">
        <w:rPr>
          <w:rFonts w:ascii="Cambria" w:hAnsi="Cambria" w:cs="Cambria"/>
          <w:color w:val="4F81BD"/>
          <w:sz w:val="52"/>
          <w:szCs w:val="52"/>
        </w:rPr>
        <w:t>ерситет Дмитрия Пожарского</w:t>
      </w:r>
    </w:p>
    <w:p w:rsidR="00FF2374" w:rsidRPr="00977E68" w:rsidRDefault="00FF2374" w:rsidP="00FF2374">
      <w:pPr>
        <w:rPr>
          <w:color w:val="4F81BD"/>
        </w:rPr>
      </w:pPr>
    </w:p>
    <w:p w:rsidR="00FF2374" w:rsidRPr="00977E68" w:rsidRDefault="00FF2374" w:rsidP="00FF2374">
      <w:pPr>
        <w:jc w:val="center"/>
        <w:rPr>
          <w:sz w:val="28"/>
        </w:rPr>
      </w:pPr>
    </w:p>
    <w:p w:rsidR="00FF2374" w:rsidRPr="00977E68" w:rsidRDefault="00FF2374" w:rsidP="00FF2374">
      <w:pPr>
        <w:jc w:val="center"/>
        <w:rPr>
          <w:b/>
          <w:sz w:val="28"/>
        </w:rPr>
      </w:pPr>
      <w:r w:rsidRPr="00977E68">
        <w:rPr>
          <w:b/>
          <w:sz w:val="28"/>
        </w:rPr>
        <w:t xml:space="preserve">Программа дисциплины </w:t>
      </w:r>
    </w:p>
    <w:p w:rsidR="00FF2374" w:rsidRPr="00977E68" w:rsidRDefault="00FF2374" w:rsidP="00FF2374">
      <w:pPr>
        <w:jc w:val="center"/>
        <w:rPr>
          <w:b/>
          <w:sz w:val="28"/>
        </w:rPr>
      </w:pPr>
      <w:r w:rsidRPr="00977E68">
        <w:rPr>
          <w:b/>
          <w:sz w:val="28"/>
        </w:rPr>
        <w:t>«Неравновесная экономика»</w:t>
      </w:r>
    </w:p>
    <w:p w:rsidR="00FF2374" w:rsidRPr="00977E68" w:rsidRDefault="00FF2374" w:rsidP="00977E68">
      <w:pPr>
        <w:ind w:firstLine="0"/>
      </w:pPr>
      <w:r w:rsidRPr="00977E68">
        <w:fldChar w:fldCharType="begin"/>
      </w:r>
      <w:r w:rsidRPr="00977E68">
        <w:instrText xml:space="preserve"> AUTOTEXT  " Простая надпись" </w:instrText>
      </w:r>
      <w:r w:rsidRPr="00977E68">
        <w:fldChar w:fldCharType="end"/>
      </w:r>
    </w:p>
    <w:p w:rsidR="00F95DF7" w:rsidRPr="00977E68" w:rsidRDefault="00F95DF7" w:rsidP="00FF2374">
      <w:pPr>
        <w:jc w:val="center"/>
      </w:pPr>
    </w:p>
    <w:p w:rsidR="00FF2374" w:rsidRPr="00977E68" w:rsidRDefault="00FF2374" w:rsidP="00FF2374">
      <w:pPr>
        <w:autoSpaceDE w:val="0"/>
        <w:autoSpaceDN w:val="0"/>
        <w:adjustRightInd w:val="0"/>
        <w:ind w:firstLine="0"/>
        <w:rPr>
          <w:rFonts w:eastAsiaTheme="minorHAnsi"/>
          <w:b/>
          <w:sz w:val="28"/>
          <w:szCs w:val="28"/>
        </w:rPr>
      </w:pPr>
      <w:r w:rsidRPr="00977E68">
        <w:rPr>
          <w:rFonts w:eastAsiaTheme="minorHAnsi"/>
          <w:b/>
          <w:sz w:val="28"/>
          <w:szCs w:val="28"/>
        </w:rPr>
        <w:t>Краткая аннотация</w:t>
      </w:r>
    </w:p>
    <w:p w:rsidR="00FF2374" w:rsidRPr="00977E68" w:rsidRDefault="00FF2374" w:rsidP="00FF2374">
      <w:pPr>
        <w:autoSpaceDE w:val="0"/>
        <w:autoSpaceDN w:val="0"/>
        <w:adjustRightInd w:val="0"/>
        <w:ind w:firstLine="0"/>
        <w:rPr>
          <w:rFonts w:eastAsiaTheme="minorHAnsi"/>
          <w:szCs w:val="24"/>
        </w:rPr>
      </w:pP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proofErr w:type="spellStart"/>
      <w:r w:rsidRPr="00977E68">
        <w:rPr>
          <w:rFonts w:eastAsiaTheme="minorHAnsi"/>
          <w:szCs w:val="24"/>
        </w:rPr>
        <w:t>Tatonnement</w:t>
      </w:r>
      <w:proofErr w:type="spellEnd"/>
      <w:r w:rsidRPr="00977E68">
        <w:rPr>
          <w:rFonts w:eastAsiaTheme="minorHAnsi"/>
          <w:szCs w:val="24"/>
        </w:rPr>
        <w:t>. Общие соображения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Модели с несовершенной конкуренцией и разрывом спрос - предложение. Общие характеристики.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Рационирование. Равновесие фиксированной цены.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Флуктуации и несовершенная конкуренция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Безработица в динамической модели с несовершенной конкуренцией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Эндогенный рост в модели с несовершенной конкуренцией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Баланс спроса и предложения на финансовых рынках. Основные характеристики.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 xml:space="preserve">Баланс спроса и предложения на финансовых рынках. Модель </w:t>
      </w:r>
      <w:proofErr w:type="spellStart"/>
      <w:r w:rsidRPr="00977E68">
        <w:rPr>
          <w:rFonts w:eastAsiaTheme="minorHAnsi"/>
          <w:szCs w:val="24"/>
        </w:rPr>
        <w:t>противонаправленных</w:t>
      </w:r>
      <w:proofErr w:type="spellEnd"/>
      <w:r w:rsidRPr="00977E68">
        <w:rPr>
          <w:rFonts w:eastAsiaTheme="minorHAnsi"/>
          <w:szCs w:val="24"/>
        </w:rPr>
        <w:t xml:space="preserve"> потоков.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 xml:space="preserve">Модель рыбного рынка по </w:t>
      </w:r>
      <w:proofErr w:type="spellStart"/>
      <w:r w:rsidRPr="00977E68">
        <w:rPr>
          <w:rFonts w:eastAsiaTheme="minorHAnsi"/>
          <w:szCs w:val="24"/>
        </w:rPr>
        <w:t>Кирману</w:t>
      </w:r>
      <w:proofErr w:type="spellEnd"/>
      <w:r w:rsidRPr="00977E68">
        <w:rPr>
          <w:rFonts w:eastAsiaTheme="minorHAnsi"/>
          <w:szCs w:val="24"/>
        </w:rPr>
        <w:t>.</w:t>
      </w:r>
    </w:p>
    <w:p w:rsidR="00FF2374" w:rsidRPr="00977E68" w:rsidRDefault="00FF2374" w:rsidP="00FF2374">
      <w:pPr>
        <w:autoSpaceDE w:val="0"/>
        <w:autoSpaceDN w:val="0"/>
        <w:adjustRightInd w:val="0"/>
        <w:ind w:left="360" w:firstLine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10. Флуктуации спроса и самоорганизующаяся критичность. Модель Бака и др.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Динамические флуктуации в многосекторной экономике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Распространение шоков в сети международной торговли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Бинарные эволюционные игры на графах. Приближение среднего поля.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Бинарные эволюционные игры на графах. Нарушение эргодичности в модели экономического роста.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Бинарные эволюционные игры на полных графах в формализме мастер-уравнения.</w:t>
      </w:r>
    </w:p>
    <w:p w:rsidR="00FF2374" w:rsidRPr="00977E68" w:rsidRDefault="00FF2374" w:rsidP="00FF2374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Cs w:val="24"/>
        </w:rPr>
      </w:pPr>
      <w:r w:rsidRPr="00977E68">
        <w:rPr>
          <w:rFonts w:eastAsiaTheme="minorHAnsi"/>
          <w:szCs w:val="24"/>
        </w:rPr>
        <w:t>Бинарные эволюционные игры на графах с нетривиальной топологией. Приближенные решения.</w:t>
      </w:r>
    </w:p>
    <w:p w:rsidR="00FF2374" w:rsidRPr="00977E68" w:rsidRDefault="00FF2374" w:rsidP="00FF2374"/>
    <w:p w:rsidR="00FF2374" w:rsidRPr="00977E68" w:rsidRDefault="00FF2374">
      <w:bookmarkStart w:id="0" w:name="_GoBack"/>
      <w:bookmarkEnd w:id="0"/>
    </w:p>
    <w:sectPr w:rsidR="00FF2374" w:rsidRPr="00977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72E43"/>
    <w:multiLevelType w:val="hybridMultilevel"/>
    <w:tmpl w:val="351A9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E71C8"/>
    <w:multiLevelType w:val="hybridMultilevel"/>
    <w:tmpl w:val="9F262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74"/>
    <w:rsid w:val="00977E68"/>
    <w:rsid w:val="00F95DF7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86D2"/>
  <w15:docId w15:val="{17AEA43B-AD39-497F-8363-ED609CA5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F237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74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AlexanderYS</cp:lastModifiedBy>
  <cp:revision>2</cp:revision>
  <dcterms:created xsi:type="dcterms:W3CDTF">2016-04-12T13:11:00Z</dcterms:created>
  <dcterms:modified xsi:type="dcterms:W3CDTF">2016-04-20T17:32:00Z</dcterms:modified>
</cp:coreProperties>
</file>