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C4F24" w14:textId="4305186D" w:rsidR="005D3804" w:rsidRPr="00A02E05" w:rsidRDefault="005D3804" w:rsidP="005D3804">
      <w:pPr>
        <w:jc w:val="center"/>
        <w:rPr>
          <w:rFonts w:ascii="Times New Roman" w:hAnsi="Times New Roman" w:cs="Times New Roman"/>
        </w:rPr>
      </w:pPr>
      <w:r w:rsidRPr="00A02E05">
        <w:rPr>
          <w:rFonts w:ascii="Times New Roman" w:hAnsi="Times New Roman" w:cs="Times New Roman"/>
        </w:rPr>
        <w:t>The Carbon Cost of Food Production</w:t>
      </w:r>
    </w:p>
    <w:p w14:paraId="3E54EFD2" w14:textId="67B56EB9" w:rsidR="005D3804" w:rsidRPr="00A02E05" w:rsidRDefault="005D3804" w:rsidP="005D3804">
      <w:pPr>
        <w:jc w:val="center"/>
        <w:rPr>
          <w:rFonts w:ascii="Times New Roman" w:hAnsi="Times New Roman" w:cs="Times New Roman"/>
        </w:rPr>
      </w:pPr>
      <w:r w:rsidRPr="00A02E05">
        <w:rPr>
          <w:rFonts w:ascii="Times New Roman" w:hAnsi="Times New Roman" w:cs="Times New Roman"/>
        </w:rPr>
        <w:t>DS 4200</w:t>
      </w:r>
    </w:p>
    <w:p w14:paraId="5B8119AA" w14:textId="62DC3513" w:rsidR="005D3804" w:rsidRPr="00A02E05" w:rsidRDefault="005D3804" w:rsidP="005D3804">
      <w:pPr>
        <w:jc w:val="center"/>
        <w:rPr>
          <w:rFonts w:ascii="Times New Roman" w:hAnsi="Times New Roman" w:cs="Times New Roman"/>
        </w:rPr>
      </w:pPr>
      <w:r w:rsidRPr="00A02E05">
        <w:rPr>
          <w:rFonts w:ascii="Times New Roman" w:hAnsi="Times New Roman" w:cs="Times New Roman"/>
        </w:rPr>
        <w:t>Aran Dharma, Anke Stein, Jesus Otero</w:t>
      </w:r>
    </w:p>
    <w:p w14:paraId="0C3E2BAC" w14:textId="52C64916" w:rsidR="005D3804" w:rsidRPr="00A02E05" w:rsidRDefault="005D3804" w:rsidP="005D3804">
      <w:pPr>
        <w:jc w:val="center"/>
        <w:rPr>
          <w:rFonts w:ascii="Times New Roman" w:hAnsi="Times New Roman" w:cs="Times New Roman"/>
        </w:rPr>
      </w:pPr>
      <w:r w:rsidRPr="00A02E05">
        <w:rPr>
          <w:rFonts w:ascii="Times New Roman" w:hAnsi="Times New Roman" w:cs="Times New Roman"/>
        </w:rPr>
        <w:t>April 13, 2025</w:t>
      </w:r>
    </w:p>
    <w:p w14:paraId="27A33D21" w14:textId="32AF770E" w:rsidR="005D3804" w:rsidRPr="00A02E05" w:rsidRDefault="005D3804" w:rsidP="005D3804">
      <w:pPr>
        <w:jc w:val="center"/>
        <w:rPr>
          <w:rFonts w:ascii="Times New Roman" w:hAnsi="Times New Roman" w:cs="Times New Roman"/>
          <w:b/>
          <w:bCs/>
        </w:rPr>
      </w:pPr>
      <w:r w:rsidRPr="00A02E05">
        <w:rPr>
          <w:rFonts w:ascii="Times New Roman" w:hAnsi="Times New Roman" w:cs="Times New Roman"/>
        </w:rPr>
        <w:t>Link:</w:t>
      </w:r>
      <w:r w:rsidRPr="00A02E05">
        <w:rPr>
          <w:rFonts w:ascii="Times New Roman" w:hAnsi="Times New Roman" w:cs="Times New Roman"/>
          <w:b/>
          <w:bCs/>
        </w:rPr>
        <w:t xml:space="preserve"> </w:t>
      </w:r>
      <w:hyperlink r:id="rId5" w:history="1">
        <w:r w:rsidRPr="00A02E05">
          <w:rPr>
            <w:rStyle w:val="Hyperlink"/>
            <w:rFonts w:ascii="Times New Roman" w:hAnsi="Times New Roman" w:cs="Times New Roman"/>
          </w:rPr>
          <w:t>https://a1n3k5e7</w:t>
        </w:r>
        <w:r w:rsidRPr="00A02E05">
          <w:rPr>
            <w:rStyle w:val="Hyperlink"/>
            <w:rFonts w:ascii="Times New Roman" w:hAnsi="Times New Roman" w:cs="Times New Roman"/>
          </w:rPr>
          <w:t>9</w:t>
        </w:r>
        <w:r w:rsidRPr="00A02E05">
          <w:rPr>
            <w:rStyle w:val="Hyperlink"/>
            <w:rFonts w:ascii="Times New Roman" w:hAnsi="Times New Roman" w:cs="Times New Roman"/>
          </w:rPr>
          <w:t>.github.io/DS4200-Project/</w:t>
        </w:r>
      </w:hyperlink>
    </w:p>
    <w:p w14:paraId="5ADC2DC3" w14:textId="1D769874" w:rsidR="005D3804" w:rsidRPr="00A02E05" w:rsidRDefault="005D3804" w:rsidP="005D3804">
      <w:pPr>
        <w:jc w:val="center"/>
        <w:rPr>
          <w:rFonts w:ascii="Times New Roman" w:hAnsi="Times New Roman" w:cs="Times New Roman"/>
          <w:b/>
          <w:bCs/>
        </w:rPr>
      </w:pPr>
      <w:r w:rsidRPr="00A02E05">
        <w:rPr>
          <w:rFonts w:ascii="Times New Roman" w:hAnsi="Times New Roman" w:cs="Times New Roman"/>
          <w:b/>
          <w:bCs/>
        </w:rPr>
        <w:t>Visualization Design Writeup</w:t>
      </w:r>
    </w:p>
    <w:p w14:paraId="5CFD1CC8" w14:textId="72F3209B" w:rsidR="00A02E05" w:rsidRPr="00A02E05" w:rsidRDefault="00A02E05" w:rsidP="005D3804">
      <w:pPr>
        <w:rPr>
          <w:rFonts w:ascii="Times New Roman" w:hAnsi="Times New Roman" w:cs="Times New Roman"/>
        </w:rPr>
      </w:pPr>
      <w:r w:rsidRPr="00A02E05">
        <w:rPr>
          <w:rFonts w:ascii="Times New Roman" w:hAnsi="Times New Roman" w:cs="Times New Roman"/>
        </w:rPr>
        <w:t xml:space="preserve">Our project investigates the environmental impact of agricultural practices by analyzing </w:t>
      </w:r>
      <w:proofErr w:type="spellStart"/>
      <w:r w:rsidRPr="00A02E05">
        <w:rPr>
          <w:rFonts w:ascii="Times New Roman" w:hAnsi="Times New Roman" w:cs="Times New Roman"/>
        </w:rPr>
        <w:t>CO₂e</w:t>
      </w:r>
      <w:proofErr w:type="spellEnd"/>
      <w:r w:rsidRPr="00A02E05">
        <w:rPr>
          <w:rFonts w:ascii="Times New Roman" w:hAnsi="Times New Roman" w:cs="Times New Roman"/>
        </w:rPr>
        <w:t xml:space="preserve"> emissions across countries, practices, and time. We designed five key visualizations, both static and interactive, to communicate trends, spatial differences, and structural sources of emissions. Below is a breakdown of the design rationale and data choices for each visualization</w:t>
      </w:r>
    </w:p>
    <w:p w14:paraId="5DED3641" w14:textId="1747768D" w:rsidR="005D3804" w:rsidRPr="00A02E05" w:rsidRDefault="005D3804" w:rsidP="00A02E05">
      <w:pPr>
        <w:rPr>
          <w:rFonts w:ascii="Times New Roman" w:hAnsi="Times New Roman" w:cs="Times New Roman"/>
          <w:b/>
          <w:bCs/>
        </w:rPr>
      </w:pPr>
      <w:r w:rsidRPr="00A02E05">
        <w:rPr>
          <w:rFonts w:ascii="Times New Roman" w:hAnsi="Times New Roman" w:cs="Times New Roman"/>
          <w:b/>
          <w:bCs/>
        </w:rPr>
        <w:t>Overall Emission and Temperature Trends (Dual Line Charts)</w:t>
      </w:r>
    </w:p>
    <w:p w14:paraId="7B35C2A1" w14:textId="362E7C6C"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Purpose</w:t>
      </w:r>
      <w:r w:rsidRPr="00A02E05">
        <w:rPr>
          <w:rFonts w:ascii="Times New Roman" w:hAnsi="Times New Roman" w:cs="Times New Roman"/>
          <w:b/>
          <w:bCs/>
        </w:rPr>
        <w:t>:</w:t>
      </w:r>
    </w:p>
    <w:p w14:paraId="2799759E" w14:textId="360BFE1C" w:rsidR="005D3804" w:rsidRPr="00A02E05" w:rsidRDefault="005D3804" w:rsidP="005D3804">
      <w:pPr>
        <w:rPr>
          <w:rFonts w:ascii="Times New Roman" w:hAnsi="Times New Roman" w:cs="Times New Roman"/>
        </w:rPr>
      </w:pPr>
      <w:r w:rsidRPr="00A02E05">
        <w:rPr>
          <w:rFonts w:ascii="Times New Roman" w:hAnsi="Times New Roman" w:cs="Times New Roman"/>
        </w:rPr>
        <w:t>To show the long-term trend in total agricultural CO₂ emissions and its correlation with global temperature rise.</w:t>
      </w:r>
    </w:p>
    <w:p w14:paraId="4541E971" w14:textId="44EE43A4"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Design Choices:</w:t>
      </w:r>
    </w:p>
    <w:p w14:paraId="33A3B5AE" w14:textId="77777777"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Line charts were chosen for both emissions and temperature due to their clear representation of time series trends.</w:t>
      </w:r>
    </w:p>
    <w:p w14:paraId="35D5EC5E" w14:textId="77777777"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The visuals are presented side-by-side for visual comparison, showing parallel increases.</w:t>
      </w:r>
    </w:p>
    <w:p w14:paraId="551088D5" w14:textId="77777777"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Color was used minimally and consistently for clarity.</w:t>
      </w:r>
    </w:p>
    <w:p w14:paraId="53D2F6EE" w14:textId="02D6FA4A"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Each Y-axis is labeled distinctly to avoid confusion.</w:t>
      </w:r>
    </w:p>
    <w:p w14:paraId="5F57E6CB" w14:textId="7CBC2AF6"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Data Handling:</w:t>
      </w:r>
    </w:p>
    <w:p w14:paraId="4A3DEDE2" w14:textId="519CD8BD"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Total annual CO₂ emissions were aggregated globally from 1990 to 2020.</w:t>
      </w:r>
    </w:p>
    <w:p w14:paraId="4D64C91B" w14:textId="79526172"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Average temperature data was aligned with emissions by year to allow accurate year-over-year comparison.</w:t>
      </w:r>
    </w:p>
    <w:p w14:paraId="5B310EF6" w14:textId="77777777" w:rsidR="005D3804" w:rsidRPr="00A02E05" w:rsidRDefault="005D3804" w:rsidP="005D3804">
      <w:pPr>
        <w:pStyle w:val="ListParagraph"/>
        <w:rPr>
          <w:rFonts w:ascii="Times New Roman" w:hAnsi="Times New Roman" w:cs="Times New Roman"/>
        </w:rPr>
      </w:pPr>
    </w:p>
    <w:p w14:paraId="5E28081C" w14:textId="244CA335" w:rsidR="005D3804" w:rsidRPr="00A02E05" w:rsidRDefault="005D3804" w:rsidP="00A02E05">
      <w:pPr>
        <w:rPr>
          <w:rFonts w:ascii="Times New Roman" w:hAnsi="Times New Roman" w:cs="Times New Roman"/>
          <w:b/>
          <w:bCs/>
        </w:rPr>
      </w:pPr>
      <w:r w:rsidRPr="00A02E05">
        <w:rPr>
          <w:rFonts w:ascii="Times New Roman" w:hAnsi="Times New Roman" w:cs="Times New Roman"/>
          <w:b/>
          <w:bCs/>
        </w:rPr>
        <w:t>Top Emission Producing Practices (Stacked Area Charts)</w:t>
      </w:r>
    </w:p>
    <w:p w14:paraId="40CBF639" w14:textId="43BF6D92"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 xml:space="preserve">Purpose: </w:t>
      </w:r>
    </w:p>
    <w:p w14:paraId="1B78FDF1" w14:textId="2C404DE4" w:rsidR="005D3804" w:rsidRPr="00A02E05" w:rsidRDefault="005D3804" w:rsidP="005D3804">
      <w:pPr>
        <w:rPr>
          <w:rFonts w:ascii="Times New Roman" w:hAnsi="Times New Roman" w:cs="Times New Roman"/>
        </w:rPr>
      </w:pPr>
      <w:r w:rsidRPr="00A02E05">
        <w:rPr>
          <w:rFonts w:ascii="Times New Roman" w:hAnsi="Times New Roman" w:cs="Times New Roman"/>
        </w:rPr>
        <w:t xml:space="preserve">To break down </w:t>
      </w:r>
      <w:proofErr w:type="spellStart"/>
      <w:r w:rsidRPr="00A02E05">
        <w:rPr>
          <w:rFonts w:ascii="Times New Roman" w:hAnsi="Times New Roman" w:cs="Times New Roman"/>
        </w:rPr>
        <w:t>CO₂e</w:t>
      </w:r>
      <w:proofErr w:type="spellEnd"/>
      <w:r w:rsidRPr="00A02E05">
        <w:rPr>
          <w:rFonts w:ascii="Times New Roman" w:hAnsi="Times New Roman" w:cs="Times New Roman"/>
        </w:rPr>
        <w:t xml:space="preserve"> emissions by agricultural activity and compare natural vs. manmade sources.</w:t>
      </w:r>
    </w:p>
    <w:p w14:paraId="0BB2CAAA" w14:textId="33BC621C"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Design Choices:</w:t>
      </w:r>
    </w:p>
    <w:p w14:paraId="65159381" w14:textId="47BD9234"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lastRenderedPageBreak/>
        <w:t>Two stacked area charts were used: one for natural emissions (e.g., fires, rice cultivation) and one for manmade emissions (e.g., industrial processes, food processing).</w:t>
      </w:r>
    </w:p>
    <w:p w14:paraId="07C89B1A" w14:textId="02336054"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Color was used to distinguish emission categories.</w:t>
      </w:r>
    </w:p>
    <w:p w14:paraId="41F1C354" w14:textId="3A41782B"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The vertical space and area size communicate growth or stability of each practice over time.</w:t>
      </w:r>
    </w:p>
    <w:p w14:paraId="72DF56B6" w14:textId="065C5C5B"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Data Handling:</w:t>
      </w:r>
    </w:p>
    <w:p w14:paraId="7D0E8537" w14:textId="23066911"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Emissions from 1990 to 2020 were grouped by category.</w:t>
      </w:r>
    </w:p>
    <w:p w14:paraId="34C8262A" w14:textId="1E656B7A"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The top five contributors in each group were selected based on cumulative emissions over time.</w:t>
      </w:r>
    </w:p>
    <w:p w14:paraId="1808FF8C" w14:textId="77777777" w:rsidR="005D3804" w:rsidRPr="00A02E05" w:rsidRDefault="005D3804" w:rsidP="005D3804">
      <w:pPr>
        <w:pStyle w:val="ListParagraph"/>
        <w:rPr>
          <w:rFonts w:ascii="Times New Roman" w:hAnsi="Times New Roman" w:cs="Times New Roman"/>
        </w:rPr>
      </w:pPr>
    </w:p>
    <w:p w14:paraId="7D6CF75D" w14:textId="796AF578" w:rsidR="005D3804" w:rsidRPr="00A02E05" w:rsidRDefault="005D3804" w:rsidP="00A02E05">
      <w:pPr>
        <w:rPr>
          <w:rFonts w:ascii="Times New Roman" w:hAnsi="Times New Roman" w:cs="Times New Roman"/>
          <w:b/>
          <w:bCs/>
        </w:rPr>
      </w:pPr>
      <w:r w:rsidRPr="00A02E05">
        <w:rPr>
          <w:rFonts w:ascii="Times New Roman" w:hAnsi="Times New Roman" w:cs="Times New Roman"/>
          <w:b/>
          <w:bCs/>
        </w:rPr>
        <w:t>Emissions Choropleth Map (Geospatial Visualization)</w:t>
      </w:r>
    </w:p>
    <w:p w14:paraId="2A2D7459" w14:textId="041007F6"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Purpose:</w:t>
      </w:r>
    </w:p>
    <w:p w14:paraId="0BCC3309" w14:textId="1941122B" w:rsidR="005D3804" w:rsidRPr="00A02E05" w:rsidRDefault="005D3804" w:rsidP="005D3804">
      <w:pPr>
        <w:rPr>
          <w:rFonts w:ascii="Times New Roman" w:hAnsi="Times New Roman" w:cs="Times New Roman"/>
        </w:rPr>
      </w:pPr>
      <w:r w:rsidRPr="00A02E05">
        <w:rPr>
          <w:rFonts w:ascii="Times New Roman" w:hAnsi="Times New Roman" w:cs="Times New Roman"/>
        </w:rPr>
        <w:t>To show which countries contribute the most to global agricultural CO₂ emissions.</w:t>
      </w:r>
    </w:p>
    <w:p w14:paraId="33CE9505" w14:textId="4B17BB01"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Design Choices:</w:t>
      </w:r>
    </w:p>
    <w:p w14:paraId="1737B5DD" w14:textId="135C34DA"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A choropleth map provides a clear geographic overview using color intensity to reflect emission levels.</w:t>
      </w:r>
    </w:p>
    <w:p w14:paraId="4F4898FB" w14:textId="2D3FD0AB"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A year slider allows viewers to observe changes from 1990 to 2020.</w:t>
      </w:r>
    </w:p>
    <w:p w14:paraId="397B13E8" w14:textId="25134681"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Color gradients reflect emission severity, and hover interaction shows exact values.</w:t>
      </w:r>
    </w:p>
    <w:p w14:paraId="41B7723D" w14:textId="13C112F9"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Data Handling:</w:t>
      </w:r>
    </w:p>
    <w:p w14:paraId="35A66886" w14:textId="199CFAE7"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Total annual emissions were summed by country and joined with geographic coordinates.</w:t>
      </w:r>
    </w:p>
    <w:p w14:paraId="3DC37171" w14:textId="4A1D0376"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Countries with inconsistent data were excluded to maintain visual clarity.</w:t>
      </w:r>
    </w:p>
    <w:p w14:paraId="574DEA56" w14:textId="77777777" w:rsidR="005D3804" w:rsidRPr="00A02E05" w:rsidRDefault="005D3804" w:rsidP="005D3804">
      <w:pPr>
        <w:pStyle w:val="ListParagraph"/>
        <w:rPr>
          <w:rFonts w:ascii="Times New Roman" w:hAnsi="Times New Roman" w:cs="Times New Roman"/>
        </w:rPr>
      </w:pPr>
    </w:p>
    <w:p w14:paraId="716ADB37" w14:textId="4A73B0C7" w:rsidR="005D3804" w:rsidRPr="00A02E05" w:rsidRDefault="005D3804" w:rsidP="00A02E05">
      <w:pPr>
        <w:rPr>
          <w:rFonts w:ascii="Times New Roman" w:hAnsi="Times New Roman" w:cs="Times New Roman"/>
          <w:b/>
          <w:bCs/>
        </w:rPr>
      </w:pPr>
      <w:r w:rsidRPr="00A02E05">
        <w:rPr>
          <w:rFonts w:ascii="Times New Roman" w:hAnsi="Times New Roman" w:cs="Times New Roman"/>
          <w:b/>
          <w:bCs/>
        </w:rPr>
        <w:t>Emissions by Population Factors (Bubble Chart)</w:t>
      </w:r>
    </w:p>
    <w:p w14:paraId="2B68C012" w14:textId="3133AC5E"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 xml:space="preserve">Purpose:  </w:t>
      </w:r>
    </w:p>
    <w:p w14:paraId="6987F6E8" w14:textId="76F970D2" w:rsidR="005D3804" w:rsidRPr="00A02E05" w:rsidRDefault="005D3804" w:rsidP="005D3804">
      <w:pPr>
        <w:rPr>
          <w:rFonts w:ascii="Times New Roman" w:hAnsi="Times New Roman" w:cs="Times New Roman"/>
        </w:rPr>
      </w:pPr>
      <w:r w:rsidRPr="00A02E05">
        <w:rPr>
          <w:rFonts w:ascii="Times New Roman" w:hAnsi="Times New Roman" w:cs="Times New Roman"/>
        </w:rPr>
        <w:t>To explore the relationship between population size, total emissions, and per capita emissions.</w:t>
      </w:r>
    </w:p>
    <w:p w14:paraId="20182209" w14:textId="0C23BBB1"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Design Choices:</w:t>
      </w:r>
    </w:p>
    <w:p w14:paraId="58DE817E" w14:textId="12EE29F2"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An interactive bubble chart was chosen for its ability to represent three variables at once: total emissions (Y), population (X), and per capita emissions (bubble size).</w:t>
      </w:r>
    </w:p>
    <w:p w14:paraId="6B1AB0E3" w14:textId="5695298D"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A time slider was included to view change across years.</w:t>
      </w:r>
    </w:p>
    <w:p w14:paraId="7A00E6CD" w14:textId="0E7CBEF9"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 xml:space="preserve">To improve visual clarity, color was </w:t>
      </w:r>
      <w:proofErr w:type="gramStart"/>
      <w:r w:rsidRPr="00A02E05">
        <w:rPr>
          <w:rFonts w:ascii="Times New Roman" w:hAnsi="Times New Roman" w:cs="Times New Roman"/>
        </w:rPr>
        <w:t>disabled</w:t>
      </w:r>
      <w:proofErr w:type="gramEnd"/>
      <w:r w:rsidRPr="00A02E05">
        <w:rPr>
          <w:rFonts w:ascii="Times New Roman" w:hAnsi="Times New Roman" w:cs="Times New Roman"/>
        </w:rPr>
        <w:t xml:space="preserve"> and all bubbles were styled uniformly.</w:t>
      </w:r>
    </w:p>
    <w:p w14:paraId="06E96071" w14:textId="102AD309"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Countries with incomplete time series data were excluded to ensure visual consistency.</w:t>
      </w:r>
    </w:p>
    <w:p w14:paraId="4225854D" w14:textId="51E43B82"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Data Handling:</w:t>
      </w:r>
    </w:p>
    <w:p w14:paraId="3477A1EE" w14:textId="1A23B2D4"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lastRenderedPageBreak/>
        <w:t>Only countries with full data from 1990 to 2020 were included.</w:t>
      </w:r>
    </w:p>
    <w:p w14:paraId="6C8C01D2" w14:textId="2E2F553C"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Per capita emissions were computed by dividing total emissions by total population.</w:t>
      </w:r>
    </w:p>
    <w:p w14:paraId="6C696442" w14:textId="640C5283" w:rsidR="00A02E05" w:rsidRDefault="005D3804" w:rsidP="00A02E05">
      <w:pPr>
        <w:pStyle w:val="ListParagraph"/>
        <w:numPr>
          <w:ilvl w:val="0"/>
          <w:numId w:val="2"/>
        </w:numPr>
        <w:rPr>
          <w:rFonts w:ascii="Times New Roman" w:hAnsi="Times New Roman" w:cs="Times New Roman"/>
        </w:rPr>
      </w:pPr>
      <w:r w:rsidRPr="00A02E05">
        <w:rPr>
          <w:rFonts w:ascii="Times New Roman" w:hAnsi="Times New Roman" w:cs="Times New Roman"/>
        </w:rPr>
        <w:t>Log scales were used for both axes to handle wide variations in values.</w:t>
      </w:r>
    </w:p>
    <w:p w14:paraId="1E1D0AB8" w14:textId="77777777" w:rsidR="00A02E05" w:rsidRPr="00A02E05" w:rsidRDefault="00A02E05" w:rsidP="00A02E05">
      <w:pPr>
        <w:rPr>
          <w:rFonts w:ascii="Times New Roman" w:hAnsi="Times New Roman" w:cs="Times New Roman"/>
        </w:rPr>
      </w:pPr>
    </w:p>
    <w:p w14:paraId="73C0D136" w14:textId="178E9D12" w:rsidR="005D3804" w:rsidRPr="00A02E05" w:rsidRDefault="005D3804" w:rsidP="00A02E05">
      <w:pPr>
        <w:rPr>
          <w:rFonts w:ascii="Times New Roman" w:hAnsi="Times New Roman" w:cs="Times New Roman"/>
          <w:b/>
          <w:bCs/>
        </w:rPr>
      </w:pPr>
      <w:r w:rsidRPr="00A02E05">
        <w:rPr>
          <w:rFonts w:ascii="Times New Roman" w:hAnsi="Times New Roman" w:cs="Times New Roman"/>
          <w:b/>
          <w:bCs/>
        </w:rPr>
        <w:t>Top Agricultural Emissions by Country and Category (Interactive Tableau Heatmap)</w:t>
      </w:r>
    </w:p>
    <w:p w14:paraId="47270917" w14:textId="24D26D59"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Purpose:</w:t>
      </w:r>
    </w:p>
    <w:p w14:paraId="4261F386" w14:textId="093E8E01" w:rsidR="005D3804" w:rsidRPr="00A02E05" w:rsidRDefault="005D3804" w:rsidP="005D3804">
      <w:pPr>
        <w:rPr>
          <w:rFonts w:ascii="Times New Roman" w:hAnsi="Times New Roman" w:cs="Times New Roman"/>
        </w:rPr>
      </w:pPr>
      <w:r w:rsidRPr="00A02E05">
        <w:rPr>
          <w:rFonts w:ascii="Times New Roman" w:hAnsi="Times New Roman" w:cs="Times New Roman"/>
        </w:rPr>
        <w:t>To reveal the structure of emissions within high-emitting countries by specific agricultural sources.</w:t>
      </w:r>
    </w:p>
    <w:p w14:paraId="42C83F42" w14:textId="13D876B4"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Design Choices:</w:t>
      </w:r>
    </w:p>
    <w:p w14:paraId="172FB02E" w14:textId="03CC5573"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A heatmap format was used to compare emission categories across 20 countries over time.</w:t>
      </w:r>
    </w:p>
    <w:p w14:paraId="1B868917" w14:textId="0E03FEE2"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A filter was added for year selection (1990–2020).</w:t>
      </w:r>
    </w:p>
    <w:p w14:paraId="1345E98F" w14:textId="6BE058E4"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 xml:space="preserve">Color intensity reflects emission magnitude in </w:t>
      </w:r>
      <w:proofErr w:type="spellStart"/>
      <w:r w:rsidRPr="00A02E05">
        <w:rPr>
          <w:rFonts w:ascii="Times New Roman" w:hAnsi="Times New Roman" w:cs="Times New Roman"/>
        </w:rPr>
        <w:t>kilotonnes</w:t>
      </w:r>
      <w:proofErr w:type="spellEnd"/>
      <w:r w:rsidRPr="00A02E05">
        <w:rPr>
          <w:rFonts w:ascii="Times New Roman" w:hAnsi="Times New Roman" w:cs="Times New Roman"/>
        </w:rPr>
        <w:t>.</w:t>
      </w:r>
    </w:p>
    <w:p w14:paraId="215726F9" w14:textId="7C753FAC"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The interactive Tableau embed allows for tooltips and exploration without overloading static visuals.</w:t>
      </w:r>
    </w:p>
    <w:p w14:paraId="277EE651" w14:textId="3C9078A5"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Data Handling:</w:t>
      </w:r>
    </w:p>
    <w:p w14:paraId="4A566C52" w14:textId="0D928304"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Focused on the top 20 emitting countries.</w:t>
      </w:r>
    </w:p>
    <w:p w14:paraId="708656C9" w14:textId="39213F9E" w:rsidR="005D3804" w:rsidRPr="00A02E05"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Selected the top 10 most impactful emission categories.</w:t>
      </w:r>
    </w:p>
    <w:p w14:paraId="5D01C278" w14:textId="6A688250" w:rsidR="005D3804" w:rsidRDefault="005D3804" w:rsidP="005D3804">
      <w:pPr>
        <w:pStyle w:val="ListParagraph"/>
        <w:numPr>
          <w:ilvl w:val="0"/>
          <w:numId w:val="2"/>
        </w:numPr>
        <w:rPr>
          <w:rFonts w:ascii="Times New Roman" w:hAnsi="Times New Roman" w:cs="Times New Roman"/>
        </w:rPr>
      </w:pPr>
      <w:r w:rsidRPr="00A02E05">
        <w:rPr>
          <w:rFonts w:ascii="Times New Roman" w:hAnsi="Times New Roman" w:cs="Times New Roman"/>
        </w:rPr>
        <w:t>Missing values were cleaned, and category totals were computed per country per year.</w:t>
      </w:r>
    </w:p>
    <w:p w14:paraId="13C2C505" w14:textId="77777777" w:rsidR="00A02E05" w:rsidRPr="00A02E05" w:rsidRDefault="00A02E05" w:rsidP="00A02E05">
      <w:pPr>
        <w:rPr>
          <w:rFonts w:ascii="Times New Roman" w:hAnsi="Times New Roman" w:cs="Times New Roman"/>
        </w:rPr>
      </w:pPr>
    </w:p>
    <w:p w14:paraId="1905ECF3" w14:textId="69795BEB" w:rsidR="005D3804" w:rsidRPr="00A02E05" w:rsidRDefault="005D3804" w:rsidP="005D3804">
      <w:pPr>
        <w:rPr>
          <w:rFonts w:ascii="Times New Roman" w:hAnsi="Times New Roman" w:cs="Times New Roman"/>
          <w:b/>
          <w:bCs/>
        </w:rPr>
      </w:pPr>
      <w:r w:rsidRPr="00A02E05">
        <w:rPr>
          <w:rFonts w:ascii="Times New Roman" w:hAnsi="Times New Roman" w:cs="Times New Roman"/>
          <w:b/>
          <w:bCs/>
        </w:rPr>
        <w:t>Conclusion</w:t>
      </w:r>
    </w:p>
    <w:p w14:paraId="574F1D03" w14:textId="2C92DBA1" w:rsidR="009B409A" w:rsidRPr="00FC28F3" w:rsidRDefault="005D3804" w:rsidP="00FC28F3">
      <w:pPr>
        <w:rPr>
          <w:rFonts w:ascii="Times New Roman" w:hAnsi="Times New Roman" w:cs="Times New Roman"/>
        </w:rPr>
      </w:pPr>
      <w:r w:rsidRPr="00A02E05">
        <w:rPr>
          <w:rFonts w:ascii="Times New Roman" w:hAnsi="Times New Roman" w:cs="Times New Roman"/>
        </w:rPr>
        <w:t>Our design process focused on clarity, interactivity, and the ability to draw comparisons over time, geography, and emission type. Static charts were used for high-level trend analysis, while interactive elements allowed users to explore deeper patterns within the data. The final visualizations reveal that both natural and manmade agricultural processes contribute to emissions, and that geographic and population-driven factors are key to understanding the broader impact.</w:t>
      </w:r>
    </w:p>
    <w:sectPr w:rsidR="009B409A" w:rsidRPr="00FC2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113E"/>
    <w:multiLevelType w:val="hybridMultilevel"/>
    <w:tmpl w:val="755A9E1A"/>
    <w:lvl w:ilvl="0" w:tplc="08C00DCA">
      <w:start w:val="1"/>
      <w:numFmt w:val="bullet"/>
      <w:lvlText w:val=""/>
      <w:lvlJc w:val="left"/>
      <w:pPr>
        <w:ind w:left="720" w:hanging="360"/>
      </w:pPr>
      <w:rPr>
        <w:rFonts w:ascii="Wingdings" w:eastAsia="Times New Roman" w:hAnsi="Wingdings" w:cs="Times New Roman" w:hint="default"/>
        <w:color w:val="2D3B4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D3910"/>
    <w:multiLevelType w:val="hybridMultilevel"/>
    <w:tmpl w:val="BC5E0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917A3"/>
    <w:multiLevelType w:val="hybridMultilevel"/>
    <w:tmpl w:val="DB141ED6"/>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65C16"/>
    <w:multiLevelType w:val="hybridMultilevel"/>
    <w:tmpl w:val="FC062F60"/>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80166"/>
    <w:multiLevelType w:val="hybridMultilevel"/>
    <w:tmpl w:val="A172341C"/>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876E9"/>
    <w:multiLevelType w:val="hybridMultilevel"/>
    <w:tmpl w:val="5300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E0596"/>
    <w:multiLevelType w:val="hybridMultilevel"/>
    <w:tmpl w:val="DFF45764"/>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C5839"/>
    <w:multiLevelType w:val="hybridMultilevel"/>
    <w:tmpl w:val="AD5AE8EA"/>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91472"/>
    <w:multiLevelType w:val="hybridMultilevel"/>
    <w:tmpl w:val="11A66764"/>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04A01"/>
    <w:multiLevelType w:val="hybridMultilevel"/>
    <w:tmpl w:val="A4B2C79C"/>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541A0"/>
    <w:multiLevelType w:val="hybridMultilevel"/>
    <w:tmpl w:val="C7F6E39C"/>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21901"/>
    <w:multiLevelType w:val="hybridMultilevel"/>
    <w:tmpl w:val="D51C2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F60811"/>
    <w:multiLevelType w:val="hybridMultilevel"/>
    <w:tmpl w:val="34A62D0A"/>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57DA0"/>
    <w:multiLevelType w:val="hybridMultilevel"/>
    <w:tmpl w:val="494098B0"/>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764A8A"/>
    <w:multiLevelType w:val="hybridMultilevel"/>
    <w:tmpl w:val="A366E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B6702"/>
    <w:multiLevelType w:val="hybridMultilevel"/>
    <w:tmpl w:val="2A9645B2"/>
    <w:lvl w:ilvl="0" w:tplc="BC2091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236943">
    <w:abstractNumId w:val="5"/>
  </w:num>
  <w:num w:numId="2" w16cid:durableId="184176136">
    <w:abstractNumId w:val="15"/>
  </w:num>
  <w:num w:numId="3" w16cid:durableId="1072316571">
    <w:abstractNumId w:val="10"/>
  </w:num>
  <w:num w:numId="4" w16cid:durableId="665284780">
    <w:abstractNumId w:val="11"/>
  </w:num>
  <w:num w:numId="5" w16cid:durableId="341325908">
    <w:abstractNumId w:val="14"/>
  </w:num>
  <w:num w:numId="6" w16cid:durableId="1248421926">
    <w:abstractNumId w:val="7"/>
  </w:num>
  <w:num w:numId="7" w16cid:durableId="485557179">
    <w:abstractNumId w:val="9"/>
  </w:num>
  <w:num w:numId="8" w16cid:durableId="1681346325">
    <w:abstractNumId w:val="3"/>
  </w:num>
  <w:num w:numId="9" w16cid:durableId="1731272853">
    <w:abstractNumId w:val="4"/>
  </w:num>
  <w:num w:numId="10" w16cid:durableId="1569732238">
    <w:abstractNumId w:val="6"/>
  </w:num>
  <w:num w:numId="11" w16cid:durableId="57939604">
    <w:abstractNumId w:val="12"/>
  </w:num>
  <w:num w:numId="12" w16cid:durableId="952786958">
    <w:abstractNumId w:val="8"/>
  </w:num>
  <w:num w:numId="13" w16cid:durableId="256212362">
    <w:abstractNumId w:val="13"/>
  </w:num>
  <w:num w:numId="14" w16cid:durableId="273173926">
    <w:abstractNumId w:val="2"/>
  </w:num>
  <w:num w:numId="15" w16cid:durableId="887649390">
    <w:abstractNumId w:val="1"/>
  </w:num>
  <w:num w:numId="16" w16cid:durableId="660163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04"/>
    <w:rsid w:val="0050379B"/>
    <w:rsid w:val="005560B4"/>
    <w:rsid w:val="005D3804"/>
    <w:rsid w:val="009B409A"/>
    <w:rsid w:val="00A00EB2"/>
    <w:rsid w:val="00A02E05"/>
    <w:rsid w:val="00D66718"/>
    <w:rsid w:val="00D76D6C"/>
    <w:rsid w:val="00E0360C"/>
    <w:rsid w:val="00F854C9"/>
    <w:rsid w:val="00FC2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E712"/>
  <w15:chartTrackingRefBased/>
  <w15:docId w15:val="{CD89132B-D845-7243-B2FA-90E76893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3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3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804"/>
    <w:rPr>
      <w:rFonts w:eastAsiaTheme="majorEastAsia" w:cstheme="majorBidi"/>
      <w:color w:val="272727" w:themeColor="text1" w:themeTint="D8"/>
    </w:rPr>
  </w:style>
  <w:style w:type="paragraph" w:styleId="Title">
    <w:name w:val="Title"/>
    <w:basedOn w:val="Normal"/>
    <w:next w:val="Normal"/>
    <w:link w:val="TitleChar"/>
    <w:uiPriority w:val="10"/>
    <w:qFormat/>
    <w:rsid w:val="005D3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804"/>
    <w:pPr>
      <w:spacing w:before="160"/>
      <w:jc w:val="center"/>
    </w:pPr>
    <w:rPr>
      <w:i/>
      <w:iCs/>
      <w:color w:val="404040" w:themeColor="text1" w:themeTint="BF"/>
    </w:rPr>
  </w:style>
  <w:style w:type="character" w:customStyle="1" w:styleId="QuoteChar">
    <w:name w:val="Quote Char"/>
    <w:basedOn w:val="DefaultParagraphFont"/>
    <w:link w:val="Quote"/>
    <w:uiPriority w:val="29"/>
    <w:rsid w:val="005D3804"/>
    <w:rPr>
      <w:i/>
      <w:iCs/>
      <w:color w:val="404040" w:themeColor="text1" w:themeTint="BF"/>
    </w:rPr>
  </w:style>
  <w:style w:type="paragraph" w:styleId="ListParagraph">
    <w:name w:val="List Paragraph"/>
    <w:basedOn w:val="Normal"/>
    <w:uiPriority w:val="34"/>
    <w:qFormat/>
    <w:rsid w:val="005D3804"/>
    <w:pPr>
      <w:ind w:left="720"/>
      <w:contextualSpacing/>
    </w:pPr>
  </w:style>
  <w:style w:type="character" w:styleId="IntenseEmphasis">
    <w:name w:val="Intense Emphasis"/>
    <w:basedOn w:val="DefaultParagraphFont"/>
    <w:uiPriority w:val="21"/>
    <w:qFormat/>
    <w:rsid w:val="005D3804"/>
    <w:rPr>
      <w:i/>
      <w:iCs/>
      <w:color w:val="0F4761" w:themeColor="accent1" w:themeShade="BF"/>
    </w:rPr>
  </w:style>
  <w:style w:type="paragraph" w:styleId="IntenseQuote">
    <w:name w:val="Intense Quote"/>
    <w:basedOn w:val="Normal"/>
    <w:next w:val="Normal"/>
    <w:link w:val="IntenseQuoteChar"/>
    <w:uiPriority w:val="30"/>
    <w:qFormat/>
    <w:rsid w:val="005D3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804"/>
    <w:rPr>
      <w:i/>
      <w:iCs/>
      <w:color w:val="0F4761" w:themeColor="accent1" w:themeShade="BF"/>
    </w:rPr>
  </w:style>
  <w:style w:type="character" w:styleId="IntenseReference">
    <w:name w:val="Intense Reference"/>
    <w:basedOn w:val="DefaultParagraphFont"/>
    <w:uiPriority w:val="32"/>
    <w:qFormat/>
    <w:rsid w:val="005D3804"/>
    <w:rPr>
      <w:b/>
      <w:bCs/>
      <w:smallCaps/>
      <w:color w:val="0F4761" w:themeColor="accent1" w:themeShade="BF"/>
      <w:spacing w:val="5"/>
    </w:rPr>
  </w:style>
  <w:style w:type="character" w:styleId="Hyperlink">
    <w:name w:val="Hyperlink"/>
    <w:basedOn w:val="DefaultParagraphFont"/>
    <w:uiPriority w:val="99"/>
    <w:unhideWhenUsed/>
    <w:rsid w:val="005D3804"/>
    <w:rPr>
      <w:color w:val="467886" w:themeColor="hyperlink"/>
      <w:u w:val="single"/>
    </w:rPr>
  </w:style>
  <w:style w:type="character" w:styleId="UnresolvedMention">
    <w:name w:val="Unresolved Mention"/>
    <w:basedOn w:val="DefaultParagraphFont"/>
    <w:uiPriority w:val="99"/>
    <w:semiHidden/>
    <w:unhideWhenUsed/>
    <w:rsid w:val="005D3804"/>
    <w:rPr>
      <w:color w:val="605E5C"/>
      <w:shd w:val="clear" w:color="auto" w:fill="E1DFDD"/>
    </w:rPr>
  </w:style>
  <w:style w:type="character" w:styleId="FollowedHyperlink">
    <w:name w:val="FollowedHyperlink"/>
    <w:basedOn w:val="DefaultParagraphFont"/>
    <w:uiPriority w:val="99"/>
    <w:semiHidden/>
    <w:unhideWhenUsed/>
    <w:rsid w:val="005D38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90209">
      <w:bodyDiv w:val="1"/>
      <w:marLeft w:val="0"/>
      <w:marRight w:val="0"/>
      <w:marTop w:val="0"/>
      <w:marBottom w:val="0"/>
      <w:divBdr>
        <w:top w:val="none" w:sz="0" w:space="0" w:color="auto"/>
        <w:left w:val="none" w:sz="0" w:space="0" w:color="auto"/>
        <w:bottom w:val="none" w:sz="0" w:space="0" w:color="auto"/>
        <w:right w:val="none" w:sz="0" w:space="0" w:color="auto"/>
      </w:divBdr>
    </w:div>
    <w:div w:id="1099522315">
      <w:bodyDiv w:val="1"/>
      <w:marLeft w:val="0"/>
      <w:marRight w:val="0"/>
      <w:marTop w:val="0"/>
      <w:marBottom w:val="0"/>
      <w:divBdr>
        <w:top w:val="none" w:sz="0" w:space="0" w:color="auto"/>
        <w:left w:val="none" w:sz="0" w:space="0" w:color="auto"/>
        <w:bottom w:val="none" w:sz="0" w:space="0" w:color="auto"/>
        <w:right w:val="none" w:sz="0" w:space="0" w:color="auto"/>
      </w:divBdr>
    </w:div>
    <w:div w:id="168540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1n3k5e79.github.io/DS420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Otero</dc:creator>
  <cp:keywords/>
  <dc:description/>
  <cp:lastModifiedBy>Jesus Otero</cp:lastModifiedBy>
  <cp:revision>2</cp:revision>
  <dcterms:created xsi:type="dcterms:W3CDTF">2025-04-13T21:30:00Z</dcterms:created>
  <dcterms:modified xsi:type="dcterms:W3CDTF">2025-04-13T21:30:00Z</dcterms:modified>
</cp:coreProperties>
</file>