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Расчёт экономической модели</w:t>
      </w:r>
    </w:p>
    <w:p>
      <w:r>
        <w:t>Семейный конструктор целей. Проверка модели презентации от 30 сентября 2026 года.</w:t>
      </w:r>
    </w:p>
    <w:p>
      <w:r>
        <w:t>Модель показывает возможный вклад в экономику экосистемы при заданных параметрах. Из публичных данных подтверждён MAU СберKids; конверсия, чек, доля дополнительных продаж, маржа и затраты пока требуют проверки. Значение +29 млн ₽ во второй год нельзя представлять как подтверждённый доход Банка.</w:t>
      </w:r>
    </w:p>
    <w:p>
      <w:pPr>
        <w:pStyle w:val="Heading1"/>
      </w:pPr>
      <w:r>
        <w:t>Исходные параметры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656"/>
        <w:gridCol w:w="4464"/>
      </w:tblGrid>
      <w:tr>
        <w:trPr>
          <w:tblHeader/>
        </w:trPr>
        <w:tc>
          <w:tcPr>
            <w:tcW w:type="dxa" w:w="3816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656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4464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Основание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MAU СберKids, май 2026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2,9 млн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Публичное раскрытие Сбера [1]</w:t>
            </w:r>
          </w:p>
        </w:tc>
      </w:tr>
      <w:tr>
        <w:tc>
          <w:tcPr>
            <w:tcW w:type="dxa" w:w="381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Активных детей на семью</w:t>
            </w:r>
          </w:p>
        </w:tc>
        <w:tc>
          <w:tcPr>
            <w:tcW w:type="dxa" w:w="165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1,25</w:t>
            </w:r>
          </w:p>
        </w:tc>
        <w:tc>
          <w:tcPr>
            <w:tcW w:type="dxa" w:w="4464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Допущение для устранения повторного счёта семей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Подключение к концу года 1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15%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Гипотеза активации продукта</w:t>
            </w:r>
          </w:p>
        </w:tc>
      </w:tr>
      <w:tr>
        <w:tc>
          <w:tcPr>
            <w:tcW w:type="dxa" w:w="381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Средняя база в году 1</w:t>
            </w:r>
          </w:p>
        </w:tc>
        <w:tc>
          <w:tcPr>
            <w:tcW w:type="dxa" w:w="165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50%</w:t>
            </w:r>
          </w:p>
        </w:tc>
        <w:tc>
          <w:tcPr>
            <w:tcW w:type="dxa" w:w="4464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Линейный набор аудитории от нуля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Семьи с оплатой подарка за год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45%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Гипотеза полной воронки до покупки</w:t>
            </w:r>
          </w:p>
        </w:tc>
      </w:tr>
      <w:tr>
        <w:tc>
          <w:tcPr>
            <w:tcW w:type="dxa" w:w="381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Средний чек подарка</w:t>
            </w:r>
          </w:p>
        </w:tc>
        <w:tc>
          <w:tcPr>
            <w:tcW w:type="dxa" w:w="165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5 500 ₽</w:t>
            </w:r>
          </w:p>
        </w:tc>
        <w:tc>
          <w:tcPr>
            <w:tcW w:type="dxa" w:w="4464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Гипотеза по подарочной корзине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Дополнительный оборот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60%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Гипотеза причинного эффекта</w:t>
            </w:r>
          </w:p>
        </w:tc>
      </w:tr>
      <w:tr>
        <w:tc>
          <w:tcPr>
            <w:tcW w:type="dxa" w:w="381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Вклад после переменных затрат</w:t>
            </w:r>
          </w:p>
        </w:tc>
        <w:tc>
          <w:tcPr>
            <w:tcW w:type="dxa" w:w="165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8%</w:t>
            </w:r>
          </w:p>
        </w:tc>
        <w:tc>
          <w:tcPr>
            <w:tcW w:type="dxa" w:w="4464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Гипотеза маржи от дополнительного оборота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Разработка / годовое содержание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18 / 12 млн ₽</w:t>
            </w:r>
          </w:p>
        </w:tc>
        <w:tc>
          <w:tcPr>
            <w:tcW w:type="dxa" w:w="44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Предварительные бюджетные заглушки</w:t>
            </w:r>
          </w:p>
        </w:tc>
      </w:tr>
    </w:tbl>
    <w:p>
      <w:pPr>
        <w:spacing w:after="0"/>
      </w:pPr>
    </w:p>
    <w:p>
      <w:pPr>
        <w:pStyle w:val="Heading1"/>
      </w:pPr>
      <w:r>
        <w:t>Логика расчёта</w:t>
      </w:r>
    </w:p>
    <w:p>
      <w:r>
        <w:t>Потенциальная база: 2,9 млн MAU / 1,25 ребёнка на семью = 2,32 млн. В презентации для простоты использованы 2,3 млн семей; все дальнейшие числа рассчитаны от этой округлённой базы. Если считать без промежуточного округления, подключённых семей получится 348 тыс. вместо 345 тыс.</w:t>
      </w:r>
    </w:p>
    <w:p>
      <w:r>
        <w:t>Подключённые семьи к концу первого года: 2,3 млн × 15% = 345 тыс. При линейном росте средняя активная база первого года — 172,5 тыс. семей. Во втором году принята постоянная база 345 тыс. без роста и оттока.</w:t>
      </w:r>
    </w:p>
    <w:p>
      <w:r>
        <w:t>Формула результата: средняя активная база × 45% покупающих семей × 5 500 ₽ × 60% дополнительного оборота × 8% маржинального вклада − затраты периода.</w:t>
      </w:r>
    </w:p>
    <w:p>
      <w:r>
        <w:br w:type="page"/>
      </w:r>
    </w:p>
    <w:p>
      <w:pPr>
        <w:pStyle w:val="Heading1"/>
      </w:pPr>
      <w:r>
        <w:t>Расчёт по годам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2880"/>
        <w:gridCol w:w="2880"/>
      </w:tblGrid>
      <w:tr>
        <w:trPr>
          <w:tblHeader/>
        </w:trPr>
        <w:tc>
          <w:tcPr>
            <w:tcW w:type="dxa" w:w="4176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880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Год 1</w:t>
            </w:r>
          </w:p>
        </w:tc>
        <w:tc>
          <w:tcPr>
            <w:tcW w:type="dxa" w:w="2880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Год 2</w:t>
            </w:r>
          </w:p>
        </w:tc>
      </w:tr>
      <w:tr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Среднее число активных семей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172 500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345 000</w:t>
            </w:r>
          </w:p>
        </w:tc>
      </w:tr>
      <w:tr>
        <w:tc>
          <w:tcPr>
            <w:tcW w:type="dxa" w:w="417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Оплаченные подарки</w:t>
            </w:r>
          </w:p>
        </w:tc>
        <w:tc>
          <w:tcPr>
            <w:tcW w:type="dxa" w:w="2880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77 625</w:t>
            </w:r>
          </w:p>
        </w:tc>
        <w:tc>
          <w:tcPr>
            <w:tcW w:type="dxa" w:w="2880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155 250</w:t>
            </w:r>
          </w:p>
        </w:tc>
      </w:tr>
      <w:tr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Оборот подарков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426,94 млн ₽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853,88 млн ₽</w:t>
            </w:r>
          </w:p>
        </w:tc>
      </w:tr>
      <w:tr>
        <w:tc>
          <w:tcPr>
            <w:tcW w:type="dxa" w:w="417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Дополнительный оборот</w:t>
            </w:r>
          </w:p>
        </w:tc>
        <w:tc>
          <w:tcPr>
            <w:tcW w:type="dxa" w:w="2880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256,16 млн ₽</w:t>
            </w:r>
          </w:p>
        </w:tc>
        <w:tc>
          <w:tcPr>
            <w:tcW w:type="dxa" w:w="2880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512,33 млн ₽</w:t>
            </w:r>
          </w:p>
        </w:tc>
      </w:tr>
      <w:tr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Вклад после переменных затрат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20,49 млн ₽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40,99 млн ₽</w:t>
            </w:r>
          </w:p>
        </w:tc>
      </w:tr>
      <w:tr>
        <w:tc>
          <w:tcPr>
            <w:tcW w:type="dxa" w:w="4176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Разработка и содержание</w:t>
            </w:r>
          </w:p>
        </w:tc>
        <w:tc>
          <w:tcPr>
            <w:tcW w:type="dxa" w:w="2880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30,00 млн ₽</w:t>
            </w:r>
          </w:p>
        </w:tc>
        <w:tc>
          <w:tcPr>
            <w:tcW w:type="dxa" w:w="2880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12,00 млн ₽</w:t>
            </w:r>
          </w:p>
        </w:tc>
      </w:tr>
      <w:tr>
        <w:tc>
          <w:tcPr>
            <w:tcW w:type="dxa" w:w="41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Результат периода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b/>
                <w:color w:val="192220"/>
                <w:sz w:val="18"/>
              </w:rPr>
              <w:t>−9,51 млн ₽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b/>
                <w:color w:val="192220"/>
                <w:sz w:val="18"/>
              </w:rPr>
              <w:t>+28,99 млн ₽</w:t>
            </w:r>
          </w:p>
        </w:tc>
      </w:tr>
    </w:tbl>
    <w:p>
      <w:pPr>
        <w:spacing w:after="0"/>
      </w:pPr>
    </w:p>
    <w:p>
      <w:r>
        <w:t>Совокупный результат двух лет — +19,48 млн ₽. В первый год учтены 18 млн ₽ разработки и 12 млн ₽ содержания; во второй — 12 млн ₽ содержания. Это расчёт для экосистемы, а не распределение дохода между Мегамаркетом и Банком.</w:t>
      </w:r>
    </w:p>
    <w:p>
      <w:pPr>
        <w:pStyle w:val="Heading1"/>
      </w:pPr>
      <w:r>
        <w:t>Порог и чувствительность</w:t>
      </w:r>
    </w:p>
    <w:p>
      <w:r>
        <w:t>Для покрытия 12 млн ₽ годовых затрат во втором году при чеке 5 500 ₽ необходимо 12 000 000 / (5 500 × 60% × 8%) ≈ 45 455 оплаченных подарков. Для возмещения всех 42 млн ₽ затрат за два года при остальных базовых параметрах нужен средний чек около 3 760 ₽.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664"/>
        <w:gridCol w:w="2664"/>
        <w:gridCol w:w="2808"/>
      </w:tblGrid>
      <w:tr>
        <w:trPr>
          <w:tblHeader/>
        </w:trPr>
        <w:tc>
          <w:tcPr>
            <w:tcW w:type="dxa" w:w="1800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Средний чек</w:t>
            </w:r>
          </w:p>
        </w:tc>
        <w:tc>
          <w:tcPr>
            <w:tcW w:type="dxa" w:w="2664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Год 1</w:t>
            </w:r>
          </w:p>
        </w:tc>
        <w:tc>
          <w:tcPr>
            <w:tcW w:type="dxa" w:w="2664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Год 2</w:t>
            </w:r>
          </w:p>
        </w:tc>
        <w:tc>
          <w:tcPr>
            <w:tcW w:type="dxa" w:w="2808"/>
            <w:shd w:fill="253D3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Два года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1 500 ₽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−24,4 млн ₽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−0,8 млн ₽</w:t>
            </w:r>
          </w:p>
        </w:tc>
        <w:tc>
          <w:tcPr>
            <w:tcW w:type="dxa" w:w="28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−25,2 млн ₽</w:t>
            </w:r>
          </w:p>
        </w:tc>
      </w:tr>
      <w:tr>
        <w:tc>
          <w:tcPr>
            <w:tcW w:type="dxa" w:w="1800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3 000 ₽</w:t>
            </w:r>
          </w:p>
        </w:tc>
        <w:tc>
          <w:tcPr>
            <w:tcW w:type="dxa" w:w="2664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−18,8 млн ₽</w:t>
            </w:r>
          </w:p>
        </w:tc>
        <w:tc>
          <w:tcPr>
            <w:tcW w:type="dxa" w:w="2664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+10,4 млн ₽</w:t>
            </w:r>
          </w:p>
        </w:tc>
        <w:tc>
          <w:tcPr>
            <w:tcW w:type="dxa" w:w="2808"/>
            <w:shd w:fill="F4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−8,5 млн ₽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color w:val="192220"/>
                <w:sz w:val="18"/>
              </w:rPr>
              <w:t>5 500 ₽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−9,5 млн ₽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+29,0 млн ₽</w:t>
            </w:r>
          </w:p>
        </w:tc>
        <w:tc>
          <w:tcPr>
            <w:tcW w:type="dxa" w:w="28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/>
                <w:color w:val="192220"/>
                <w:sz w:val="18"/>
              </w:rPr>
              <w:t>+19,5 млн ₽</w:t>
            </w:r>
          </w:p>
        </w:tc>
      </w:tr>
    </w:tbl>
    <w:p>
      <w:pPr>
        <w:spacing w:after="0"/>
      </w:pPr>
    </w:p>
    <w:p>
      <w:r>
        <w:t>При чеке 3 000 ₽ второй год положителен, но двухлетние вложения ещё не возвращаются. Остальные параметры в таблице неизменны; это чувствительность к одному фактору, а не новый прогноз.</w:t>
      </w:r>
    </w:p>
    <w:p>
      <w:r>
        <w:br w:type="page"/>
      </w:r>
    </w:p>
    <w:p>
      <w:pPr>
        <w:pStyle w:val="Heading1"/>
      </w:pPr>
      <w:r>
        <w:t>Обоснование и ограничения</w:t>
      </w:r>
    </w:p>
    <w:p>
      <w:r>
        <w:t>Публичный факт — 2,9 млн MAU СберKids в мае 2026 года [1]. Это число детей, пользовавшихся приложением за месяц, а не число семей с подтверждённой связью со взрослым. Данные по подросткам 14–17 лет в формулу не включены. Указанные в презентации 15,5 млн семейных ячеек с детьми до 18 лет [2] служат общерыночным ориентиром и в расчёте не используются.</w:t>
      </w:r>
    </w:p>
    <w:p>
      <w:r>
        <w:t>Чек 5 500 ₽ пока не подкреплён заказами продукта. Для сравнения: СберАналитика оценила средний чек на детские товары в 1 522 ₽ [3], а по данным эквайринга Банка Русский Стандарт средний чек маркетплейсов составил 3 008 ₽, онлайн-магазинов детских товаров — 1 843 ₽ [4]. Эти покупки отличаются от заранее выбранного подарка, поэтому показатели годятся для стресс-теста, но не определяют чек нашего сценария.</w:t>
      </w:r>
    </w:p>
    <w:p>
      <w:r>
        <w:t>Доли 15%, 45% и 60% не имеют внешнего подтверждения. Первые две нужно измерить по воронке подключения и покупки. Долю действительно дополнительного оборота — определить с контрольной группой, учитывая заказы, которые семья совершила бы и без продукта. Маржу 8% и бюджет 18 + 12 млн ₽ должны подтвердить финансовые и продуктовые команды с учётом возвратов, скидок, логистики, поддержки, безопасности детских данных и интеграций.</w:t>
      </w:r>
    </w:p>
    <w:p>
      <w:pPr>
        <w:pStyle w:val="Heading1"/>
      </w:pPr>
      <w:r>
        <w:t>Данные для пилота</w:t>
      </w:r>
    </w:p>
    <w:p>
      <w:pPr>
        <w:pStyle w:val="ListBullet"/>
        <w:spacing w:after="80"/>
      </w:pPr>
      <w:r>
        <w:t>Уникальные семьи за активными детскими аккаунтами, доступность взрослого для подключения и отдельная база подростков.</w:t>
      </w:r>
    </w:p>
    <w:p>
      <w:pPr>
        <w:pStyle w:val="ListBullet"/>
        <w:spacing w:after="80"/>
      </w:pPr>
      <w:r>
        <w:t>Воронка: показ предложения → привязка → первая одобренная цель → достижение порога → запрос подарка → оплаченный заказ → возврат.</w:t>
      </w:r>
    </w:p>
    <w:p>
      <w:pPr>
        <w:pStyle w:val="ListBullet"/>
        <w:spacing w:after="80"/>
      </w:pPr>
      <w:r>
        <w:t>Распределение цен целей и фактический чек оплаченных подарков по возрастам и категориям.</w:t>
      </w:r>
    </w:p>
    <w:p>
      <w:pPr>
        <w:pStyle w:val="ListBullet"/>
        <w:spacing w:after="80"/>
      </w:pPr>
      <w:r>
        <w:t>Разница в чистом обороте и маржинальном вкладе между тестовой и контрольной группами.</w:t>
      </w:r>
    </w:p>
    <w:p>
      <w:pPr>
        <w:pStyle w:val="ListBullet"/>
        <w:spacing w:after="80"/>
      </w:pPr>
      <w:r>
        <w:t>Смета разработки и ежемесячные расходы эксплуатации, включая интеграции, поддержку и комплаенс.</w:t>
      </w:r>
    </w:p>
    <w:p>
      <w:pPr>
        <w:pStyle w:val="Heading1"/>
      </w:pPr>
      <w:r>
        <w:t>Публичные источники</w:t>
      </w:r>
    </w:p>
    <w:p>
      <w:pPr>
        <w:spacing w:after="60"/>
      </w:pPr>
      <w:r>
        <w:rPr>
          <w:sz w:val="17"/>
        </w:rPr>
        <w:t>[1] Сбер, результаты за пять месяцев 2026 года: https://e-disclosure.azipi.ru/messages/4551199/</w:t>
      </w:r>
    </w:p>
    <w:p>
      <w:pPr>
        <w:spacing w:after="60"/>
      </w:pPr>
      <w:r>
        <w:rPr>
          <w:sz w:val="17"/>
        </w:rPr>
        <w:t>[2] Семья и дети в России, перепись 2020 года: https://files.oprf.ru/storage/documents/doklad-semiya-deti-2024.pdf</w:t>
      </w:r>
    </w:p>
    <w:p>
      <w:pPr>
        <w:spacing w:after="60"/>
      </w:pPr>
      <w:r>
        <w:rPr>
          <w:sz w:val="17"/>
        </w:rPr>
        <w:t>[3] СберАналитика, детские товары в 2025 году: https://sberanalytics.ru/researches/children-goods-spending</w:t>
      </w:r>
    </w:p>
    <w:p>
      <w:pPr>
        <w:spacing w:after="60"/>
      </w:pPr>
      <w:r>
        <w:rPr>
          <w:sz w:val="17"/>
        </w:rPr>
        <w:t>[4] Банк Русский Стандарт, покупки онлайн в 2025 году: https://www.rsb.ru/press-center/publications/2026/180126/</w:t>
      </w:r>
    </w:p>
    <w:sectPr w:rsidR="00FC693F" w:rsidRPr="0006063C" w:rsidSect="00034616">
      <w:footerReference w:type="default" r:id="rId9"/>
      <w:pgSz w:w="12240" w:h="15840"/>
      <w:pgMar w:top="992" w:right="1162" w:bottom="935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A7572"/>
        <w:sz w:val="17"/>
      </w:rPr>
      <w:t>Семейный конструктор целей · расчёт экономической модели · 30.09.2026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192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