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Речь к презентации и показу MVP</w:t>
      </w:r>
    </w:p>
    <w:p>
      <w:pPr>
        <w:spacing w:after="100"/>
      </w:pPr>
      <w:r>
        <w:rPr>
          <w:b/>
        </w:rPr>
        <w:t>«Семейный конструктор целей» · Котиксы &amp; Сберсы</w:t>
      </w:r>
    </w:p>
    <w:p>
      <w:pPr>
        <w:spacing w:after="260"/>
      </w:pPr>
      <w:r>
        <w:t>Около 7 минут: 14 основных слайдов, включая живой показ прототипа. Временные отметки и действия на экране не произносятся.</w:t>
      </w:r>
    </w:p>
    <w:p>
      <w:pPr>
        <w:pStyle w:val="Heading1"/>
      </w:pPr>
      <w:r>
        <w:t>Слайд 1 Семейный конструктор целей</w:t>
      </w:r>
      <w:r>
        <w:rPr>
          <w:i/>
          <w:color w:val="606B68"/>
          <w:sz w:val="19"/>
        </w:rPr>
        <w:t xml:space="preserve">    0:00–0:20</w:t>
      </w:r>
    </w:p>
    <w:p>
      <w:r>
        <w:t>Добрый день. Представляем «Семейный конструктор целей» — продукт для семей с детьми от шести до семнадцати лет. Ребёнок выполняет полезные дела, видит свой прогресс и выбирает подарок. Взрослый устанавливает правила и принимает решение о покупке. Для младших это Котиксы в СберKids, для подростков — Сберсы в СберБанк Онлайн.</w:t>
      </w:r>
    </w:p>
    <w:p>
      <w:pPr>
        <w:pStyle w:val="Heading1"/>
      </w:pPr>
      <w:r>
        <w:t>Слайд 2 Какую проблему решаем</w:t>
      </w:r>
      <w:r>
        <w:rPr>
          <w:i/>
          <w:color w:val="606B68"/>
          <w:sz w:val="19"/>
        </w:rPr>
        <w:t xml:space="preserve">    0:20–0:50</w:t>
      </w:r>
    </w:p>
    <w:p>
      <w:r>
        <w:t>Сегодня желание ребёнка, договорённость о делах и покупка подарка часто существуют отдельно. Ребёнку трудно понять, как его усилия приближают выбранную вещь. Родителю приходится вручную договариваться, учитывать выполненное и контролировать бюджет. После четырнадцати лет меняется приложение, но семейная задача остаётся. Мы считаем, что единый прозрачный сценарий будет полезен обеим сторонам. Это продуктовая гипотеза, которую нужно проверить исследованием и пилотом.</w:t>
      </w:r>
    </w:p>
    <w:p>
      <w:pPr>
        <w:pStyle w:val="Heading1"/>
      </w:pPr>
      <w:r>
        <w:t>Слайд 3 Кого можем привлечь</w:t>
      </w:r>
      <w:r>
        <w:rPr>
          <w:i/>
          <w:color w:val="606B68"/>
          <w:sz w:val="19"/>
        </w:rPr>
        <w:t xml:space="preserve">    0:50–1:25</w:t>
      </w:r>
    </w:p>
    <w:p>
      <w:r>
        <w:t>Масштаб аудитории существенный. По переписи Росстата — пятнадцать с половиной миллионов семейных ячеек с детьми до восемнадцати лет. У Сбера, согласно годовому отчёту за 2024 год, более четырёх миллионов трёхсот тысяч активных клиентов шести — тринадцати лет. А месячная аудитория СберKids в мае 2026 года составила два миллиона девятьсот тысяч. Если предположить в среднем 1,25 активного ребёнка на семью, получаем около 2,3 миллиона семей, которым можно предложить продукт в существующем канале. Последнее число — наша оценка, подростки в неё пока не включены.</w:t>
      </w:r>
    </w:p>
    <w:p>
      <w:pPr>
        <w:pStyle w:val="Heading1"/>
      </w:pPr>
      <w:r>
        <w:t>Слайд 4 Зачем это семье и Сберу</w:t>
      </w:r>
      <w:r>
        <w:rPr>
          <w:i/>
          <w:color w:val="606B68"/>
          <w:sz w:val="19"/>
        </w:rPr>
        <w:t xml:space="preserve">    1:25–1:45</w:t>
      </w:r>
    </w:p>
    <w:p>
      <w:r>
        <w:t>Для ребёнка это понятный путь к выбранному им подарку. Для родителя — видимость прогресса, лимиты и право последнего решения. Для Сбера — регулярный полезный повод для семьи возвращаться в действующие приложения и пользоваться экосистемой. Возможный эффект для удержания мы пока не включаем в деньги: его покажет только сравнение с контрольной группой.</w:t>
      </w:r>
    </w:p>
    <w:p>
      <w:pPr>
        <w:pStyle w:val="Heading1"/>
      </w:pPr>
      <w:r>
        <w:t>Слайд 5 Инсайты для решения</w:t>
      </w:r>
      <w:r>
        <w:rPr>
          <w:i/>
          <w:color w:val="606B68"/>
          <w:sz w:val="19"/>
        </w:rPr>
        <w:t xml:space="preserve">    1:45–2:05</w:t>
      </w:r>
    </w:p>
    <w:p>
      <w:r>
        <w:t>В СберKids уже есть отдельные механики дел и накопления. Наше предложение — связать их с конкретным товаром из Мегамаркета и завершить путь покупкой взрослого. Игровые единицы не являются рублями и не списывают деньги. Для подростка меняется интерфейс, но семейная логика продолжается после четырнадцати лет.</w:t>
      </w:r>
    </w:p>
    <w:p>
      <w:pPr>
        <w:pStyle w:val="Heading1"/>
      </w:pPr>
      <w:r>
        <w:t>Слайд 6 Как работает решение</w:t>
      </w:r>
      <w:r>
        <w:rPr>
          <w:i/>
          <w:color w:val="606B68"/>
          <w:sz w:val="19"/>
        </w:rPr>
        <w:t xml:space="preserve">    2:05–2:35</w:t>
      </w:r>
    </w:p>
    <w:p>
      <w:r>
        <w:t>Путь состоит из пяти шагов. Взрослый создаёт задание и назначает игровые баллы. Ребёнок отмечает выполнение, родитель подтверждает результат. Затем ребёнок выбирает товар, а родитель одобряет цель и задаёт порог в Котиксах или Сберсах. Прогресс виден обеим сторонам. Когда цель достигнута, ребёнок просит подарок. Взрослый проверяет заказ и оплачивает его сам. Даже в конце сценария покупка не происходит автоматически.</w:t>
      </w:r>
    </w:p>
    <w:p>
      <w:pPr>
        <w:pStyle w:val="Heading1"/>
      </w:pPr>
      <w:r>
        <w:t>Слайд 7 Интеграция с Мегамаркетом</w:t>
      </w:r>
      <w:r>
        <w:rPr>
          <w:i/>
          <w:color w:val="606B68"/>
          <w:sz w:val="19"/>
        </w:rPr>
        <w:t xml:space="preserve">    2:35–3:10</w:t>
      </w:r>
    </w:p>
    <w:p>
      <w:r>
        <w:t>Мегамаркет нужен здесь как источник настоящей цели, а не просто ссылка на каталог. Ребёнок выбирает товар в безопасном режиме и добавляет его в семейный вишлист. Родитель видит карточку и цену, после чего устанавливает порог баллов. Перед покупкой взрослый проверяет актуальную цену, наличие и доставку, затем сам оплачивает заказ. Статус подарка должен вернуться в семейный сценарий. В прототипе мы показываем этот путь на демонстрационных товарах; обмен ценами, заказами и статусами потребует отдельной интеграции.</w:t>
      </w:r>
    </w:p>
    <w:p>
      <w:pPr>
        <w:pStyle w:val="Heading1"/>
      </w:pPr>
      <w:r>
        <w:t>Слайд 8 Что входит в MVP</w:t>
      </w:r>
      <w:r>
        <w:rPr>
          <w:i/>
          <w:color w:val="606B68"/>
          <w:sz w:val="19"/>
        </w:rPr>
        <w:t xml:space="preserve">    3:10–3:35</w:t>
      </w:r>
    </w:p>
    <w:p>
      <w:r>
        <w:t>Для детей шести — тринадцати лет точка входа — СберKids и Котиксы. Для подростков четырнадцати — семнадцати — СберБанк Онлайн, семейная привязка и Сберсы. Общее ядро MVP: задание, подтверждение родителем, баланс, цель, прогресс и запрос подарка. Подключение родственников, СберЗвук, игровой вклад и ИИ-наставник предлагается развивать после проверки этого ядра.</w:t>
      </w:r>
    </w:p>
    <w:p>
      <w:pPr>
        <w:pStyle w:val="Heading1"/>
      </w:pPr>
      <w:r>
        <w:t>Слайд 9 Рабочий прототип — показ</w:t>
      </w:r>
      <w:r>
        <w:rPr>
          <w:i/>
          <w:color w:val="606B68"/>
          <w:sz w:val="19"/>
        </w:rPr>
        <w:t xml:space="preserve">    3:35–4:35</w:t>
      </w:r>
    </w:p>
    <w:p>
      <w:r>
        <w:t>Покажу, как выглядит основной цикл. Сейчас мы в роли ребёнка: на экране есть задания, игровой баланс и цель — конструктор. Ребёнок отмечает, что прочитал двадцать страниц. Само по себе это баллы не начисляет. Переключаемся на родителя: он видит заявку и подтверждает выполнение. После этого баланс и прогресс по цели обновляются. В разделе каталога виден выбранный подарок. Прототип работает локально и помогает проверить пользовательский путь; реальные платежи и API Сбера и Мегамаркета здесь не подключены.</w:t>
      </w:r>
    </w:p>
    <w:p>
      <w:pPr>
        <w:spacing w:after="160"/>
        <w:ind w:left="227"/>
      </w:pPr>
      <w:r>
        <w:rPr>
          <w:i/>
          <w:color w:val="515D59"/>
          <w:sz w:val="21"/>
        </w:rPr>
        <w:t>Действие на экране: открыть «Задания» → «Я выполнил» для чтения → сменить роль на «Родитель» → открыть «Задания» → «Подтвердить» → показать «Цели и каталог». На действия отведено около 20 секунд внутри минуты.</w:t>
      </w:r>
    </w:p>
    <w:p>
      <w:pPr>
        <w:pStyle w:val="Heading1"/>
      </w:pPr>
      <w:r>
        <w:t>Слайд 10 Экономический эффект</w:t>
      </w:r>
      <w:r>
        <w:rPr>
          <w:i/>
          <w:color w:val="606B68"/>
          <w:sz w:val="19"/>
        </w:rPr>
        <w:t xml:space="preserve">    4:35–5:10</w:t>
      </w:r>
    </w:p>
    <w:p>
      <w:r>
        <w:t>Экономика — иллюстративная модель, а не прогноз Сбера. К концу первого года принимаем 345 тысяч подключённых семей, среднюю активную базу за год — 173 тысячи. Предполагаем: 45 процентов семей покупают подарок, чек — 5 500 рублей. Отсюда оборот 427 миллионов рублей в первый год и 854 миллиона во второй. Если 60 процентов оборота дополнительны, а вклад после переменных затрат — 8 процентов от этой части, итог после разработки и содержания: минус 9,5 миллиона в первый год и плюс 29 миллионов во второй. Это эффект экосистемы; долю Банка ещё предстоит определить.</w:t>
      </w:r>
    </w:p>
    <w:p>
      <w:pPr>
        <w:pStyle w:val="Heading1"/>
      </w:pPr>
      <w:r>
        <w:t>Слайд 11 Сколько семей подключится</w:t>
      </w:r>
      <w:r>
        <w:rPr>
          <w:i/>
          <w:color w:val="606B68"/>
          <w:sz w:val="19"/>
        </w:rPr>
        <w:t xml:space="preserve">    5:10–5:35</w:t>
      </w:r>
    </w:p>
    <w:p>
      <w:r>
        <w:t>Здесь важно отделить факты от допущений. Два миллиона девятьсот тысяч месячных пользователей СберKids — опубликованный показатель. Деление на 1,25 ребёнка даёт оценку в 2,3 миллиона семей. Пятнадцать процентов подключения — наша гипотеза, отсюда около 345 тысяч семей с активной целью к концу года. Это прежде всего вовлечение уже существующих семей Сбера в новый продукт, а не 345 тысяч новых клиентов Банка.</w:t>
      </w:r>
    </w:p>
    <w:p>
      <w:pPr>
        <w:pStyle w:val="Heading1"/>
      </w:pPr>
      <w:r>
        <w:t>Слайд 12 Чувствительность модели</w:t>
      </w:r>
      <w:r>
        <w:rPr>
          <w:i/>
          <w:color w:val="606B68"/>
          <w:sz w:val="19"/>
        </w:rPr>
        <w:t xml:space="preserve">    5:35–5:55</w:t>
      </w:r>
    </w:p>
    <w:p>
      <w:r>
        <w:t>Мы проверили и более осторожный сценарий: десять процентов подключений, меньшая доля покупок, чек и маржа. Тогда результат второго года примерно нулевой. При базовых параметрах он составляет плюс 29 миллионов. Для покрытия ежегодных затрат нужно около 46 тысяч покупок. Поэтому ключевой вопрос пилота — не размер красивого рынка, а фактическая конверсия, дополнительность заказов и маржа.</w:t>
      </w:r>
    </w:p>
    <w:p>
      <w:pPr>
        <w:pStyle w:val="Heading1"/>
      </w:pPr>
      <w:r>
        <w:t>Слайд 13 Плюсы для Банка</w:t>
      </w:r>
      <w:r>
        <w:rPr>
          <w:i/>
          <w:color w:val="606B68"/>
          <w:sz w:val="19"/>
        </w:rPr>
        <w:t xml:space="preserve">    5:55–6:30</w:t>
      </w:r>
    </w:p>
    <w:p>
      <w:r>
        <w:t>Банк получает четыре проверяемых направления выгоды. Первое — чаще используемые СберKids и СберБанк Онлайн благодаря совместным действиям семьи. Второе — содержательный разговор в ВСП при оформлении детской или молодёжной карты. Третье — сохранение активности подростка при переходе после четырнадцати лет. Четвёртое — дополнительные подарочные заказы в экосистеме. Для каждого направления на слайде есть метрика. Но денежный итог модели относится к экосистеме: прямой доход Банка нельзя назвать до определения коммерческой схемы.</w:t>
      </w:r>
    </w:p>
    <w:p>
      <w:pPr>
        <w:pStyle w:val="Heading1"/>
      </w:pPr>
      <w:r>
        <w:t>Слайд 14 Что проверяем в пилоте</w:t>
      </w:r>
      <w:r>
        <w:rPr>
          <w:i/>
          <w:color w:val="606B68"/>
          <w:sz w:val="19"/>
        </w:rPr>
        <w:t xml:space="preserve">    6:30–7:00</w:t>
      </w:r>
    </w:p>
    <w:p>
      <w:r>
        <w:t>Предлагаем запустить ограниченный пилот с контрольной группой. Измерим, сколько семей подключилось и одобрило первую цель, сколько заданий дошло до подтверждения, сколько целей завершилось запросом подарка. Затем сравним дополнительные заказы и вклад после затрат с контролем. Отдельно проверим доверие: понимают ли семьи, что баллы игровые, а покупка добровольна и остаётся решением взрослого. По этим данным можно будет уточнить экономику и принять решение о промышленном запуске. Спасибо.</w:t>
      </w:r>
    </w:p>
    <w:p>
      <w:pPr>
        <w:pStyle w:val="Heading1"/>
      </w:pPr>
      <w:r>
        <w:t>Резерв на вопросы: слайды 15–16</w:t>
      </w:r>
    </w:p>
    <w:p>
      <w:r>
        <w:t>Слайд 15 содержит формулу экономического эффекта. Слайд 16 разделяет публичные источники и допущения модели. Короткий ответ на вопрос об окупаемости: 29 млн ₽ — результат базовой модели для второго года после 12 млн ₽ годовых затрат; он зависит от фактической конверсии, дополнительности заказов и маржи.</w:t>
      </w:r>
    </w:p>
    <w:p>
      <w:pPr>
        <w:pStyle w:val="Heading1"/>
      </w:pPr>
      <w:r>
        <w:t>Перед выступлением</w:t>
      </w:r>
    </w:p>
    <w:p>
      <w:r>
        <w:t>Откройте презентацию на слайде 1, а локальный MVP — в отдельной вкладке. Проверьте, что в роли ребёнка задание «Прочитать 20 страниц» доступно для отметки. Если прототип уже использовался, подготовьте чистое демо-состояние. После показа вернитесь к слайду 10.</w:t>
      </w:r>
    </w:p>
    <w:sectPr w:rsidR="00FC693F" w:rsidRPr="0006063C" w:rsidSect="00034616">
      <w:footerReference w:type="default" r:id="rId9"/>
      <w:pgSz w:w="12240" w:h="15840"/>
      <w:pgMar w:top="935" w:right="1191" w:bottom="879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7875"/>
        <w:sz w:val="18"/>
      </w:rPr>
      <w:t>Семейный конструктор целей · речь на 7 минут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264" w:lineRule="auto"/>
    </w:pPr>
    <w:rPr>
      <w:rFonts w:ascii="Arial" w:hAnsi="Arial"/>
      <w:color w:val="1A22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