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65F" w:rsidRPr="00291483" w:rsidRDefault="00D3565F" w:rsidP="00C27A81">
      <w:pPr>
        <w:jc w:val="both"/>
        <w:rPr>
          <w:rFonts w:ascii="Sylfaen" w:hAnsi="Sylfaen"/>
          <w:b/>
          <w:lang w:val="ka-GE"/>
        </w:rPr>
      </w:pPr>
      <w:r w:rsidRPr="00291483">
        <w:rPr>
          <w:rFonts w:ascii="Sylfaen" w:hAnsi="Sylfaen"/>
          <w:b/>
          <w:lang w:val="ka-GE"/>
        </w:rPr>
        <w:t>დასაქმებისა და უმუშევრობის ტენდენციები საქართველოში</w:t>
      </w:r>
    </w:p>
    <w:p w:rsidR="00D3565F" w:rsidRPr="00291483" w:rsidRDefault="00D3565F" w:rsidP="00C27A81">
      <w:pPr>
        <w:jc w:val="both"/>
        <w:rPr>
          <w:rFonts w:ascii="Sylfaen" w:hAnsi="Sylfaen"/>
          <w:lang w:val="ka-GE"/>
        </w:rPr>
      </w:pPr>
    </w:p>
    <w:p w:rsidR="00D3565F" w:rsidRPr="00291483" w:rsidRDefault="00D3565F" w:rsidP="00C27A81">
      <w:pPr>
        <w:jc w:val="both"/>
        <w:rPr>
          <w:rFonts w:ascii="Sylfaen" w:hAnsi="Sylfaen"/>
          <w:lang w:val="ka-GE"/>
        </w:rPr>
      </w:pPr>
      <w:r w:rsidRPr="00291483">
        <w:rPr>
          <w:rFonts w:ascii="Sylfaen" w:hAnsi="Sylfaen"/>
          <w:lang w:val="ka-GE"/>
        </w:rPr>
        <w:t xml:space="preserve">ბოლო წლებში შეინიშნება უმუშევრობის </w:t>
      </w:r>
      <w:r w:rsidR="005F7CD8" w:rsidRPr="00291483">
        <w:rPr>
          <w:rFonts w:ascii="Sylfaen" w:hAnsi="Sylfaen"/>
          <w:lang w:val="ka-GE"/>
        </w:rPr>
        <w:t xml:space="preserve">დონის </w:t>
      </w:r>
      <w:r w:rsidRPr="00291483">
        <w:rPr>
          <w:rFonts w:ascii="Sylfaen" w:hAnsi="Sylfaen"/>
          <w:lang w:val="ka-GE"/>
        </w:rPr>
        <w:t xml:space="preserve">კლება, 2015 წელის უმუშევრობის დონემ შეადგინა 12% რაც წინა წელთან შედარებით 0.4% ნაკლებია, ხოლო 2012 წელთან შედარებით </w:t>
      </w:r>
      <w:r w:rsidR="005F7CD8" w:rsidRPr="00291483">
        <w:rPr>
          <w:rFonts w:ascii="Sylfaen" w:hAnsi="Sylfaen"/>
          <w:lang w:val="ka-GE"/>
        </w:rPr>
        <w:t xml:space="preserve">- </w:t>
      </w:r>
      <w:r w:rsidRPr="00291483">
        <w:rPr>
          <w:rFonts w:ascii="Sylfaen" w:hAnsi="Sylfaen"/>
          <w:lang w:val="ka-GE"/>
        </w:rPr>
        <w:t>3%.</w:t>
      </w:r>
    </w:p>
    <w:p w:rsidR="00D3565F" w:rsidRPr="00291483" w:rsidRDefault="00B72285" w:rsidP="00C27A81">
      <w:pPr>
        <w:jc w:val="both"/>
        <w:rPr>
          <w:rFonts w:ascii="Sylfaen" w:hAnsi="Sylfaen"/>
          <w:b/>
          <w:sz w:val="20"/>
          <w:szCs w:val="20"/>
          <w:lang w:val="ka-GE"/>
        </w:rPr>
      </w:pPr>
      <w:r w:rsidRPr="00291483">
        <w:rPr>
          <w:rFonts w:ascii="Sylfaen" w:hAnsi="Sylfaen"/>
          <w:b/>
          <w:sz w:val="20"/>
          <w:szCs w:val="20"/>
          <w:lang w:val="ka-GE"/>
        </w:rPr>
        <w:t xml:space="preserve">დიაგრამა </w:t>
      </w:r>
      <w:r w:rsidRPr="00291483">
        <w:rPr>
          <w:rFonts w:ascii="Sylfaen" w:hAnsi="Sylfaen"/>
          <w:b/>
          <w:sz w:val="20"/>
          <w:szCs w:val="20"/>
        </w:rPr>
        <w:t xml:space="preserve">N1. </w:t>
      </w:r>
      <w:r w:rsidRPr="00291483">
        <w:rPr>
          <w:rFonts w:ascii="Sylfaen" w:hAnsi="Sylfaen"/>
          <w:b/>
          <w:sz w:val="20"/>
          <w:szCs w:val="20"/>
          <w:lang w:val="ka-GE"/>
        </w:rPr>
        <w:t xml:space="preserve">უმუშევრობის დონე </w:t>
      </w:r>
      <w:r w:rsidR="00E86FA8" w:rsidRPr="00291483">
        <w:rPr>
          <w:rFonts w:ascii="Sylfaen" w:hAnsi="Sylfaen"/>
          <w:b/>
          <w:sz w:val="20"/>
          <w:szCs w:val="20"/>
          <w:lang w:val="ka-GE"/>
        </w:rPr>
        <w:t>2009-2015წლებში</w:t>
      </w:r>
      <w:r w:rsidRPr="00291483">
        <w:rPr>
          <w:rFonts w:ascii="Sylfaen" w:hAnsi="Sylfaen"/>
          <w:b/>
          <w:sz w:val="20"/>
          <w:szCs w:val="20"/>
          <w:lang w:val="ka-GE"/>
        </w:rPr>
        <w:t xml:space="preserve"> (%)</w:t>
      </w:r>
    </w:p>
    <w:p w:rsidR="00D3565F" w:rsidRPr="00291483" w:rsidRDefault="007A5338" w:rsidP="00C27A81">
      <w:pPr>
        <w:jc w:val="both"/>
        <w:rPr>
          <w:rFonts w:ascii="Sylfaen" w:hAnsi="Sylfaen"/>
          <w:lang w:val="ka-GE"/>
        </w:rPr>
      </w:pPr>
      <w:r w:rsidRPr="00291483">
        <w:rPr>
          <w:noProof/>
        </w:rPr>
        <w:drawing>
          <wp:inline distT="0" distB="0" distL="0" distR="0" wp14:anchorId="619B44E5" wp14:editId="1CAEF9EF">
            <wp:extent cx="4849978" cy="2362810"/>
            <wp:effectExtent l="0" t="0" r="27305" b="1905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72285" w:rsidRPr="00291483" w:rsidRDefault="00B72285" w:rsidP="00C27A81">
      <w:pPr>
        <w:jc w:val="both"/>
        <w:rPr>
          <w:rFonts w:ascii="Sylfaen" w:hAnsi="Sylfaen"/>
          <w:b/>
          <w:sz w:val="20"/>
          <w:szCs w:val="20"/>
          <w:lang w:val="ka-GE"/>
        </w:rPr>
      </w:pPr>
      <w:r w:rsidRPr="00291483">
        <w:rPr>
          <w:rFonts w:ascii="Sylfaen" w:hAnsi="Sylfaen"/>
          <w:b/>
          <w:sz w:val="20"/>
          <w:szCs w:val="20"/>
          <w:lang w:val="ka-GE"/>
        </w:rPr>
        <w:t>წყარო: საქსტატი, შინამეურნეობების ინტეგრირებული გამოკითხვა</w:t>
      </w:r>
    </w:p>
    <w:p w:rsidR="00487A9D" w:rsidRPr="00291483" w:rsidRDefault="00487A9D" w:rsidP="00C27A81">
      <w:pPr>
        <w:jc w:val="both"/>
        <w:rPr>
          <w:rFonts w:ascii="Sylfaen" w:hAnsi="Sylfaen"/>
          <w:b/>
          <w:sz w:val="20"/>
          <w:szCs w:val="20"/>
          <w:lang w:val="ka-GE"/>
        </w:rPr>
      </w:pPr>
    </w:p>
    <w:p w:rsidR="00487A9D" w:rsidRPr="00291483" w:rsidRDefault="00487A9D" w:rsidP="00C27A81">
      <w:pPr>
        <w:jc w:val="both"/>
        <w:rPr>
          <w:rFonts w:ascii="Sylfaen" w:hAnsi="Sylfaen"/>
          <w:b/>
          <w:sz w:val="20"/>
          <w:szCs w:val="20"/>
          <w:lang w:val="ka-GE"/>
        </w:rPr>
      </w:pPr>
    </w:p>
    <w:p w:rsidR="00487A9D" w:rsidRPr="00291483" w:rsidRDefault="00487A9D" w:rsidP="00C27A81">
      <w:pPr>
        <w:jc w:val="both"/>
        <w:rPr>
          <w:rFonts w:ascii="Sylfaen" w:hAnsi="Sylfaen"/>
          <w:b/>
          <w:sz w:val="20"/>
          <w:szCs w:val="20"/>
          <w:lang w:val="ka-GE"/>
        </w:rPr>
      </w:pPr>
    </w:p>
    <w:p w:rsidR="00487A9D" w:rsidRPr="00291483" w:rsidRDefault="00487A9D" w:rsidP="00C27A81">
      <w:pPr>
        <w:jc w:val="both"/>
        <w:rPr>
          <w:rFonts w:ascii="Sylfaen" w:hAnsi="Sylfaen"/>
          <w:b/>
          <w:sz w:val="20"/>
          <w:szCs w:val="20"/>
          <w:lang w:val="ka-GE"/>
        </w:rPr>
      </w:pPr>
    </w:p>
    <w:p w:rsidR="00487A9D" w:rsidRPr="00291483" w:rsidRDefault="00487A9D" w:rsidP="00C27A81">
      <w:pPr>
        <w:jc w:val="both"/>
        <w:rPr>
          <w:rFonts w:ascii="Sylfaen" w:hAnsi="Sylfaen"/>
          <w:b/>
          <w:sz w:val="20"/>
          <w:szCs w:val="20"/>
          <w:lang w:val="ka-GE"/>
        </w:rPr>
      </w:pPr>
    </w:p>
    <w:p w:rsidR="00487A9D" w:rsidRPr="00291483" w:rsidRDefault="00487A9D" w:rsidP="00C27A81">
      <w:pPr>
        <w:jc w:val="both"/>
        <w:rPr>
          <w:rFonts w:ascii="Sylfaen" w:hAnsi="Sylfaen"/>
          <w:b/>
          <w:sz w:val="20"/>
          <w:szCs w:val="20"/>
          <w:lang w:val="ka-GE"/>
        </w:rPr>
      </w:pPr>
    </w:p>
    <w:p w:rsidR="00487A9D" w:rsidRPr="00291483" w:rsidRDefault="00487A9D" w:rsidP="00C27A81">
      <w:pPr>
        <w:jc w:val="both"/>
        <w:rPr>
          <w:rFonts w:ascii="Sylfaen" w:hAnsi="Sylfaen"/>
          <w:b/>
          <w:sz w:val="20"/>
          <w:szCs w:val="20"/>
          <w:lang w:val="ka-GE"/>
        </w:rPr>
      </w:pPr>
    </w:p>
    <w:p w:rsidR="00487A9D" w:rsidRPr="00291483" w:rsidRDefault="00487A9D" w:rsidP="00C27A81">
      <w:pPr>
        <w:jc w:val="both"/>
        <w:rPr>
          <w:rFonts w:ascii="Sylfaen" w:hAnsi="Sylfaen"/>
          <w:b/>
          <w:sz w:val="20"/>
          <w:szCs w:val="20"/>
          <w:lang w:val="ka-GE"/>
        </w:rPr>
      </w:pPr>
    </w:p>
    <w:p w:rsidR="00487A9D" w:rsidRPr="00291483" w:rsidRDefault="00487A9D" w:rsidP="00C27A81">
      <w:pPr>
        <w:jc w:val="both"/>
        <w:rPr>
          <w:rFonts w:ascii="Sylfaen" w:hAnsi="Sylfaen"/>
          <w:b/>
          <w:sz w:val="20"/>
          <w:szCs w:val="20"/>
          <w:lang w:val="ka-GE"/>
        </w:rPr>
      </w:pPr>
    </w:p>
    <w:p w:rsidR="00487A9D" w:rsidRPr="00291483" w:rsidRDefault="00487A9D" w:rsidP="00C27A81">
      <w:pPr>
        <w:jc w:val="both"/>
        <w:rPr>
          <w:rFonts w:ascii="Sylfaen" w:hAnsi="Sylfaen"/>
          <w:b/>
          <w:sz w:val="20"/>
          <w:szCs w:val="20"/>
          <w:lang w:val="ka-GE"/>
        </w:rPr>
      </w:pPr>
    </w:p>
    <w:p w:rsidR="00487A9D" w:rsidRPr="00291483" w:rsidRDefault="00487A9D" w:rsidP="00C27A81">
      <w:pPr>
        <w:jc w:val="both"/>
        <w:rPr>
          <w:rFonts w:ascii="Sylfaen" w:hAnsi="Sylfaen"/>
          <w:b/>
          <w:sz w:val="20"/>
          <w:szCs w:val="20"/>
          <w:lang w:val="ka-GE"/>
        </w:rPr>
      </w:pPr>
    </w:p>
    <w:p w:rsidR="00487A9D" w:rsidRPr="00291483" w:rsidRDefault="00487A9D" w:rsidP="00C27A81">
      <w:pPr>
        <w:jc w:val="both"/>
        <w:rPr>
          <w:rFonts w:ascii="Sylfaen" w:hAnsi="Sylfaen"/>
          <w:b/>
          <w:sz w:val="20"/>
          <w:szCs w:val="20"/>
          <w:lang w:val="ka-GE"/>
        </w:rPr>
      </w:pPr>
    </w:p>
    <w:p w:rsidR="00487A9D" w:rsidRPr="00291483" w:rsidRDefault="00487A9D" w:rsidP="00C27A81">
      <w:pPr>
        <w:jc w:val="both"/>
        <w:rPr>
          <w:rFonts w:ascii="Sylfaen" w:hAnsi="Sylfaen"/>
          <w:b/>
          <w:sz w:val="20"/>
          <w:szCs w:val="20"/>
          <w:lang w:val="ka-GE"/>
        </w:rPr>
      </w:pPr>
      <w:r w:rsidRPr="00291483">
        <w:rPr>
          <w:rFonts w:ascii="Sylfaen" w:hAnsi="Sylfaen"/>
          <w:b/>
          <w:sz w:val="20"/>
          <w:szCs w:val="20"/>
          <w:lang w:val="ka-GE"/>
        </w:rPr>
        <w:t>დიაგრამა N2. დაქირავებულთა და თვითდასაქმებულთა განაწილება 2012-2015 წლებში</w:t>
      </w:r>
      <w:r w:rsidR="00666EA6" w:rsidRPr="00291483">
        <w:rPr>
          <w:rFonts w:ascii="Sylfaen" w:hAnsi="Sylfaen"/>
          <w:b/>
          <w:sz w:val="20"/>
          <w:szCs w:val="20"/>
          <w:lang w:val="ka-GE"/>
        </w:rPr>
        <w:t xml:space="preserve"> (%)</w:t>
      </w:r>
    </w:p>
    <w:p w:rsidR="00487A9D" w:rsidRPr="00291483" w:rsidRDefault="00487A9D" w:rsidP="00C27A81">
      <w:pPr>
        <w:jc w:val="both"/>
        <w:rPr>
          <w:rFonts w:ascii="Sylfaen" w:hAnsi="Sylfaen"/>
          <w:lang w:val="ka-GE"/>
        </w:rPr>
      </w:pPr>
      <w:r w:rsidRPr="00291483">
        <w:rPr>
          <w:noProof/>
        </w:rPr>
        <w:drawing>
          <wp:inline distT="0" distB="0" distL="0" distR="0" wp14:anchorId="4AE31EB5" wp14:editId="061DDACD">
            <wp:extent cx="4572000" cy="2428240"/>
            <wp:effectExtent l="0" t="0" r="19050" b="1016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87A9D" w:rsidRPr="00291483" w:rsidRDefault="00487A9D" w:rsidP="00C27A81">
      <w:pPr>
        <w:jc w:val="both"/>
        <w:rPr>
          <w:rFonts w:ascii="Sylfaen" w:hAnsi="Sylfaen"/>
          <w:b/>
          <w:sz w:val="20"/>
          <w:szCs w:val="20"/>
          <w:lang w:val="ka-GE"/>
        </w:rPr>
      </w:pPr>
      <w:r w:rsidRPr="00291483">
        <w:rPr>
          <w:rFonts w:ascii="Sylfaen" w:hAnsi="Sylfaen"/>
          <w:b/>
          <w:sz w:val="20"/>
          <w:szCs w:val="20"/>
          <w:lang w:val="ka-GE"/>
        </w:rPr>
        <w:t>წყარო: საქსტატი, შინამეურნეობების ინტეგრირებული გამოკითხვა</w:t>
      </w:r>
    </w:p>
    <w:p w:rsidR="00B16A17" w:rsidRPr="00291483" w:rsidRDefault="00B16A17" w:rsidP="00C27A81">
      <w:pPr>
        <w:jc w:val="both"/>
        <w:rPr>
          <w:rFonts w:ascii="Sylfaen" w:hAnsi="Sylfaen"/>
          <w:b/>
          <w:sz w:val="20"/>
          <w:szCs w:val="20"/>
          <w:lang w:val="ka-GE"/>
        </w:rPr>
      </w:pPr>
    </w:p>
    <w:p w:rsidR="00487A9D" w:rsidRPr="00291483" w:rsidRDefault="00D3565F" w:rsidP="00C27A81">
      <w:pPr>
        <w:jc w:val="both"/>
        <w:rPr>
          <w:rFonts w:ascii="Sylfaen" w:hAnsi="Sylfaen"/>
          <w:lang w:val="ka-GE"/>
        </w:rPr>
      </w:pPr>
      <w:r w:rsidRPr="00291483">
        <w:rPr>
          <w:rFonts w:ascii="Sylfaen" w:hAnsi="Sylfaen"/>
          <w:lang w:val="ka-GE"/>
        </w:rPr>
        <w:t xml:space="preserve">აღსანიშნავია, რომ 2012 წლიდან მოყოლებული იზრდება დაქირავებით დასაქმებულთა </w:t>
      </w:r>
      <w:r w:rsidR="005F7CD8" w:rsidRPr="00291483">
        <w:rPr>
          <w:rFonts w:ascii="Sylfaen" w:hAnsi="Sylfaen"/>
          <w:lang w:val="ka-GE"/>
        </w:rPr>
        <w:t xml:space="preserve">რაოდენობა </w:t>
      </w:r>
      <w:r w:rsidRPr="00291483">
        <w:rPr>
          <w:rFonts w:ascii="Sylfaen" w:hAnsi="Sylfaen"/>
          <w:lang w:val="ka-GE"/>
        </w:rPr>
        <w:t>და შესაბამისად</w:t>
      </w:r>
      <w:r w:rsidR="005F7CD8" w:rsidRPr="00291483">
        <w:rPr>
          <w:rFonts w:ascii="Sylfaen" w:hAnsi="Sylfaen"/>
          <w:lang w:val="ka-GE"/>
        </w:rPr>
        <w:t>,</w:t>
      </w:r>
      <w:r w:rsidRPr="00291483">
        <w:rPr>
          <w:rFonts w:ascii="Sylfaen" w:hAnsi="Sylfaen"/>
          <w:lang w:val="ka-GE"/>
        </w:rPr>
        <w:t xml:space="preserve"> მცირდება თვითდასაქმებულთა დასაქმების </w:t>
      </w:r>
      <w:r w:rsidR="005F7CD8" w:rsidRPr="00291483">
        <w:rPr>
          <w:rFonts w:ascii="Sylfaen" w:hAnsi="Sylfaen"/>
          <w:lang w:val="ka-GE"/>
        </w:rPr>
        <w:t xml:space="preserve">მაჩვენებელი. </w:t>
      </w:r>
      <w:r w:rsidRPr="00291483">
        <w:rPr>
          <w:rFonts w:ascii="Sylfaen" w:hAnsi="Sylfaen"/>
          <w:lang w:val="ka-GE"/>
        </w:rPr>
        <w:t>2015 წელს წინა წელთან შედარებით 2,6% გაიზარდა დაქირავებით დასაქმებ</w:t>
      </w:r>
      <w:r w:rsidR="005F7CD8" w:rsidRPr="00291483">
        <w:rPr>
          <w:rFonts w:ascii="Sylfaen" w:hAnsi="Sylfaen"/>
          <w:lang w:val="ka-GE"/>
        </w:rPr>
        <w:t>ის</w:t>
      </w:r>
      <w:r w:rsidRPr="00291483">
        <w:rPr>
          <w:rFonts w:ascii="Sylfaen" w:hAnsi="Sylfaen"/>
          <w:lang w:val="ka-GE"/>
        </w:rPr>
        <w:t xml:space="preserve"> </w:t>
      </w:r>
      <w:r w:rsidR="005F7CD8" w:rsidRPr="00291483">
        <w:rPr>
          <w:rFonts w:ascii="Sylfaen" w:hAnsi="Sylfaen"/>
          <w:lang w:val="ka-GE"/>
        </w:rPr>
        <w:t xml:space="preserve">მაჩვენებელი. </w:t>
      </w:r>
      <w:r w:rsidR="00A12704" w:rsidRPr="00291483">
        <w:rPr>
          <w:rFonts w:ascii="Sylfaen" w:hAnsi="Sylfaen"/>
          <w:lang w:val="ka-GE"/>
        </w:rPr>
        <w:t>აღნიშნული ტენდენცია დადებითად უნდა შეფასდეს თუ გავითვალისწინებთ, იმ ფაქტს, რომ დაქირავებით დასაქმებულებს</w:t>
      </w:r>
      <w:r w:rsidR="00C3412A" w:rsidRPr="00291483">
        <w:rPr>
          <w:rFonts w:ascii="Sylfaen" w:hAnsi="Sylfaen"/>
          <w:lang w:val="ka-GE"/>
        </w:rPr>
        <w:t xml:space="preserve"> თვითდასაქმებულებთან შედარებით,</w:t>
      </w:r>
      <w:r w:rsidR="00A12704" w:rsidRPr="00291483">
        <w:rPr>
          <w:rFonts w:ascii="Sylfaen" w:hAnsi="Sylfaen"/>
          <w:lang w:val="ka-GE"/>
        </w:rPr>
        <w:t xml:space="preserve"> ზოგადად</w:t>
      </w:r>
      <w:r w:rsidR="00C3412A" w:rsidRPr="00291483">
        <w:rPr>
          <w:rFonts w:ascii="Sylfaen" w:hAnsi="Sylfaen"/>
          <w:lang w:val="ka-GE"/>
        </w:rPr>
        <w:t>,</w:t>
      </w:r>
      <w:r w:rsidR="00A12704" w:rsidRPr="00291483">
        <w:rPr>
          <w:rFonts w:ascii="Sylfaen" w:hAnsi="Sylfaen"/>
          <w:lang w:val="ka-GE"/>
        </w:rPr>
        <w:t xml:space="preserve"> უფრო დაცული შრომითი უფლებები აქვთ.  </w:t>
      </w:r>
      <w:r w:rsidR="00C7298C" w:rsidRPr="00291483">
        <w:rPr>
          <w:rFonts w:ascii="Sylfaen" w:hAnsi="Sylfaen"/>
          <w:lang w:val="ka-GE"/>
        </w:rPr>
        <w:t xml:space="preserve">  </w:t>
      </w:r>
    </w:p>
    <w:p w:rsidR="00A12704" w:rsidRPr="00291483" w:rsidRDefault="00A12704" w:rsidP="00C27A81">
      <w:pPr>
        <w:jc w:val="both"/>
        <w:rPr>
          <w:rFonts w:ascii="Sylfaen" w:hAnsi="Sylfaen"/>
          <w:lang w:val="ka-GE"/>
        </w:rPr>
      </w:pPr>
      <w:r w:rsidRPr="00291483">
        <w:rPr>
          <w:rFonts w:ascii="Sylfaen" w:hAnsi="Sylfaen"/>
          <w:lang w:val="ka-GE"/>
        </w:rPr>
        <w:t xml:space="preserve">ბოლო წლებში დასაქმების დონე ინსტიტუციური სექტორების მიხედვით </w:t>
      </w:r>
      <w:r w:rsidR="00E23DDF" w:rsidRPr="00291483">
        <w:rPr>
          <w:rFonts w:ascii="Sylfaen" w:hAnsi="Sylfaen"/>
          <w:lang w:val="ka-GE"/>
        </w:rPr>
        <w:t>იყო სტაბილური</w:t>
      </w:r>
      <w:r w:rsidRPr="00291483">
        <w:rPr>
          <w:rFonts w:ascii="Sylfaen" w:hAnsi="Sylfaen"/>
          <w:lang w:val="ka-GE"/>
        </w:rPr>
        <w:t xml:space="preserve"> </w:t>
      </w:r>
      <w:r w:rsidR="00E23DDF" w:rsidRPr="00291483">
        <w:rPr>
          <w:rFonts w:ascii="Sylfaen" w:hAnsi="Sylfaen"/>
          <w:lang w:val="ka-GE"/>
        </w:rPr>
        <w:t xml:space="preserve">და </w:t>
      </w:r>
      <w:r w:rsidRPr="00291483">
        <w:rPr>
          <w:rFonts w:ascii="Sylfaen" w:hAnsi="Sylfaen"/>
          <w:lang w:val="ka-GE"/>
        </w:rPr>
        <w:t xml:space="preserve">ყოველივე </w:t>
      </w:r>
      <w:r w:rsidR="00E23DDF" w:rsidRPr="00291483">
        <w:rPr>
          <w:rFonts w:ascii="Sylfaen" w:hAnsi="Sylfaen"/>
          <w:lang w:val="ka-GE"/>
        </w:rPr>
        <w:t>მერყეობდა</w:t>
      </w:r>
      <w:r w:rsidRPr="00291483">
        <w:rPr>
          <w:rFonts w:ascii="Sylfaen" w:hAnsi="Sylfaen"/>
          <w:lang w:val="ka-GE"/>
        </w:rPr>
        <w:t xml:space="preserve"> 1%</w:t>
      </w:r>
      <w:r w:rsidR="009B45B7" w:rsidRPr="00291483">
        <w:rPr>
          <w:rFonts w:ascii="Sylfaen" w:hAnsi="Sylfaen"/>
          <w:lang w:val="ka-GE"/>
        </w:rPr>
        <w:t>-ის</w:t>
      </w:r>
      <w:r w:rsidRPr="00291483">
        <w:rPr>
          <w:rFonts w:ascii="Sylfaen" w:hAnsi="Sylfaen"/>
          <w:lang w:val="ka-GE"/>
        </w:rPr>
        <w:t xml:space="preserve"> ფარგლებში. 2015 წელს არასახელმწიფო სექტორში დასაქმებულთა დონემ შეადგინა 84.6%, ხოლო სახელმწიფო სექტორში - 15.4%. </w:t>
      </w:r>
    </w:p>
    <w:p w:rsidR="00487A9D" w:rsidRPr="00291483" w:rsidRDefault="00487A9D" w:rsidP="00C27A81">
      <w:pPr>
        <w:jc w:val="both"/>
        <w:rPr>
          <w:rFonts w:ascii="Sylfaen" w:hAnsi="Sylfaen"/>
          <w:b/>
          <w:sz w:val="20"/>
          <w:szCs w:val="20"/>
          <w:lang w:val="ka-GE"/>
        </w:rPr>
      </w:pPr>
    </w:p>
    <w:p w:rsidR="00487A9D" w:rsidRPr="00291483" w:rsidRDefault="00487A9D" w:rsidP="00C27A81">
      <w:pPr>
        <w:jc w:val="both"/>
        <w:rPr>
          <w:rFonts w:ascii="Sylfaen" w:hAnsi="Sylfaen"/>
          <w:b/>
          <w:sz w:val="20"/>
          <w:szCs w:val="20"/>
          <w:lang w:val="ka-GE"/>
        </w:rPr>
      </w:pPr>
    </w:p>
    <w:p w:rsidR="00487A9D" w:rsidRPr="00291483" w:rsidRDefault="00487A9D" w:rsidP="00C27A81">
      <w:pPr>
        <w:jc w:val="both"/>
        <w:rPr>
          <w:rFonts w:ascii="Sylfaen" w:hAnsi="Sylfaen"/>
          <w:b/>
          <w:sz w:val="20"/>
          <w:szCs w:val="20"/>
          <w:lang w:val="ka-GE"/>
        </w:rPr>
      </w:pPr>
    </w:p>
    <w:p w:rsidR="00487A9D" w:rsidRPr="00291483" w:rsidRDefault="00487A9D" w:rsidP="00C27A81">
      <w:pPr>
        <w:jc w:val="both"/>
        <w:rPr>
          <w:rFonts w:ascii="Sylfaen" w:hAnsi="Sylfaen"/>
          <w:b/>
          <w:sz w:val="20"/>
          <w:szCs w:val="20"/>
          <w:lang w:val="ka-GE"/>
        </w:rPr>
      </w:pPr>
    </w:p>
    <w:p w:rsidR="00487A9D" w:rsidRPr="00291483" w:rsidRDefault="00487A9D" w:rsidP="00C27A81">
      <w:pPr>
        <w:jc w:val="both"/>
        <w:rPr>
          <w:rFonts w:ascii="Sylfaen" w:hAnsi="Sylfaen"/>
          <w:b/>
          <w:sz w:val="20"/>
          <w:szCs w:val="20"/>
          <w:lang w:val="ka-GE"/>
        </w:rPr>
      </w:pPr>
    </w:p>
    <w:p w:rsidR="00487A9D" w:rsidRPr="00291483" w:rsidRDefault="00487A9D" w:rsidP="00C27A81">
      <w:pPr>
        <w:jc w:val="both"/>
        <w:rPr>
          <w:rFonts w:ascii="Sylfaen" w:hAnsi="Sylfaen"/>
          <w:b/>
          <w:sz w:val="20"/>
          <w:szCs w:val="20"/>
          <w:lang w:val="ka-GE"/>
        </w:rPr>
      </w:pPr>
    </w:p>
    <w:p w:rsidR="00487A9D" w:rsidRPr="00291483" w:rsidRDefault="00487A9D" w:rsidP="00C27A81">
      <w:pPr>
        <w:jc w:val="both"/>
        <w:rPr>
          <w:rFonts w:ascii="Sylfaen" w:hAnsi="Sylfaen"/>
          <w:b/>
          <w:sz w:val="20"/>
          <w:szCs w:val="20"/>
          <w:lang w:val="ka-GE"/>
        </w:rPr>
      </w:pPr>
    </w:p>
    <w:p w:rsidR="00487A9D" w:rsidRPr="00291483" w:rsidRDefault="00487A9D" w:rsidP="00C27A81">
      <w:pPr>
        <w:jc w:val="both"/>
        <w:rPr>
          <w:rFonts w:ascii="Sylfaen" w:hAnsi="Sylfaen"/>
          <w:lang w:val="ka-GE"/>
        </w:rPr>
      </w:pPr>
      <w:r w:rsidRPr="00291483">
        <w:rPr>
          <w:rFonts w:ascii="Sylfaen" w:hAnsi="Sylfaen"/>
          <w:b/>
          <w:sz w:val="20"/>
          <w:szCs w:val="20"/>
          <w:lang w:val="ka-GE"/>
        </w:rPr>
        <w:lastRenderedPageBreak/>
        <w:t xml:space="preserve">დიაგრამა N3. </w:t>
      </w:r>
      <w:r w:rsidR="00A505C2" w:rsidRPr="00291483">
        <w:rPr>
          <w:rFonts w:ascii="Sylfaen" w:hAnsi="Sylfaen"/>
          <w:b/>
          <w:sz w:val="20"/>
          <w:szCs w:val="20"/>
          <w:lang w:val="ka-GE"/>
        </w:rPr>
        <w:t>დასაქმებულების განაწილება ინსტიტუციური სექტორების მიხედვით 2012-2015 წლებში</w:t>
      </w:r>
      <w:r w:rsidR="00BC50D7" w:rsidRPr="00291483">
        <w:rPr>
          <w:rFonts w:ascii="Sylfaen" w:hAnsi="Sylfaen"/>
          <w:b/>
          <w:sz w:val="20"/>
          <w:szCs w:val="20"/>
          <w:lang w:val="ka-GE"/>
        </w:rPr>
        <w:t xml:space="preserve"> (%)</w:t>
      </w:r>
    </w:p>
    <w:p w:rsidR="00A12704" w:rsidRPr="00291483" w:rsidRDefault="00A12704" w:rsidP="00C27A81">
      <w:pPr>
        <w:jc w:val="both"/>
        <w:rPr>
          <w:rFonts w:ascii="Sylfaen" w:hAnsi="Sylfaen"/>
          <w:lang w:val="ka-GE"/>
        </w:rPr>
      </w:pPr>
      <w:r w:rsidRPr="00291483">
        <w:rPr>
          <w:noProof/>
        </w:rPr>
        <w:drawing>
          <wp:inline distT="0" distB="0" distL="0" distR="0" wp14:anchorId="157FB41E" wp14:editId="5F2DA32F">
            <wp:extent cx="4572000" cy="27432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23DDF" w:rsidRPr="00291483" w:rsidRDefault="00487A9D" w:rsidP="00C27A81">
      <w:pPr>
        <w:jc w:val="both"/>
        <w:rPr>
          <w:rFonts w:ascii="Sylfaen" w:hAnsi="Sylfaen"/>
          <w:b/>
          <w:sz w:val="20"/>
          <w:szCs w:val="20"/>
          <w:lang w:val="ka-GE"/>
        </w:rPr>
      </w:pPr>
      <w:r w:rsidRPr="00291483">
        <w:rPr>
          <w:rFonts w:ascii="Sylfaen" w:hAnsi="Sylfaen"/>
          <w:b/>
          <w:sz w:val="20"/>
          <w:szCs w:val="20"/>
          <w:lang w:val="ka-GE"/>
        </w:rPr>
        <w:t>წყარო: საქსტატი, შინამეურნეობების ინტეგრირებული გამოკითხვა</w:t>
      </w:r>
    </w:p>
    <w:p w:rsidR="00A505C2" w:rsidRPr="00291483" w:rsidRDefault="009B45B7" w:rsidP="00C27A81">
      <w:pPr>
        <w:jc w:val="both"/>
        <w:rPr>
          <w:rFonts w:ascii="Sylfaen" w:hAnsi="Sylfaen"/>
          <w:lang w:val="ka-GE"/>
        </w:rPr>
      </w:pPr>
      <w:r w:rsidRPr="00291483">
        <w:rPr>
          <w:rFonts w:ascii="Sylfaen" w:hAnsi="Sylfaen"/>
          <w:lang w:val="ka-GE"/>
        </w:rPr>
        <w:t xml:space="preserve">დასაქმებულ კაცებსა და ქალებს შორის სხვაობა 6%-ს შეადგენს, </w:t>
      </w:r>
      <w:r w:rsidR="007B5747" w:rsidRPr="00291483">
        <w:rPr>
          <w:rFonts w:ascii="Sylfaen" w:hAnsi="Sylfaen"/>
          <w:lang w:val="ka-GE"/>
        </w:rPr>
        <w:t xml:space="preserve"> ყოველივე შეიძლება ავხსნათ</w:t>
      </w:r>
      <w:r w:rsidRPr="00291483">
        <w:rPr>
          <w:rFonts w:ascii="Sylfaen" w:hAnsi="Sylfaen"/>
          <w:lang w:val="ka-GE"/>
        </w:rPr>
        <w:t xml:space="preserve"> ქალების აქტივობის დაბალი დონით</w:t>
      </w:r>
      <w:r w:rsidR="007B5747" w:rsidRPr="00291483">
        <w:rPr>
          <w:rFonts w:ascii="Sylfaen" w:hAnsi="Sylfaen"/>
          <w:lang w:val="ka-GE"/>
        </w:rPr>
        <w:t xml:space="preserve"> ფერტილობის პერიოდში</w:t>
      </w:r>
      <w:r w:rsidRPr="00291483">
        <w:rPr>
          <w:rFonts w:ascii="Sylfaen" w:hAnsi="Sylfaen"/>
          <w:lang w:val="ka-GE"/>
        </w:rPr>
        <w:t>.</w:t>
      </w:r>
      <w:r w:rsidR="00BA0DE3" w:rsidRPr="00291483">
        <w:rPr>
          <w:rFonts w:ascii="Sylfaen" w:hAnsi="Sylfaen"/>
          <w:lang w:val="ka-GE"/>
        </w:rPr>
        <w:t>.</w:t>
      </w:r>
    </w:p>
    <w:p w:rsidR="00A505C2" w:rsidRPr="00291483" w:rsidRDefault="00A505C2" w:rsidP="00C27A81">
      <w:pPr>
        <w:jc w:val="both"/>
        <w:rPr>
          <w:rFonts w:ascii="Sylfaen" w:hAnsi="Sylfaen"/>
          <w:lang w:val="ka-GE"/>
        </w:rPr>
      </w:pPr>
    </w:p>
    <w:p w:rsidR="009B45B7" w:rsidRPr="00291483" w:rsidRDefault="009B45B7" w:rsidP="00C27A81">
      <w:pPr>
        <w:jc w:val="both"/>
        <w:rPr>
          <w:rFonts w:ascii="Sylfaen" w:hAnsi="Sylfaen"/>
          <w:lang w:val="ka-GE"/>
        </w:rPr>
      </w:pPr>
    </w:p>
    <w:p w:rsidR="009B45B7" w:rsidRPr="00291483" w:rsidRDefault="009B45B7" w:rsidP="00C27A81">
      <w:pPr>
        <w:jc w:val="both"/>
        <w:rPr>
          <w:rFonts w:ascii="Sylfaen" w:hAnsi="Sylfaen"/>
          <w:lang w:val="ka-GE"/>
        </w:rPr>
      </w:pPr>
    </w:p>
    <w:p w:rsidR="009B45B7" w:rsidRPr="00291483" w:rsidRDefault="009B45B7" w:rsidP="00C27A81">
      <w:pPr>
        <w:jc w:val="both"/>
        <w:rPr>
          <w:rFonts w:ascii="Sylfaen" w:hAnsi="Sylfaen"/>
          <w:lang w:val="ka-GE"/>
        </w:rPr>
      </w:pPr>
    </w:p>
    <w:p w:rsidR="009B45B7" w:rsidRPr="00291483" w:rsidRDefault="009B45B7" w:rsidP="00C27A81">
      <w:pPr>
        <w:jc w:val="both"/>
        <w:rPr>
          <w:rFonts w:ascii="Sylfaen" w:hAnsi="Sylfaen"/>
          <w:lang w:val="ka-GE"/>
        </w:rPr>
      </w:pPr>
    </w:p>
    <w:p w:rsidR="009B45B7" w:rsidRPr="00291483" w:rsidRDefault="009B45B7" w:rsidP="00C27A81">
      <w:pPr>
        <w:jc w:val="both"/>
        <w:rPr>
          <w:rFonts w:ascii="Sylfaen" w:hAnsi="Sylfaen"/>
          <w:lang w:val="ka-GE"/>
        </w:rPr>
      </w:pPr>
    </w:p>
    <w:p w:rsidR="009B45B7" w:rsidRPr="00291483" w:rsidRDefault="009B45B7" w:rsidP="00C27A81">
      <w:pPr>
        <w:jc w:val="both"/>
        <w:rPr>
          <w:rFonts w:ascii="Sylfaen" w:hAnsi="Sylfaen"/>
          <w:lang w:val="ka-GE"/>
        </w:rPr>
      </w:pPr>
    </w:p>
    <w:p w:rsidR="009B45B7" w:rsidRPr="00291483" w:rsidRDefault="009B45B7" w:rsidP="00C27A81">
      <w:pPr>
        <w:jc w:val="both"/>
        <w:rPr>
          <w:rFonts w:ascii="Sylfaen" w:hAnsi="Sylfaen"/>
          <w:lang w:val="ka-GE"/>
        </w:rPr>
      </w:pPr>
    </w:p>
    <w:p w:rsidR="00291483" w:rsidRDefault="00291483" w:rsidP="00C27A81">
      <w:pPr>
        <w:jc w:val="both"/>
        <w:rPr>
          <w:rFonts w:ascii="Sylfaen" w:hAnsi="Sylfaen"/>
          <w:b/>
          <w:sz w:val="20"/>
          <w:szCs w:val="20"/>
          <w:lang w:val="ka-GE"/>
        </w:rPr>
      </w:pPr>
    </w:p>
    <w:p w:rsidR="00291483" w:rsidRDefault="00291483" w:rsidP="00C27A81">
      <w:pPr>
        <w:jc w:val="both"/>
        <w:rPr>
          <w:rFonts w:ascii="Sylfaen" w:hAnsi="Sylfaen"/>
          <w:b/>
          <w:sz w:val="20"/>
          <w:szCs w:val="20"/>
          <w:lang w:val="ka-GE"/>
        </w:rPr>
      </w:pPr>
    </w:p>
    <w:p w:rsidR="00291483" w:rsidRDefault="00291483" w:rsidP="00C27A81">
      <w:pPr>
        <w:jc w:val="both"/>
        <w:rPr>
          <w:rFonts w:ascii="Sylfaen" w:hAnsi="Sylfaen"/>
          <w:b/>
          <w:sz w:val="20"/>
          <w:szCs w:val="20"/>
          <w:lang w:val="ka-GE"/>
        </w:rPr>
      </w:pPr>
    </w:p>
    <w:p w:rsidR="00291483" w:rsidRDefault="00291483" w:rsidP="00C27A81">
      <w:pPr>
        <w:jc w:val="both"/>
        <w:rPr>
          <w:rFonts w:ascii="Sylfaen" w:hAnsi="Sylfaen"/>
          <w:b/>
          <w:sz w:val="20"/>
          <w:szCs w:val="20"/>
          <w:lang w:val="ka-GE"/>
        </w:rPr>
      </w:pPr>
    </w:p>
    <w:p w:rsidR="00A505C2" w:rsidRPr="00291483" w:rsidRDefault="00A505C2" w:rsidP="00C27A81">
      <w:pPr>
        <w:jc w:val="both"/>
        <w:rPr>
          <w:rFonts w:ascii="Sylfaen" w:hAnsi="Sylfaen"/>
          <w:b/>
          <w:sz w:val="20"/>
          <w:szCs w:val="20"/>
          <w:lang w:val="ka-GE"/>
        </w:rPr>
      </w:pPr>
      <w:r w:rsidRPr="00291483">
        <w:rPr>
          <w:rFonts w:ascii="Sylfaen" w:hAnsi="Sylfaen"/>
          <w:b/>
          <w:sz w:val="20"/>
          <w:szCs w:val="20"/>
          <w:lang w:val="ka-GE"/>
        </w:rPr>
        <w:lastRenderedPageBreak/>
        <w:t>დიაგრამა N4. დასაქმებულები</w:t>
      </w:r>
      <w:r w:rsidR="001810A0" w:rsidRPr="00291483">
        <w:rPr>
          <w:rFonts w:ascii="Sylfaen" w:hAnsi="Sylfaen"/>
          <w:b/>
          <w:sz w:val="20"/>
          <w:szCs w:val="20"/>
          <w:lang w:val="ka-GE"/>
        </w:rPr>
        <w:t>ს განაწილება</w:t>
      </w:r>
      <w:r w:rsidRPr="00291483">
        <w:rPr>
          <w:rFonts w:ascii="Sylfaen" w:hAnsi="Sylfaen"/>
          <w:b/>
          <w:sz w:val="20"/>
          <w:szCs w:val="20"/>
          <w:lang w:val="ka-GE"/>
        </w:rPr>
        <w:t xml:space="preserve"> სქესის მიხედვით 20</w:t>
      </w:r>
      <w:r w:rsidR="001810A0" w:rsidRPr="00291483">
        <w:rPr>
          <w:rFonts w:ascii="Sylfaen" w:hAnsi="Sylfaen"/>
          <w:b/>
          <w:sz w:val="20"/>
          <w:szCs w:val="20"/>
          <w:lang w:val="ka-GE"/>
        </w:rPr>
        <w:t>15 წელში</w:t>
      </w:r>
    </w:p>
    <w:p w:rsidR="007B5747" w:rsidRPr="00291483" w:rsidRDefault="007B5747" w:rsidP="00C27A81">
      <w:pPr>
        <w:jc w:val="both"/>
        <w:rPr>
          <w:rFonts w:ascii="Sylfaen" w:hAnsi="Sylfaen"/>
          <w:lang w:val="ka-GE"/>
        </w:rPr>
      </w:pPr>
      <w:r w:rsidRPr="00291483">
        <w:rPr>
          <w:noProof/>
        </w:rPr>
        <w:drawing>
          <wp:inline distT="0" distB="0" distL="0" distR="0" wp14:anchorId="30CEA7DE" wp14:editId="030AC346">
            <wp:extent cx="3569818" cy="2231136"/>
            <wp:effectExtent l="0" t="0" r="12065" b="1714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B5747" w:rsidRPr="00291483" w:rsidRDefault="00487A9D" w:rsidP="00C27A81">
      <w:pPr>
        <w:jc w:val="both"/>
        <w:rPr>
          <w:rFonts w:ascii="Sylfaen" w:hAnsi="Sylfaen"/>
          <w:b/>
          <w:sz w:val="20"/>
          <w:szCs w:val="20"/>
          <w:lang w:val="ka-GE"/>
        </w:rPr>
      </w:pPr>
      <w:r w:rsidRPr="00291483">
        <w:rPr>
          <w:rFonts w:ascii="Sylfaen" w:hAnsi="Sylfaen"/>
          <w:b/>
          <w:sz w:val="20"/>
          <w:szCs w:val="20"/>
          <w:lang w:val="ka-GE"/>
        </w:rPr>
        <w:t>წყარო: საქსტატი, შინამეურნეობების ინტეგრირებული გამოკითხვა</w:t>
      </w:r>
    </w:p>
    <w:p w:rsidR="00C0779C" w:rsidRPr="00291483" w:rsidRDefault="007B5747" w:rsidP="00C27A81">
      <w:pPr>
        <w:jc w:val="both"/>
        <w:rPr>
          <w:rFonts w:ascii="Sylfaen" w:hAnsi="Sylfaen"/>
          <w:lang w:val="ka-GE"/>
        </w:rPr>
      </w:pPr>
      <w:r w:rsidRPr="00291483">
        <w:rPr>
          <w:rFonts w:ascii="Sylfaen" w:hAnsi="Sylfaen"/>
          <w:lang w:val="ka-GE"/>
        </w:rPr>
        <w:t>ეკონომიკური აქტივობის მიხედვით</w:t>
      </w:r>
      <w:r w:rsidR="0007555E" w:rsidRPr="00291483">
        <w:rPr>
          <w:rFonts w:ascii="Sylfaen" w:hAnsi="Sylfaen"/>
          <w:lang w:val="ka-GE"/>
        </w:rPr>
        <w:t xml:space="preserve"> კაცისა და ქალის დასაქმების დონე ემთხვევა დასაქმების განაწილების ზოგად სურათს. </w:t>
      </w:r>
      <w:r w:rsidR="004D1751" w:rsidRPr="00291483">
        <w:rPr>
          <w:rFonts w:ascii="Sylfaen" w:hAnsi="Sylfaen"/>
          <w:lang w:val="ka-GE"/>
        </w:rPr>
        <w:t xml:space="preserve">2015 წელს </w:t>
      </w:r>
      <w:r w:rsidR="0007555E" w:rsidRPr="00291483">
        <w:rPr>
          <w:rFonts w:ascii="Sylfaen" w:hAnsi="Sylfaen"/>
          <w:lang w:val="ka-GE"/>
        </w:rPr>
        <w:t xml:space="preserve">დაქირავებით </w:t>
      </w:r>
      <w:r w:rsidR="004D1751" w:rsidRPr="00291483">
        <w:rPr>
          <w:rFonts w:ascii="Sylfaen" w:hAnsi="Sylfaen"/>
          <w:lang w:val="ka-GE"/>
        </w:rPr>
        <w:t xml:space="preserve">დასაქმებულთა </w:t>
      </w:r>
      <w:r w:rsidR="000277BD" w:rsidRPr="00291483">
        <w:rPr>
          <w:rFonts w:ascii="Sylfaen" w:hAnsi="Sylfaen"/>
          <w:lang w:val="ka-GE"/>
        </w:rPr>
        <w:t xml:space="preserve">მაჩვენებელი </w:t>
      </w:r>
      <w:r w:rsidR="004D1751" w:rsidRPr="00291483">
        <w:rPr>
          <w:rFonts w:ascii="Sylfaen" w:hAnsi="Sylfaen"/>
          <w:lang w:val="ka-GE"/>
        </w:rPr>
        <w:t>სქესის მიხედვით განაწილდა შემდეგნაირად -</w:t>
      </w:r>
      <w:r w:rsidR="0007555E" w:rsidRPr="00291483">
        <w:rPr>
          <w:rFonts w:ascii="Sylfaen" w:hAnsi="Sylfaen"/>
          <w:lang w:val="ka-GE"/>
        </w:rPr>
        <w:t xml:space="preserve"> 53% კაცი და 47% ქალი, ხოლო </w:t>
      </w:r>
      <w:r w:rsidR="004D1751" w:rsidRPr="00291483">
        <w:rPr>
          <w:rFonts w:ascii="Sylfaen" w:hAnsi="Sylfaen"/>
          <w:lang w:val="ka-GE"/>
        </w:rPr>
        <w:t>თვითდასაქმებულები -</w:t>
      </w:r>
      <w:r w:rsidR="0007555E" w:rsidRPr="00291483">
        <w:rPr>
          <w:rFonts w:ascii="Sylfaen" w:hAnsi="Sylfaen"/>
          <w:lang w:val="ka-GE"/>
        </w:rPr>
        <w:t xml:space="preserve"> 52% კაცი და 48% ქალი.</w:t>
      </w:r>
      <w:r w:rsidR="004D1751" w:rsidRPr="00291483">
        <w:rPr>
          <w:rFonts w:ascii="Sylfaen" w:hAnsi="Sylfaen"/>
          <w:lang w:val="ka-GE"/>
        </w:rPr>
        <w:t xml:space="preserve"> 2015 წელს წინა წელთან შედარებით 1%</w:t>
      </w:r>
      <w:r w:rsidR="00BC50D7" w:rsidRPr="00291483">
        <w:rPr>
          <w:rFonts w:ascii="Sylfaen" w:hAnsi="Sylfaen"/>
          <w:lang w:val="ka-GE"/>
        </w:rPr>
        <w:t>-ული წილით</w:t>
      </w:r>
      <w:r w:rsidR="004D1751" w:rsidRPr="00291483">
        <w:rPr>
          <w:rFonts w:ascii="Sylfaen" w:hAnsi="Sylfaen"/>
          <w:lang w:val="ka-GE"/>
        </w:rPr>
        <w:t xml:space="preserve"> გაიზარდა   ქალ</w:t>
      </w:r>
      <w:r w:rsidR="000277BD" w:rsidRPr="00291483">
        <w:rPr>
          <w:rFonts w:ascii="Sylfaen" w:hAnsi="Sylfaen"/>
          <w:lang w:val="ka-GE"/>
        </w:rPr>
        <w:t>ების დასაქმების</w:t>
      </w:r>
      <w:r w:rsidR="004D1751" w:rsidRPr="00291483">
        <w:rPr>
          <w:rFonts w:ascii="Sylfaen" w:hAnsi="Sylfaen"/>
          <w:lang w:val="ka-GE"/>
        </w:rPr>
        <w:t xml:space="preserve"> დონე. </w:t>
      </w:r>
    </w:p>
    <w:p w:rsidR="00C0779C" w:rsidRPr="00291483" w:rsidRDefault="00C0779C" w:rsidP="00C27A81">
      <w:pPr>
        <w:jc w:val="both"/>
        <w:rPr>
          <w:rFonts w:ascii="Sylfaen" w:hAnsi="Sylfaen"/>
          <w:b/>
          <w:sz w:val="20"/>
          <w:szCs w:val="20"/>
          <w:lang w:val="ka-GE"/>
        </w:rPr>
      </w:pPr>
      <w:r w:rsidRPr="00291483">
        <w:rPr>
          <w:rFonts w:ascii="Sylfaen" w:hAnsi="Sylfaen"/>
          <w:b/>
          <w:sz w:val="20"/>
          <w:szCs w:val="20"/>
          <w:lang w:val="ka-GE"/>
        </w:rPr>
        <w:t>დიაგრამა N4. დაქირავებით დასაქმებულების განაწილება სქესის მიხედვით 2015 წელში</w:t>
      </w:r>
    </w:p>
    <w:p w:rsidR="007B5747" w:rsidRPr="00291483" w:rsidRDefault="007B5747" w:rsidP="00C27A81">
      <w:pPr>
        <w:jc w:val="both"/>
        <w:rPr>
          <w:rFonts w:ascii="Sylfaen" w:hAnsi="Sylfaen"/>
          <w:lang w:val="ka-GE"/>
        </w:rPr>
      </w:pPr>
      <w:r w:rsidRPr="00291483">
        <w:rPr>
          <w:noProof/>
        </w:rPr>
        <w:drawing>
          <wp:inline distT="0" distB="0" distL="0" distR="0" wp14:anchorId="29A31B56" wp14:editId="715C84E3">
            <wp:extent cx="4081882" cy="2743200"/>
            <wp:effectExtent l="0" t="0" r="1397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0779C" w:rsidRPr="00291483" w:rsidRDefault="00487A9D" w:rsidP="00C27A81">
      <w:pPr>
        <w:jc w:val="both"/>
        <w:rPr>
          <w:rFonts w:ascii="Sylfaen" w:hAnsi="Sylfaen"/>
          <w:b/>
          <w:sz w:val="20"/>
          <w:szCs w:val="20"/>
          <w:lang w:val="ka-GE"/>
        </w:rPr>
      </w:pPr>
      <w:r w:rsidRPr="00291483">
        <w:rPr>
          <w:rFonts w:ascii="Sylfaen" w:hAnsi="Sylfaen"/>
          <w:b/>
          <w:sz w:val="20"/>
          <w:szCs w:val="20"/>
          <w:lang w:val="ka-GE"/>
        </w:rPr>
        <w:t>წყარო: საქსტატი, შინამეურნეობების ინტეგრირებული გამოკითხვა</w:t>
      </w:r>
    </w:p>
    <w:p w:rsidR="00C0779C" w:rsidRPr="00291483" w:rsidRDefault="00C0779C" w:rsidP="00C27A81">
      <w:pPr>
        <w:jc w:val="both"/>
        <w:rPr>
          <w:rFonts w:ascii="Sylfaen" w:hAnsi="Sylfaen"/>
          <w:b/>
          <w:sz w:val="20"/>
          <w:szCs w:val="20"/>
          <w:lang w:val="ka-GE"/>
        </w:rPr>
      </w:pPr>
      <w:r w:rsidRPr="00291483">
        <w:rPr>
          <w:rFonts w:ascii="Sylfaen" w:hAnsi="Sylfaen"/>
          <w:b/>
          <w:sz w:val="20"/>
          <w:szCs w:val="20"/>
          <w:lang w:val="ka-GE"/>
        </w:rPr>
        <w:t xml:space="preserve">დიაგრამა </w:t>
      </w:r>
      <w:r w:rsidRPr="00291483">
        <w:rPr>
          <w:rFonts w:ascii="Sylfaen" w:hAnsi="Sylfaen"/>
          <w:b/>
          <w:sz w:val="20"/>
          <w:szCs w:val="20"/>
        </w:rPr>
        <w:t xml:space="preserve">N5. </w:t>
      </w:r>
      <w:r w:rsidRPr="00291483">
        <w:rPr>
          <w:rFonts w:ascii="Sylfaen" w:hAnsi="Sylfaen"/>
          <w:b/>
          <w:sz w:val="20"/>
          <w:szCs w:val="20"/>
          <w:lang w:val="ka-GE"/>
        </w:rPr>
        <w:t>თვითდასაქმებულების განაწილება სქესის მიხედვით 2015 წელში</w:t>
      </w:r>
    </w:p>
    <w:p w:rsidR="007B5747" w:rsidRPr="00291483" w:rsidRDefault="007B5747" w:rsidP="00C27A81">
      <w:pPr>
        <w:jc w:val="both"/>
        <w:rPr>
          <w:rFonts w:ascii="Sylfaen" w:hAnsi="Sylfaen"/>
          <w:lang w:val="ka-GE"/>
        </w:rPr>
      </w:pPr>
      <w:r w:rsidRPr="00291483">
        <w:rPr>
          <w:noProof/>
        </w:rPr>
        <w:lastRenderedPageBreak/>
        <w:drawing>
          <wp:inline distT="0" distB="0" distL="0" distR="0" wp14:anchorId="49D515FA" wp14:editId="0EB9054B">
            <wp:extent cx="4081882" cy="2574950"/>
            <wp:effectExtent l="0" t="0" r="13970" b="1587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7555E" w:rsidRPr="00291483" w:rsidRDefault="00487A9D" w:rsidP="00C27A81">
      <w:pPr>
        <w:jc w:val="both"/>
        <w:rPr>
          <w:rFonts w:ascii="Sylfaen" w:hAnsi="Sylfaen"/>
          <w:b/>
          <w:sz w:val="20"/>
          <w:szCs w:val="20"/>
          <w:lang w:val="ka-GE"/>
        </w:rPr>
      </w:pPr>
      <w:r w:rsidRPr="00291483">
        <w:rPr>
          <w:rFonts w:ascii="Sylfaen" w:hAnsi="Sylfaen"/>
          <w:b/>
          <w:sz w:val="20"/>
          <w:szCs w:val="20"/>
          <w:lang w:val="ka-GE"/>
        </w:rPr>
        <w:t>წყარო: საქსტატი, შინამეურნეობების ინტეგრირებული გამოკითხვა</w:t>
      </w:r>
    </w:p>
    <w:p w:rsidR="002C49BE" w:rsidRPr="00291483" w:rsidRDefault="00071F57" w:rsidP="00C27A81">
      <w:pPr>
        <w:jc w:val="both"/>
        <w:rPr>
          <w:rFonts w:ascii="Sylfaen" w:hAnsi="Sylfaen"/>
          <w:lang w:val="ka-GE"/>
        </w:rPr>
      </w:pPr>
      <w:r w:rsidRPr="00291483">
        <w:rPr>
          <w:rFonts w:ascii="Sylfaen" w:hAnsi="Sylfaen"/>
          <w:lang w:val="ka-GE"/>
        </w:rPr>
        <w:t>საკმაოდ მაღალია 15-24 ასაკის მქონე ახალგაზრდების უმუშევრობის დონე</w:t>
      </w:r>
      <w:r w:rsidR="00E01B4B" w:rsidRPr="00291483">
        <w:rPr>
          <w:rFonts w:ascii="Sylfaen" w:hAnsi="Sylfaen"/>
          <w:lang w:val="ka-GE"/>
        </w:rPr>
        <w:t>,</w:t>
      </w:r>
      <w:r w:rsidRPr="00291483">
        <w:rPr>
          <w:rFonts w:ascii="Sylfaen" w:hAnsi="Sylfaen"/>
          <w:lang w:val="ka-GE"/>
        </w:rPr>
        <w:t xml:space="preserve"> როგორც საქართველოში, ასევე</w:t>
      </w:r>
      <w:r w:rsidR="00E01B4B" w:rsidRPr="00291483">
        <w:rPr>
          <w:rFonts w:ascii="Sylfaen" w:hAnsi="Sylfaen"/>
          <w:lang w:val="ka-GE"/>
        </w:rPr>
        <w:t>,</w:t>
      </w:r>
      <w:r w:rsidRPr="00291483">
        <w:rPr>
          <w:rFonts w:ascii="Sylfaen" w:hAnsi="Sylfaen"/>
          <w:lang w:val="ka-GE"/>
        </w:rPr>
        <w:t xml:space="preserve"> ზოგადად ევროპაში, მათ შორის ეკონომიკური თანამშრომლობისა და განვითარების ორგანიზაციის</w:t>
      </w:r>
      <w:r w:rsidR="00E01B4B" w:rsidRPr="00291483">
        <w:rPr>
          <w:rFonts w:ascii="Sylfaen" w:hAnsi="Sylfaen"/>
          <w:lang w:val="ka-GE"/>
        </w:rPr>
        <w:t xml:space="preserve"> (</w:t>
      </w:r>
      <w:r w:rsidR="00E01B4B" w:rsidRPr="00291483">
        <w:rPr>
          <w:rFonts w:ascii="Sylfaen" w:hAnsi="Sylfaen"/>
        </w:rPr>
        <w:t>OECD)</w:t>
      </w:r>
      <w:r w:rsidRPr="00291483">
        <w:rPr>
          <w:rFonts w:ascii="Sylfaen" w:hAnsi="Sylfaen"/>
          <w:lang w:val="ka-GE"/>
        </w:rPr>
        <w:t xml:space="preserve"> ქვეყნებში. </w:t>
      </w:r>
      <w:r w:rsidR="00D5138C" w:rsidRPr="00291483">
        <w:rPr>
          <w:rFonts w:ascii="Sylfaen" w:hAnsi="Sylfaen"/>
          <w:lang w:val="ka-GE"/>
        </w:rPr>
        <w:t xml:space="preserve">2015 წელს წინა წელთან შედარებით არ დაფიქსირებულა უმუშევრობის მკვეთრი ცვლილება </w:t>
      </w:r>
      <w:r w:rsidR="002C49BE" w:rsidRPr="00291483">
        <w:rPr>
          <w:rFonts w:ascii="Sylfaen" w:hAnsi="Sylfaen"/>
          <w:lang w:val="ka-GE"/>
        </w:rPr>
        <w:t xml:space="preserve">და </w:t>
      </w:r>
      <w:r w:rsidR="00D5138C" w:rsidRPr="00291483">
        <w:rPr>
          <w:rFonts w:ascii="Sylfaen" w:hAnsi="Sylfaen"/>
          <w:lang w:val="ka-GE"/>
        </w:rPr>
        <w:t xml:space="preserve">15-24 </w:t>
      </w:r>
      <w:r w:rsidR="002C49BE" w:rsidRPr="00291483">
        <w:rPr>
          <w:rFonts w:ascii="Sylfaen" w:hAnsi="Sylfaen"/>
          <w:lang w:val="ka-GE"/>
        </w:rPr>
        <w:t>ასაკობრივი ჯგუფისათვის შეადგინა 30.8%.</w:t>
      </w:r>
    </w:p>
    <w:p w:rsidR="00487A9D" w:rsidRPr="00291483" w:rsidRDefault="00C0779C" w:rsidP="00C27A81">
      <w:pPr>
        <w:jc w:val="both"/>
        <w:rPr>
          <w:rFonts w:ascii="Sylfaen" w:hAnsi="Sylfaen"/>
          <w:b/>
          <w:sz w:val="20"/>
          <w:szCs w:val="20"/>
          <w:lang w:val="ka-GE"/>
        </w:rPr>
      </w:pPr>
      <w:r w:rsidRPr="00291483">
        <w:rPr>
          <w:rFonts w:ascii="Sylfaen" w:hAnsi="Sylfaen"/>
          <w:b/>
          <w:sz w:val="20"/>
          <w:szCs w:val="20"/>
          <w:lang w:val="ka-GE"/>
        </w:rPr>
        <w:t xml:space="preserve">დიაგრამა </w:t>
      </w:r>
      <w:r w:rsidRPr="00291483">
        <w:rPr>
          <w:rFonts w:ascii="Sylfaen" w:hAnsi="Sylfaen"/>
          <w:b/>
          <w:sz w:val="20"/>
          <w:szCs w:val="20"/>
        </w:rPr>
        <w:t xml:space="preserve">N6. </w:t>
      </w:r>
      <w:proofErr w:type="spellStart"/>
      <w:proofErr w:type="gramStart"/>
      <w:r w:rsidRPr="00291483">
        <w:rPr>
          <w:rFonts w:ascii="Sylfaen" w:eastAsia="Times New Roman" w:hAnsi="Sylfaen" w:cs="Sylfaen"/>
          <w:b/>
          <w:sz w:val="20"/>
          <w:szCs w:val="20"/>
        </w:rPr>
        <w:t>უმუშევრობის</w:t>
      </w:r>
      <w:proofErr w:type="spellEnd"/>
      <w:proofErr w:type="gramEnd"/>
      <w:r w:rsidRPr="00291483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B16A17" w:rsidRPr="00291483">
        <w:rPr>
          <w:rFonts w:ascii="Sylfaen" w:eastAsia="Times New Roman" w:hAnsi="Sylfaen" w:cs="Sylfaen"/>
          <w:b/>
          <w:sz w:val="20"/>
          <w:szCs w:val="20"/>
          <w:lang w:val="ka-GE"/>
        </w:rPr>
        <w:t>დონე</w:t>
      </w:r>
      <w:r w:rsidR="00B16A17" w:rsidRPr="00291483">
        <w:rPr>
          <w:rFonts w:ascii="Arial" w:eastAsia="Times New Roman" w:hAnsi="Arial" w:cs="Arial"/>
          <w:b/>
          <w:sz w:val="20"/>
          <w:szCs w:val="20"/>
        </w:rPr>
        <w:t xml:space="preserve"> 2014</w:t>
      </w:r>
      <w:r w:rsidR="00B16A17" w:rsidRPr="00291483">
        <w:rPr>
          <w:rFonts w:ascii="Sylfaen" w:eastAsia="Times New Roman" w:hAnsi="Sylfaen" w:cs="Arial"/>
          <w:b/>
          <w:sz w:val="20"/>
          <w:szCs w:val="20"/>
          <w:lang w:val="ka-GE"/>
        </w:rPr>
        <w:t>-</w:t>
      </w:r>
      <w:r w:rsidRPr="00291483">
        <w:rPr>
          <w:rFonts w:ascii="Arial" w:eastAsia="Times New Roman" w:hAnsi="Arial" w:cs="Arial"/>
          <w:b/>
          <w:sz w:val="20"/>
          <w:szCs w:val="20"/>
        </w:rPr>
        <w:t xml:space="preserve">2015 </w:t>
      </w:r>
      <w:r w:rsidRPr="00291483">
        <w:rPr>
          <w:rFonts w:ascii="Sylfaen" w:eastAsia="Times New Roman" w:hAnsi="Sylfaen" w:cs="Arial"/>
          <w:b/>
          <w:sz w:val="20"/>
          <w:szCs w:val="20"/>
          <w:lang w:val="ka-GE"/>
        </w:rPr>
        <w:t>წლებში ასაკობრივი ჯგუფების მიხედვით</w:t>
      </w:r>
    </w:p>
    <w:p w:rsidR="002C49BE" w:rsidRPr="00291483" w:rsidRDefault="002C49BE" w:rsidP="00C27A81">
      <w:pPr>
        <w:jc w:val="both"/>
        <w:rPr>
          <w:rFonts w:ascii="Sylfaen" w:hAnsi="Sylfaen"/>
          <w:lang w:val="ka-GE"/>
        </w:rPr>
      </w:pPr>
      <w:r w:rsidRPr="00291483">
        <w:rPr>
          <w:noProof/>
        </w:rPr>
        <w:drawing>
          <wp:inline distT="0" distB="0" distL="0" distR="0" wp14:anchorId="639D21DD" wp14:editId="1E290A08">
            <wp:extent cx="4572000" cy="2743200"/>
            <wp:effectExtent l="0" t="0" r="19050" b="190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87A9D" w:rsidRPr="00291483" w:rsidRDefault="00487A9D" w:rsidP="00C27A81">
      <w:pPr>
        <w:jc w:val="both"/>
        <w:rPr>
          <w:rFonts w:ascii="Sylfaen" w:hAnsi="Sylfaen"/>
          <w:b/>
          <w:sz w:val="20"/>
          <w:szCs w:val="20"/>
          <w:lang w:val="ka-GE"/>
        </w:rPr>
      </w:pPr>
      <w:r w:rsidRPr="00291483">
        <w:rPr>
          <w:rFonts w:ascii="Sylfaen" w:hAnsi="Sylfaen"/>
          <w:b/>
          <w:sz w:val="20"/>
          <w:szCs w:val="20"/>
          <w:lang w:val="ka-GE"/>
        </w:rPr>
        <w:t>წყარო: საქსტატი, შინამეურნეობების ინტეგრირებული გამოკითხვა</w:t>
      </w:r>
    </w:p>
    <w:p w:rsidR="002C49BE" w:rsidRPr="00291483" w:rsidRDefault="002C49BE" w:rsidP="00C27A81">
      <w:pPr>
        <w:jc w:val="both"/>
        <w:rPr>
          <w:rFonts w:ascii="Sylfaen" w:hAnsi="Sylfaen"/>
          <w:lang w:val="ka-GE"/>
        </w:rPr>
      </w:pPr>
    </w:p>
    <w:p w:rsidR="002C49BE" w:rsidRPr="00291483" w:rsidRDefault="002C49BE" w:rsidP="00C27A81">
      <w:pPr>
        <w:jc w:val="both"/>
        <w:rPr>
          <w:rFonts w:ascii="Sylfaen" w:hAnsi="Sylfaen"/>
          <w:lang w:val="ka-GE"/>
        </w:rPr>
      </w:pPr>
      <w:r w:rsidRPr="00291483">
        <w:rPr>
          <w:rFonts w:ascii="Sylfaen" w:hAnsi="Sylfaen"/>
          <w:lang w:val="ka-GE"/>
        </w:rPr>
        <w:lastRenderedPageBreak/>
        <w:t xml:space="preserve">2015 წელს </w:t>
      </w:r>
      <w:r w:rsidR="00094B22" w:rsidRPr="00291483">
        <w:rPr>
          <w:rFonts w:ascii="Sylfaen" w:hAnsi="Sylfaen"/>
          <w:lang w:val="ka-GE"/>
        </w:rPr>
        <w:t xml:space="preserve">გასულ წელთან შედარებით </w:t>
      </w:r>
      <w:r w:rsidRPr="00291483">
        <w:rPr>
          <w:rFonts w:ascii="Sylfaen" w:hAnsi="Sylfaen"/>
          <w:lang w:val="ka-GE"/>
        </w:rPr>
        <w:t>ასაკობრივი ჯგუფების მიხედვით უმუშევრობის</w:t>
      </w:r>
      <w:r w:rsidR="00094B22" w:rsidRPr="00291483">
        <w:rPr>
          <w:rFonts w:ascii="Sylfaen" w:hAnsi="Sylfaen"/>
          <w:lang w:val="ka-GE"/>
        </w:rPr>
        <w:t xml:space="preserve"> საგრძნობი დონის კლება დაფიქსირდა შემდეგი ასაკობრივი ჯგუფებისათვის - 15-19, 25-29 და 30-34. </w:t>
      </w:r>
      <w:r w:rsidRPr="00291483">
        <w:rPr>
          <w:rFonts w:ascii="Sylfaen" w:hAnsi="Sylfaen"/>
          <w:lang w:val="ka-GE"/>
        </w:rPr>
        <w:t xml:space="preserve"> </w:t>
      </w:r>
    </w:p>
    <w:p w:rsidR="006E2FD9" w:rsidRPr="00291483" w:rsidRDefault="006E2FD9" w:rsidP="00C27A81">
      <w:pPr>
        <w:jc w:val="both"/>
        <w:rPr>
          <w:rFonts w:ascii="Sylfaen" w:hAnsi="Sylfaen"/>
          <w:lang w:val="ka-GE"/>
        </w:rPr>
      </w:pPr>
    </w:p>
    <w:p w:rsidR="0007555E" w:rsidRPr="00291483" w:rsidRDefault="002C49BE" w:rsidP="00C27A81">
      <w:pPr>
        <w:jc w:val="both"/>
        <w:rPr>
          <w:rFonts w:ascii="Sylfaen" w:hAnsi="Sylfaen"/>
          <w:b/>
          <w:sz w:val="20"/>
          <w:szCs w:val="20"/>
          <w:lang w:val="ka-GE"/>
        </w:rPr>
      </w:pPr>
      <w:r w:rsidRPr="00291483">
        <w:rPr>
          <w:rFonts w:ascii="Sylfaen" w:hAnsi="Sylfaen"/>
          <w:lang w:val="ka-GE"/>
        </w:rPr>
        <w:t xml:space="preserve"> </w:t>
      </w:r>
      <w:r w:rsidR="00B16A17" w:rsidRPr="00291483">
        <w:rPr>
          <w:rFonts w:ascii="Sylfaen" w:hAnsi="Sylfaen"/>
          <w:b/>
          <w:sz w:val="20"/>
          <w:szCs w:val="20"/>
          <w:lang w:val="ka-GE"/>
        </w:rPr>
        <w:t xml:space="preserve">დიაგრამა </w:t>
      </w:r>
      <w:r w:rsidR="00B16A17" w:rsidRPr="00291483">
        <w:rPr>
          <w:rFonts w:ascii="Sylfaen" w:hAnsi="Sylfaen"/>
          <w:b/>
          <w:sz w:val="20"/>
          <w:szCs w:val="20"/>
        </w:rPr>
        <w:t>N</w:t>
      </w:r>
      <w:r w:rsidR="00B16A17" w:rsidRPr="00291483">
        <w:rPr>
          <w:rFonts w:ascii="Sylfaen" w:hAnsi="Sylfaen"/>
          <w:b/>
          <w:sz w:val="20"/>
          <w:szCs w:val="20"/>
          <w:lang w:val="ka-GE"/>
        </w:rPr>
        <w:t>7.</w:t>
      </w:r>
      <w:r w:rsidRPr="00291483">
        <w:rPr>
          <w:rFonts w:ascii="Sylfaen" w:hAnsi="Sylfaen"/>
          <w:lang w:val="ka-GE"/>
        </w:rPr>
        <w:t xml:space="preserve"> </w:t>
      </w:r>
      <w:proofErr w:type="spellStart"/>
      <w:proofErr w:type="gramStart"/>
      <w:r w:rsidR="00B16A17" w:rsidRPr="00291483">
        <w:rPr>
          <w:rFonts w:ascii="Sylfaen" w:eastAsia="Times New Roman" w:hAnsi="Sylfaen" w:cs="Sylfaen"/>
          <w:b/>
          <w:sz w:val="20"/>
          <w:szCs w:val="20"/>
        </w:rPr>
        <w:t>უმუშევრობის</w:t>
      </w:r>
      <w:proofErr w:type="spellEnd"/>
      <w:proofErr w:type="gramEnd"/>
      <w:r w:rsidR="00B16A17" w:rsidRPr="00291483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B16A17" w:rsidRPr="00291483">
        <w:rPr>
          <w:rFonts w:ascii="Sylfaen" w:eastAsia="Times New Roman" w:hAnsi="Sylfaen" w:cs="Sylfaen"/>
          <w:b/>
          <w:sz w:val="20"/>
          <w:szCs w:val="20"/>
          <w:lang w:val="ka-GE"/>
        </w:rPr>
        <w:t>ცვლილება</w:t>
      </w:r>
      <w:r w:rsidR="00B16A17" w:rsidRPr="00291483">
        <w:rPr>
          <w:rFonts w:ascii="Arial" w:eastAsia="Times New Roman" w:hAnsi="Arial" w:cs="Arial"/>
          <w:b/>
          <w:sz w:val="20"/>
          <w:szCs w:val="20"/>
        </w:rPr>
        <w:t xml:space="preserve"> 2014</w:t>
      </w:r>
      <w:r w:rsidR="00B16A17" w:rsidRPr="00291483">
        <w:rPr>
          <w:rFonts w:ascii="Sylfaen" w:eastAsia="Times New Roman" w:hAnsi="Sylfaen" w:cs="Arial"/>
          <w:b/>
          <w:sz w:val="20"/>
          <w:szCs w:val="20"/>
          <w:lang w:val="ka-GE"/>
        </w:rPr>
        <w:t>-</w:t>
      </w:r>
      <w:r w:rsidR="00B16A17" w:rsidRPr="00291483">
        <w:rPr>
          <w:rFonts w:ascii="Arial" w:eastAsia="Times New Roman" w:hAnsi="Arial" w:cs="Arial"/>
          <w:b/>
          <w:sz w:val="20"/>
          <w:szCs w:val="20"/>
        </w:rPr>
        <w:t xml:space="preserve">2015 </w:t>
      </w:r>
      <w:r w:rsidR="00B16A17" w:rsidRPr="00291483">
        <w:rPr>
          <w:rFonts w:ascii="Sylfaen" w:eastAsia="Times New Roman" w:hAnsi="Sylfaen" w:cs="Arial"/>
          <w:b/>
          <w:sz w:val="20"/>
          <w:szCs w:val="20"/>
          <w:lang w:val="ka-GE"/>
        </w:rPr>
        <w:t>წლებში ასაკობრივი ჯგუფების მიხედვით</w:t>
      </w:r>
    </w:p>
    <w:p w:rsidR="00094B22" w:rsidRPr="00291483" w:rsidRDefault="00094B22" w:rsidP="00C27A81">
      <w:pPr>
        <w:jc w:val="both"/>
        <w:rPr>
          <w:rFonts w:ascii="Sylfaen" w:hAnsi="Sylfaen"/>
          <w:lang w:val="ka-GE"/>
        </w:rPr>
      </w:pPr>
      <w:r w:rsidRPr="00291483">
        <w:rPr>
          <w:noProof/>
        </w:rPr>
        <w:drawing>
          <wp:inline distT="0" distB="0" distL="0" distR="0" wp14:anchorId="5E9F8BED" wp14:editId="29C7FA29">
            <wp:extent cx="5449824" cy="3460090"/>
            <wp:effectExtent l="0" t="0" r="17780" b="2667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487A9D" w:rsidRPr="00291483" w:rsidRDefault="00487A9D" w:rsidP="00C27A81">
      <w:pPr>
        <w:jc w:val="both"/>
        <w:rPr>
          <w:rFonts w:ascii="Sylfaen" w:hAnsi="Sylfaen"/>
          <w:b/>
          <w:sz w:val="20"/>
          <w:szCs w:val="20"/>
          <w:lang w:val="ka-GE"/>
        </w:rPr>
      </w:pPr>
      <w:r w:rsidRPr="00291483">
        <w:rPr>
          <w:rFonts w:ascii="Sylfaen" w:hAnsi="Sylfaen"/>
          <w:b/>
          <w:sz w:val="20"/>
          <w:szCs w:val="20"/>
          <w:lang w:val="ka-GE"/>
        </w:rPr>
        <w:t>წყარო: საქსტატი, შინამეურნეობების ინტეგრირებული გამოკითხვა</w:t>
      </w:r>
    </w:p>
    <w:p w:rsidR="00C0779C" w:rsidRPr="00291483" w:rsidRDefault="00094B22" w:rsidP="00C27A81">
      <w:pPr>
        <w:jc w:val="both"/>
        <w:rPr>
          <w:rFonts w:ascii="Sylfaen" w:hAnsi="Sylfaen"/>
          <w:lang w:val="ka-GE"/>
        </w:rPr>
      </w:pPr>
      <w:r w:rsidRPr="00291483">
        <w:rPr>
          <w:rFonts w:ascii="Sylfaen" w:hAnsi="Sylfaen"/>
          <w:lang w:val="ka-GE"/>
        </w:rPr>
        <w:t xml:space="preserve">საკმაოდ მაღალია ახალგაზრდების (15-24 წელი) უმუშევრობის დონე ევროკავშირის ქვეყნებში, საშუალოდ ეკონომიკური თანამშრომლობისა და განვითარების ორგანიზაციის </w:t>
      </w:r>
      <w:r w:rsidR="00F65D3F" w:rsidRPr="00291483">
        <w:rPr>
          <w:rFonts w:ascii="Sylfaen" w:hAnsi="Sylfaen"/>
          <w:lang w:val="ka-GE"/>
        </w:rPr>
        <w:t>(</w:t>
      </w:r>
      <w:r w:rsidR="00F65D3F" w:rsidRPr="00291483">
        <w:rPr>
          <w:rFonts w:ascii="Sylfaen" w:hAnsi="Sylfaen"/>
        </w:rPr>
        <w:t>OECD)</w:t>
      </w:r>
      <w:r w:rsidR="00F65D3F" w:rsidRPr="00291483">
        <w:rPr>
          <w:rFonts w:ascii="Sylfaen" w:hAnsi="Sylfaen"/>
          <w:lang w:val="ka-GE"/>
        </w:rPr>
        <w:t xml:space="preserve"> </w:t>
      </w:r>
      <w:r w:rsidRPr="00291483">
        <w:rPr>
          <w:rFonts w:ascii="Sylfaen" w:hAnsi="Sylfaen"/>
          <w:lang w:val="ka-GE"/>
        </w:rPr>
        <w:t xml:space="preserve">ქვეყნებისათვის ეს </w:t>
      </w:r>
      <w:r w:rsidR="00C0779C" w:rsidRPr="00291483">
        <w:rPr>
          <w:rFonts w:ascii="Sylfaen" w:hAnsi="Sylfaen"/>
          <w:lang w:val="ka-GE"/>
        </w:rPr>
        <w:t>მაჩვენებელი 13.9</w:t>
      </w:r>
      <w:r w:rsidR="00345E7A" w:rsidRPr="00291483">
        <w:rPr>
          <w:rFonts w:ascii="Sylfaen" w:hAnsi="Sylfaen"/>
        </w:rPr>
        <w:t>%</w:t>
      </w:r>
      <w:r w:rsidR="00C0779C" w:rsidRPr="00291483">
        <w:rPr>
          <w:rFonts w:ascii="Sylfaen" w:hAnsi="Sylfaen"/>
          <w:lang w:val="ka-GE"/>
        </w:rPr>
        <w:t>-ს უტოლდება</w:t>
      </w:r>
      <w:r w:rsidRPr="00291483">
        <w:rPr>
          <w:rFonts w:ascii="Sylfaen" w:hAnsi="Sylfaen"/>
          <w:lang w:val="ka-GE"/>
        </w:rPr>
        <w:t>.</w:t>
      </w:r>
    </w:p>
    <w:p w:rsidR="006E2FD9" w:rsidRPr="00291483" w:rsidRDefault="006E2FD9" w:rsidP="00C27A81">
      <w:pPr>
        <w:jc w:val="both"/>
        <w:rPr>
          <w:rFonts w:ascii="Sylfaen" w:hAnsi="Sylfaen"/>
          <w:b/>
          <w:sz w:val="20"/>
          <w:szCs w:val="20"/>
          <w:lang w:val="ka-GE"/>
        </w:rPr>
      </w:pPr>
    </w:p>
    <w:p w:rsidR="006E2FD9" w:rsidRPr="00291483" w:rsidRDefault="006E2FD9" w:rsidP="00C27A81">
      <w:pPr>
        <w:jc w:val="both"/>
        <w:rPr>
          <w:rFonts w:ascii="Sylfaen" w:hAnsi="Sylfaen"/>
          <w:b/>
          <w:sz w:val="20"/>
          <w:szCs w:val="20"/>
          <w:lang w:val="ka-GE"/>
        </w:rPr>
      </w:pPr>
    </w:p>
    <w:p w:rsidR="006E2FD9" w:rsidRPr="00291483" w:rsidRDefault="006E2FD9" w:rsidP="00C27A81">
      <w:pPr>
        <w:jc w:val="both"/>
        <w:rPr>
          <w:rFonts w:ascii="Sylfaen" w:hAnsi="Sylfaen"/>
          <w:b/>
          <w:sz w:val="20"/>
          <w:szCs w:val="20"/>
          <w:lang w:val="ka-GE"/>
        </w:rPr>
      </w:pPr>
    </w:p>
    <w:p w:rsidR="006E2FD9" w:rsidRPr="00291483" w:rsidRDefault="006E2FD9" w:rsidP="00C27A81">
      <w:pPr>
        <w:jc w:val="both"/>
        <w:rPr>
          <w:rFonts w:ascii="Sylfaen" w:hAnsi="Sylfaen"/>
          <w:b/>
          <w:sz w:val="20"/>
          <w:szCs w:val="20"/>
          <w:lang w:val="ka-GE"/>
        </w:rPr>
      </w:pPr>
    </w:p>
    <w:p w:rsidR="006E2FD9" w:rsidRPr="00291483" w:rsidRDefault="006E2FD9" w:rsidP="00C27A81">
      <w:pPr>
        <w:jc w:val="both"/>
        <w:rPr>
          <w:rFonts w:ascii="Sylfaen" w:hAnsi="Sylfaen"/>
          <w:b/>
          <w:sz w:val="20"/>
          <w:szCs w:val="20"/>
        </w:rPr>
      </w:pPr>
    </w:p>
    <w:p w:rsidR="006E2FD9" w:rsidRPr="00291483" w:rsidRDefault="006E2FD9" w:rsidP="00C27A81">
      <w:pPr>
        <w:jc w:val="both"/>
        <w:rPr>
          <w:rFonts w:ascii="Sylfaen" w:hAnsi="Sylfaen"/>
          <w:b/>
          <w:sz w:val="20"/>
          <w:szCs w:val="20"/>
          <w:lang w:val="ka-GE"/>
        </w:rPr>
      </w:pPr>
    </w:p>
    <w:p w:rsidR="006E2FD9" w:rsidRPr="00291483" w:rsidRDefault="006E2FD9" w:rsidP="00C27A81">
      <w:pPr>
        <w:jc w:val="both"/>
        <w:rPr>
          <w:rFonts w:ascii="Sylfaen" w:hAnsi="Sylfaen"/>
          <w:b/>
          <w:sz w:val="20"/>
          <w:szCs w:val="20"/>
          <w:lang w:val="ka-GE"/>
        </w:rPr>
      </w:pPr>
    </w:p>
    <w:p w:rsidR="00C0779C" w:rsidRPr="00760B12" w:rsidRDefault="00C0779C" w:rsidP="00C27A81">
      <w:pPr>
        <w:jc w:val="both"/>
        <w:rPr>
          <w:rFonts w:ascii="Sylfaen" w:hAnsi="Sylfaen"/>
          <w:b/>
          <w:sz w:val="20"/>
          <w:szCs w:val="20"/>
        </w:rPr>
      </w:pPr>
      <w:r w:rsidRPr="00291483">
        <w:rPr>
          <w:rFonts w:ascii="Sylfaen" w:hAnsi="Sylfaen"/>
          <w:b/>
          <w:sz w:val="20"/>
          <w:szCs w:val="20"/>
          <w:lang w:val="ka-GE"/>
        </w:rPr>
        <w:lastRenderedPageBreak/>
        <w:t xml:space="preserve">დიაგრამა </w:t>
      </w:r>
      <w:r w:rsidRPr="00291483">
        <w:rPr>
          <w:rFonts w:ascii="Sylfaen" w:hAnsi="Sylfaen"/>
          <w:b/>
          <w:sz w:val="20"/>
          <w:szCs w:val="20"/>
        </w:rPr>
        <w:t>N</w:t>
      </w:r>
      <w:r w:rsidR="006E2FD9" w:rsidRPr="00291483">
        <w:rPr>
          <w:rFonts w:ascii="Sylfaen" w:hAnsi="Sylfaen"/>
          <w:b/>
          <w:sz w:val="20"/>
          <w:szCs w:val="20"/>
          <w:lang w:val="ka-GE"/>
        </w:rPr>
        <w:t>8.</w:t>
      </w:r>
      <w:r w:rsidR="00B16A17" w:rsidRPr="00291483">
        <w:rPr>
          <w:rFonts w:ascii="Sylfaen" w:hAnsi="Sylfaen"/>
          <w:b/>
          <w:sz w:val="20"/>
          <w:szCs w:val="20"/>
          <w:lang w:val="ka-GE"/>
        </w:rPr>
        <w:t xml:space="preserve"> </w:t>
      </w:r>
      <w:r w:rsidRPr="00291483">
        <w:rPr>
          <w:rFonts w:ascii="Sylfaen" w:hAnsi="Sylfaen"/>
          <w:b/>
          <w:sz w:val="20"/>
          <w:szCs w:val="20"/>
          <w:lang w:val="ka-GE"/>
        </w:rPr>
        <w:t xml:space="preserve">ახალგაზრდების უმუშევრობის დონე </w:t>
      </w:r>
      <w:r w:rsidR="0076293E" w:rsidRPr="0076293E">
        <w:rPr>
          <w:rFonts w:ascii="Sylfaen" w:hAnsi="Sylfaen"/>
          <w:b/>
          <w:sz w:val="20"/>
          <w:szCs w:val="20"/>
          <w:lang w:val="ka-GE"/>
        </w:rPr>
        <w:t>ეკონომიკური თანამშრომლობისა და განვითარების ორგანიზაციის ქვეყნებში</w:t>
      </w:r>
      <w:r w:rsidR="00760B12">
        <w:rPr>
          <w:rFonts w:ascii="Sylfaen" w:hAnsi="Sylfaen"/>
          <w:b/>
          <w:sz w:val="20"/>
          <w:szCs w:val="20"/>
        </w:rPr>
        <w:t xml:space="preserve"> (2015)</w:t>
      </w:r>
    </w:p>
    <w:p w:rsidR="00094B22" w:rsidRPr="00291483" w:rsidRDefault="00094B22" w:rsidP="00C27A81">
      <w:pPr>
        <w:jc w:val="both"/>
        <w:rPr>
          <w:rFonts w:ascii="Sylfaen" w:hAnsi="Sylfaen"/>
          <w:lang w:val="ka-GE"/>
        </w:rPr>
      </w:pPr>
      <w:r w:rsidRPr="00291483">
        <w:rPr>
          <w:noProof/>
        </w:rPr>
        <w:drawing>
          <wp:inline distT="0" distB="0" distL="0" distR="0" wp14:anchorId="4AA62340" wp14:editId="62A3350D">
            <wp:extent cx="5837530" cy="3379622"/>
            <wp:effectExtent l="0" t="0" r="11430" b="1143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760B12" w:rsidRPr="00760B12" w:rsidRDefault="00B16A17" w:rsidP="00760B12">
      <w:pPr>
        <w:pStyle w:val="Heading1"/>
        <w:shd w:val="clear" w:color="auto" w:fill="FFFFFF"/>
        <w:spacing w:before="0" w:beforeAutospacing="0" w:after="0" w:afterAutospacing="0"/>
        <w:rPr>
          <w:rFonts w:ascii="Georgia" w:hAnsi="Georgia"/>
          <w:b w:val="0"/>
          <w:bCs w:val="0"/>
          <w:color w:val="494444"/>
          <w:sz w:val="60"/>
          <w:szCs w:val="60"/>
        </w:rPr>
      </w:pPr>
      <w:r w:rsidRPr="00291483">
        <w:rPr>
          <w:rFonts w:ascii="Sylfaen" w:hAnsi="Sylfaen"/>
          <w:b w:val="0"/>
          <w:sz w:val="20"/>
          <w:szCs w:val="20"/>
          <w:lang w:val="ka-GE"/>
        </w:rPr>
        <w:t xml:space="preserve">წყარო. </w:t>
      </w:r>
      <w:r w:rsidR="00760B12">
        <w:rPr>
          <w:rFonts w:ascii="Sylfaen" w:hAnsi="Sylfaen"/>
          <w:b w:val="0"/>
          <w:sz w:val="20"/>
          <w:szCs w:val="20"/>
        </w:rPr>
        <w:t>OECD DATA, Youth U</w:t>
      </w:r>
      <w:r w:rsidR="00760B12" w:rsidRPr="00760B12">
        <w:rPr>
          <w:rFonts w:ascii="Sylfaen" w:hAnsi="Sylfaen"/>
          <w:b w:val="0"/>
          <w:sz w:val="20"/>
          <w:szCs w:val="20"/>
        </w:rPr>
        <w:t xml:space="preserve">nemployment </w:t>
      </w:r>
      <w:r w:rsidR="00760B12">
        <w:rPr>
          <w:rFonts w:ascii="Sylfaen" w:hAnsi="Sylfaen"/>
          <w:b w:val="0"/>
          <w:sz w:val="20"/>
          <w:szCs w:val="20"/>
        </w:rPr>
        <w:t>R</w:t>
      </w:r>
      <w:r w:rsidR="00760B12" w:rsidRPr="00760B12">
        <w:rPr>
          <w:rFonts w:ascii="Sylfaen" w:hAnsi="Sylfaen"/>
          <w:b w:val="0"/>
          <w:sz w:val="20"/>
          <w:szCs w:val="20"/>
        </w:rPr>
        <w:t>ate</w:t>
      </w:r>
      <w:bookmarkStart w:id="0" w:name="_GoBack"/>
      <w:bookmarkEnd w:id="0"/>
    </w:p>
    <w:p w:rsidR="00B16A17" w:rsidRPr="00760B12" w:rsidRDefault="00760B12" w:rsidP="00760B12">
      <w:pPr>
        <w:pStyle w:val="Heading1"/>
        <w:shd w:val="clear" w:color="auto" w:fill="FFFFFF"/>
        <w:spacing w:before="0" w:beforeAutospacing="0" w:after="0" w:afterAutospacing="0"/>
        <w:rPr>
          <w:rFonts w:ascii="Sylfaen" w:hAnsi="Sylfaen"/>
          <w:b w:val="0"/>
          <w:sz w:val="20"/>
          <w:szCs w:val="20"/>
        </w:rPr>
      </w:pPr>
      <w:r w:rsidRPr="00760B12">
        <w:rPr>
          <w:rFonts w:ascii="Sylfaen" w:hAnsi="Sylfaen"/>
          <w:b w:val="0"/>
          <w:sz w:val="20"/>
          <w:szCs w:val="20"/>
        </w:rPr>
        <w:t>https://data.oecd.org/unemp/youth-unemployment-rate.htm</w:t>
      </w:r>
    </w:p>
    <w:p w:rsidR="00B16A17" w:rsidRDefault="00B16A17" w:rsidP="00C27A81">
      <w:pPr>
        <w:jc w:val="both"/>
        <w:rPr>
          <w:rFonts w:ascii="Sylfaen" w:hAnsi="Sylfaen"/>
          <w:lang w:val="ka-GE"/>
        </w:rPr>
      </w:pPr>
    </w:p>
    <w:p w:rsidR="00F65D3F" w:rsidRDefault="00F65D3F" w:rsidP="00C27A81">
      <w:pPr>
        <w:jc w:val="both"/>
        <w:rPr>
          <w:rFonts w:ascii="Sylfaen" w:hAnsi="Sylfaen"/>
          <w:b/>
          <w:sz w:val="20"/>
          <w:szCs w:val="20"/>
        </w:rPr>
      </w:pPr>
    </w:p>
    <w:p w:rsidR="00F65D3F" w:rsidRDefault="00F65D3F" w:rsidP="00C27A81">
      <w:pPr>
        <w:jc w:val="both"/>
        <w:rPr>
          <w:rFonts w:ascii="Sylfaen" w:hAnsi="Sylfaen"/>
          <w:b/>
          <w:sz w:val="20"/>
          <w:szCs w:val="20"/>
        </w:rPr>
      </w:pPr>
    </w:p>
    <w:p w:rsidR="00F65D3F" w:rsidRDefault="00F65D3F" w:rsidP="00C27A81">
      <w:pPr>
        <w:jc w:val="both"/>
        <w:rPr>
          <w:rFonts w:ascii="Sylfaen" w:hAnsi="Sylfaen"/>
          <w:b/>
          <w:sz w:val="20"/>
          <w:szCs w:val="20"/>
        </w:rPr>
      </w:pPr>
    </w:p>
    <w:p w:rsidR="00F65D3F" w:rsidRDefault="00F65D3F" w:rsidP="00C27A81">
      <w:pPr>
        <w:jc w:val="both"/>
        <w:rPr>
          <w:rFonts w:ascii="Sylfaen" w:hAnsi="Sylfaen"/>
          <w:b/>
          <w:sz w:val="20"/>
          <w:szCs w:val="20"/>
        </w:rPr>
      </w:pPr>
    </w:p>
    <w:p w:rsidR="00F65D3F" w:rsidRDefault="00F65D3F" w:rsidP="00C27A81">
      <w:pPr>
        <w:jc w:val="both"/>
        <w:rPr>
          <w:rFonts w:ascii="Sylfaen" w:hAnsi="Sylfaen"/>
          <w:b/>
          <w:sz w:val="20"/>
          <w:szCs w:val="20"/>
        </w:rPr>
      </w:pPr>
    </w:p>
    <w:p w:rsidR="00F65D3F" w:rsidRDefault="00F65D3F" w:rsidP="00C27A81">
      <w:pPr>
        <w:jc w:val="both"/>
        <w:rPr>
          <w:rFonts w:ascii="Sylfaen" w:hAnsi="Sylfaen"/>
          <w:b/>
          <w:sz w:val="20"/>
          <w:szCs w:val="20"/>
        </w:rPr>
      </w:pPr>
    </w:p>
    <w:p w:rsidR="00F65D3F" w:rsidRDefault="00F65D3F" w:rsidP="00C27A81">
      <w:pPr>
        <w:jc w:val="both"/>
        <w:rPr>
          <w:rFonts w:ascii="Sylfaen" w:hAnsi="Sylfaen"/>
          <w:b/>
          <w:sz w:val="20"/>
          <w:szCs w:val="20"/>
        </w:rPr>
      </w:pPr>
    </w:p>
    <w:p w:rsidR="00EA5434" w:rsidRPr="00EA5434" w:rsidRDefault="00EA5434" w:rsidP="00C27A81">
      <w:pPr>
        <w:jc w:val="both"/>
        <w:rPr>
          <w:rFonts w:ascii="Sylfaen" w:hAnsi="Sylfaen"/>
          <w:b/>
          <w:sz w:val="20"/>
          <w:szCs w:val="20"/>
          <w:lang w:val="ka-GE"/>
        </w:rPr>
      </w:pPr>
    </w:p>
    <w:sectPr w:rsidR="00EA5434" w:rsidRPr="00EA5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93E" w:rsidRDefault="0076293E" w:rsidP="00D3565F">
      <w:pPr>
        <w:spacing w:after="0" w:line="240" w:lineRule="auto"/>
      </w:pPr>
      <w:r>
        <w:separator/>
      </w:r>
    </w:p>
  </w:endnote>
  <w:endnote w:type="continuationSeparator" w:id="0">
    <w:p w:rsidR="0076293E" w:rsidRDefault="0076293E" w:rsidP="00D35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93E" w:rsidRDefault="0076293E" w:rsidP="00D3565F">
      <w:pPr>
        <w:spacing w:after="0" w:line="240" w:lineRule="auto"/>
      </w:pPr>
      <w:r>
        <w:separator/>
      </w:r>
    </w:p>
  </w:footnote>
  <w:footnote w:type="continuationSeparator" w:id="0">
    <w:p w:rsidR="0076293E" w:rsidRDefault="0076293E" w:rsidP="00D356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mailMerge>
    <w:mainDocumentType w:val="email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65F"/>
    <w:rsid w:val="0000161E"/>
    <w:rsid w:val="000121D2"/>
    <w:rsid w:val="000277BD"/>
    <w:rsid w:val="00071F57"/>
    <w:rsid w:val="0007555E"/>
    <w:rsid w:val="00094B22"/>
    <w:rsid w:val="00131853"/>
    <w:rsid w:val="001810A0"/>
    <w:rsid w:val="001E27BF"/>
    <w:rsid w:val="00291483"/>
    <w:rsid w:val="002C49BE"/>
    <w:rsid w:val="00345E7A"/>
    <w:rsid w:val="00487A9D"/>
    <w:rsid w:val="004C69D7"/>
    <w:rsid w:val="004D1751"/>
    <w:rsid w:val="005B17E0"/>
    <w:rsid w:val="005E72DC"/>
    <w:rsid w:val="005F7CD8"/>
    <w:rsid w:val="00634BE2"/>
    <w:rsid w:val="006535D3"/>
    <w:rsid w:val="00666EA6"/>
    <w:rsid w:val="006E2FD9"/>
    <w:rsid w:val="00724396"/>
    <w:rsid w:val="00760B12"/>
    <w:rsid w:val="0076293E"/>
    <w:rsid w:val="007A5338"/>
    <w:rsid w:val="007B24FA"/>
    <w:rsid w:val="007B5747"/>
    <w:rsid w:val="00847DCF"/>
    <w:rsid w:val="008B1381"/>
    <w:rsid w:val="0095567E"/>
    <w:rsid w:val="009B45B7"/>
    <w:rsid w:val="00A12704"/>
    <w:rsid w:val="00A16ED9"/>
    <w:rsid w:val="00A505C2"/>
    <w:rsid w:val="00B16A17"/>
    <w:rsid w:val="00B72285"/>
    <w:rsid w:val="00BA0DE3"/>
    <w:rsid w:val="00BC50D7"/>
    <w:rsid w:val="00C0779C"/>
    <w:rsid w:val="00C27A81"/>
    <w:rsid w:val="00C3412A"/>
    <w:rsid w:val="00C7298C"/>
    <w:rsid w:val="00D34EF9"/>
    <w:rsid w:val="00D3565F"/>
    <w:rsid w:val="00D5138C"/>
    <w:rsid w:val="00D57C0C"/>
    <w:rsid w:val="00DF2A25"/>
    <w:rsid w:val="00DF2ABE"/>
    <w:rsid w:val="00E01B4B"/>
    <w:rsid w:val="00E23DDF"/>
    <w:rsid w:val="00E46E96"/>
    <w:rsid w:val="00E5780F"/>
    <w:rsid w:val="00E82F4A"/>
    <w:rsid w:val="00E86FA8"/>
    <w:rsid w:val="00EA5434"/>
    <w:rsid w:val="00EA5783"/>
    <w:rsid w:val="00F4716C"/>
    <w:rsid w:val="00F6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0B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65F"/>
  </w:style>
  <w:style w:type="paragraph" w:styleId="Footer">
    <w:name w:val="footer"/>
    <w:basedOn w:val="Normal"/>
    <w:link w:val="FooterChar"/>
    <w:uiPriority w:val="99"/>
    <w:unhideWhenUsed/>
    <w:rsid w:val="00D35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65F"/>
  </w:style>
  <w:style w:type="paragraph" w:styleId="BalloonText">
    <w:name w:val="Balloon Text"/>
    <w:basedOn w:val="Normal"/>
    <w:link w:val="BalloonTextChar"/>
    <w:uiPriority w:val="99"/>
    <w:semiHidden/>
    <w:unhideWhenUsed/>
    <w:rsid w:val="00D3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65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60B1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0B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65F"/>
  </w:style>
  <w:style w:type="paragraph" w:styleId="Footer">
    <w:name w:val="footer"/>
    <w:basedOn w:val="Normal"/>
    <w:link w:val="FooterChar"/>
    <w:uiPriority w:val="99"/>
    <w:unhideWhenUsed/>
    <w:rsid w:val="00D35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65F"/>
  </w:style>
  <w:style w:type="paragraph" w:styleId="BalloonText">
    <w:name w:val="Balloon Text"/>
    <w:basedOn w:val="Normal"/>
    <w:link w:val="BalloonTextChar"/>
    <w:uiPriority w:val="99"/>
    <w:semiHidden/>
    <w:unhideWhenUsed/>
    <w:rsid w:val="00D3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65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60B1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8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sers\stielidze\Downloads\01%2015%20wlis%20da%20ufrosi%20asakis%20mosaxleobis%20ganawileba%20ekonomikuri%20aqtivobis%20mixedviT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gamkrelidze\Desktop\&#4308;&#4314;&#4310;&#4304;\&#4321;&#4322;&#4304;&#4322;&#4312;&#4321;&#4322;&#4312;&#4313;&#4304;%20&#4307;&#4304;&#4321;&#4304;&#4325;&#4315;&#4308;&#4305;&#4304;\&#4310;&#4317;&#4306;&#4304;&#4307;&#4312;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gamkrelidze\Desktop\&#4308;&#4314;&#4310;&#4304;\&#4321;&#4322;&#4304;&#4322;&#4312;&#4321;&#4322;&#4312;&#4313;&#4304;%20&#4307;&#4304;&#4321;&#4304;&#4325;&#4315;&#4308;&#4305;&#4304;\&#4316;&#4321;&#4322;&#4312;&#4322;&#4323;&#4330;&#4312;&#4323;&#4320;&#4312;%20&#4321;&#4308;&#4325;&#4322;&#4317;&#4320;&#4308;&#4305;&#4312;&#4321;%20&#4315;&#4312;&#4334;&#4308;&#4307;&#4309;&#4312;&#4311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gamkrelidze\Desktop\&#4308;&#4314;&#4310;&#4304;\&#4321;&#4322;&#4304;&#4322;&#4312;&#4321;&#4322;&#4312;&#4313;&#4304;%20&#4307;&#4304;&#4321;&#4304;&#4325;&#4315;&#4308;&#4305;&#4304;\&#4321;&#4325;&#4308;&#4321;&#4312;&#4321;%20&#4315;&#4312;&#4334;&#4308;&#4307;&#4309;&#4312;&#4311;.xls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gamkrelidze\Desktop\&#4308;&#4314;&#4310;&#4304;\&#4321;&#4322;&#4304;&#4322;&#4312;&#4321;&#4322;&#4312;&#4313;&#4304;%20&#4307;&#4304;&#4321;&#4304;&#4325;&#4315;&#4308;&#4305;&#4304;\&#4321;&#4325;&#4308;&#4321;&#4312;&#4321;%20&#4315;&#4312;&#4334;&#4308;&#4307;&#4309;&#4312;&#4311;.xls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gamkrelidze\Desktop\&#4308;&#4314;&#4310;&#4304;\&#4321;&#4322;&#4304;&#4322;&#4312;&#4321;&#4322;&#4312;&#4313;&#4304;%20&#4307;&#4304;&#4321;&#4304;&#4325;&#4315;&#4308;&#4305;&#4304;\&#4321;&#4325;&#4308;&#4321;&#4312;&#4321;%20&#4315;&#4312;&#4334;&#4308;&#4307;&#4309;&#4312;&#4311;.xls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gamkrelidze\Desktop\&#4308;&#4314;&#4310;&#4304;\&#4321;&#4322;&#4304;&#4322;&#4312;&#4321;&#4322;&#4312;&#4313;&#4304;%20&#4307;&#4304;&#4321;&#4304;&#4325;&#4315;&#4308;&#4305;&#4304;\&#4304;&#4321;&#4304;&#4313;&#4317;&#4305;&#4320;&#4312;&#4309;&#4312;%20&#4335;&#4306;&#4323;&#4324;&#4308;&#4305;&#4312;&#4321;%20&#4315;&#4312;&#4334;&#4308;&#4307;&#4309;&#4312;&#4311;.xls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gamkrelidze\Desktop\&#4308;&#4314;&#4310;&#4304;\&#4321;&#4322;&#4304;&#4322;&#4312;&#4321;&#4322;&#4312;&#4313;&#4304;%20&#4307;&#4304;&#4321;&#4304;&#4325;&#4315;&#4308;&#4305;&#4304;\&#4304;&#4321;&#4304;&#4313;&#4317;&#4305;&#4320;&#4312;&#4309;&#4312;%20&#4335;&#4306;&#4323;&#4324;&#4308;&#4305;&#4312;&#4321;%20&#4315;&#4312;&#4334;&#4308;&#4307;&#4309;&#4312;&#4311;.xls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gamkrelidze\Desktop\&#4308;&#4314;&#4310;&#4304;\&#4321;&#4322;&#4304;&#4322;&#4312;&#4321;&#4322;&#4312;&#4313;&#4304;%20&#4307;&#4304;&#4321;&#4304;&#4325;&#4315;&#4308;&#4305;&#4304;\oecd.txt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ka-GE" sz="1100"/>
              <a:t>უმუშევრობის დონე</a:t>
            </a:r>
            <a:r>
              <a:rPr lang="en-US" sz="1100"/>
              <a:t> (</a:t>
            </a:r>
            <a:r>
              <a:rPr lang="ka-GE" sz="1100"/>
              <a:t>პროცენტებში) 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'[01 15 wlis da ufrosi asakis mosaxleobis ganawileba ekonomikuri aqtivobis mixedviT.xls]Sheet1'!$A$25</c:f>
              <c:strCache>
                <c:ptCount val="1"/>
                <c:pt idx="0">
                  <c:v>უმუშევრობის დონე (პროცენტებში)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'[01 15 wlis da ufrosi asakis mosaxleobis ganawileba ekonomikuri aqtivobis mixedviT.xls]Sheet1'!$B$24:$E$24</c:f>
              <c:numCache>
                <c:formatCode>General</c:formatCode>
                <c:ptCount val="4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</c:numCache>
            </c:numRef>
          </c:cat>
          <c:val>
            <c:numRef>
              <c:f>'[01 15 wlis da ufrosi asakis mosaxleobis ganawileba ekonomikuri aqtivobis mixedviT.xls]Sheet1'!$B$25:$E$25</c:f>
              <c:numCache>
                <c:formatCode>0.0</c:formatCode>
                <c:ptCount val="4"/>
                <c:pt idx="0">
                  <c:v>15.034297633797483</c:v>
                </c:pt>
                <c:pt idx="1">
                  <c:v>14.563156645397497</c:v>
                </c:pt>
                <c:pt idx="2">
                  <c:v>12.352616936957254</c:v>
                </c:pt>
                <c:pt idx="3">
                  <c:v>11.950455278487365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8227584"/>
        <c:axId val="59966208"/>
      </c:lineChart>
      <c:catAx>
        <c:axId val="108227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59966208"/>
        <c:crosses val="autoZero"/>
        <c:auto val="1"/>
        <c:lblAlgn val="ctr"/>
        <c:lblOffset val="100"/>
        <c:noMultiLvlLbl val="0"/>
      </c:catAx>
      <c:valAx>
        <c:axId val="59966208"/>
        <c:scaling>
          <c:orientation val="minMax"/>
        </c:scaling>
        <c:delete val="0"/>
        <c:axPos val="l"/>
        <c:majorGridlines/>
        <c:numFmt formatCode="0.0" sourceLinked="1"/>
        <c:majorTickMark val="none"/>
        <c:minorTickMark val="none"/>
        <c:tickLblPos val="nextTo"/>
        <c:spPr>
          <a:ln w="9525">
            <a:noFill/>
          </a:ln>
        </c:spPr>
        <c:crossAx val="108227584"/>
        <c:crosses val="autoZero"/>
        <c:crossBetween val="between"/>
      </c:valAx>
    </c:plotArea>
    <c:legend>
      <c:legendPos val="b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ka-GE" sz="1100"/>
              <a:t>დაქირავებულთა და თვითდასაქმებულთა განაწილება</a:t>
            </a:r>
            <a:endParaRPr lang="en-US" sz="1100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Sheet1!$A$44</c:f>
              <c:strCache>
                <c:ptCount val="1"/>
                <c:pt idx="0">
                  <c:v>დაქირავებული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Sheet1!$B$43:$E$43</c:f>
              <c:numCache>
                <c:formatCode>General</c:formatCode>
                <c:ptCount val="4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</c:numCache>
            </c:numRef>
          </c:cat>
          <c:val>
            <c:numRef>
              <c:f>Sheet1!$B$44:$E$44</c:f>
              <c:numCache>
                <c:formatCode>0.0%</c:formatCode>
                <c:ptCount val="4"/>
                <c:pt idx="0">
                  <c:v>0.38446091116411663</c:v>
                </c:pt>
                <c:pt idx="1">
                  <c:v>0.38446091116411663</c:v>
                </c:pt>
                <c:pt idx="2">
                  <c:v>0.39666713553852223</c:v>
                </c:pt>
                <c:pt idx="3">
                  <c:v>0.42329863951902802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Sheet1!$A$45</c:f>
              <c:strCache>
                <c:ptCount val="1"/>
                <c:pt idx="0">
                  <c:v>თვითდასაქმებული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Sheet1!$B$43:$E$43</c:f>
              <c:numCache>
                <c:formatCode>General</c:formatCode>
                <c:ptCount val="4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</c:numCache>
            </c:numRef>
          </c:cat>
          <c:val>
            <c:numRef>
              <c:f>Sheet1!$B$45:$E$45</c:f>
              <c:numCache>
                <c:formatCode>0.0%</c:formatCode>
                <c:ptCount val="4"/>
                <c:pt idx="0">
                  <c:v>0.61135987781068069</c:v>
                </c:pt>
                <c:pt idx="1">
                  <c:v>0.60969682526632707</c:v>
                </c:pt>
                <c:pt idx="2">
                  <c:v>0.5994363477176452</c:v>
                </c:pt>
                <c:pt idx="3">
                  <c:v>0.57198381133606502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995264"/>
        <c:axId val="59996800"/>
      </c:lineChart>
      <c:catAx>
        <c:axId val="59995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59996800"/>
        <c:crosses val="autoZero"/>
        <c:auto val="1"/>
        <c:lblAlgn val="ctr"/>
        <c:lblOffset val="100"/>
        <c:noMultiLvlLbl val="0"/>
      </c:catAx>
      <c:valAx>
        <c:axId val="59996800"/>
        <c:scaling>
          <c:orientation val="minMax"/>
        </c:scaling>
        <c:delete val="0"/>
        <c:axPos val="l"/>
        <c:majorGridlines/>
        <c:numFmt formatCode="0.0%" sourceLinked="1"/>
        <c:majorTickMark val="none"/>
        <c:minorTickMark val="none"/>
        <c:tickLblPos val="nextTo"/>
        <c:crossAx val="59995264"/>
        <c:crosses val="autoZero"/>
        <c:crossBetween val="between"/>
      </c:valAx>
    </c:plotArea>
    <c:legend>
      <c:legendPos val="b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'დასაქმება სექტორების მიხედვით'!$A$9</c:f>
              <c:strCache>
                <c:ptCount val="1"/>
                <c:pt idx="0">
                  <c:v>სახელმწიფო სექტორი</c:v>
                </c:pt>
              </c:strCache>
            </c:strRef>
          </c:tx>
          <c:invertIfNegative val="0"/>
          <c:cat>
            <c:numRef>
              <c:f>'დასაქმება სექტორების მიხედვით'!$H$3:$K$3</c:f>
              <c:numCache>
                <c:formatCode>General</c:formatCode>
                <c:ptCount val="4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</c:numCache>
            </c:numRef>
          </c:cat>
          <c:val>
            <c:numRef>
              <c:f>'დასაქმება სექტორების მიხედვით'!$H$9:$K$9</c:f>
              <c:numCache>
                <c:formatCode>#,##0.0</c:formatCode>
                <c:ptCount val="4"/>
                <c:pt idx="0">
                  <c:v>15.872702351898235</c:v>
                </c:pt>
                <c:pt idx="1">
                  <c:v>14.446431263275766</c:v>
                </c:pt>
                <c:pt idx="2">
                  <c:v>14.394033129944908</c:v>
                </c:pt>
                <c:pt idx="3">
                  <c:v>15.443647137609599</c:v>
                </c:pt>
              </c:numCache>
            </c:numRef>
          </c:val>
        </c:ser>
        <c:ser>
          <c:idx val="1"/>
          <c:order val="1"/>
          <c:tx>
            <c:strRef>
              <c:f>'დასაქმება სექტორების მიხედვით'!$A$10</c:f>
              <c:strCache>
                <c:ptCount val="1"/>
                <c:pt idx="0">
                  <c:v>არასახელმწიფო სექტორი</c:v>
                </c:pt>
              </c:strCache>
            </c:strRef>
          </c:tx>
          <c:invertIfNegative val="0"/>
          <c:cat>
            <c:numRef>
              <c:f>'დასაქმება სექტორების მიხედვით'!$H$3:$K$3</c:f>
              <c:numCache>
                <c:formatCode>General</c:formatCode>
                <c:ptCount val="4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</c:numCache>
            </c:numRef>
          </c:cat>
          <c:val>
            <c:numRef>
              <c:f>'დასაქმება სექტორების მიხედვით'!$H$10:$K$10</c:f>
              <c:numCache>
                <c:formatCode>0.0</c:formatCode>
                <c:ptCount val="4"/>
                <c:pt idx="0">
                  <c:v>84.127297648101759</c:v>
                </c:pt>
                <c:pt idx="1">
                  <c:v>85.55356873672423</c:v>
                </c:pt>
                <c:pt idx="2">
                  <c:v>85.605966870055084</c:v>
                </c:pt>
                <c:pt idx="3">
                  <c:v>84.556352862390398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109708032"/>
        <c:axId val="109709568"/>
      </c:barChart>
      <c:catAx>
        <c:axId val="109708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09709568"/>
        <c:crosses val="autoZero"/>
        <c:auto val="1"/>
        <c:lblAlgn val="ctr"/>
        <c:lblOffset val="100"/>
        <c:noMultiLvlLbl val="0"/>
      </c:catAx>
      <c:valAx>
        <c:axId val="109709568"/>
        <c:scaling>
          <c:orientation val="minMax"/>
        </c:scaling>
        <c:delete val="0"/>
        <c:axPos val="l"/>
        <c:numFmt formatCode="#,##0.0" sourceLinked="1"/>
        <c:majorTickMark val="none"/>
        <c:minorTickMark val="none"/>
        <c:tickLblPos val="nextTo"/>
        <c:crossAx val="109708032"/>
        <c:crosses val="autoZero"/>
        <c:crossBetween val="between"/>
      </c:valAx>
    </c:plotArea>
    <c:legend>
      <c:legendPos val="b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dPt>
            <c:idx val="0"/>
            <c:bubble3D val="0"/>
          </c:dPt>
          <c:dPt>
            <c:idx val="1"/>
            <c:bubble3D val="0"/>
          </c:dPt>
          <c:dLbls>
            <c:dLbl>
              <c:idx val="0"/>
              <c:layout/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ka-GE"/>
                      <a:t>კაცი
53%</a:t>
                    </a:r>
                  </a:p>
                </c:rich>
              </c:tx>
              <c:spPr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1"/>
              <c:layout/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ka-GE"/>
                      <a:t>ქალი
47%</a:t>
                    </a:r>
                  </a:p>
                </c:rich>
              </c:tx>
              <c:spPr/>
              <c:showLegendKey val="0"/>
              <c:showVal val="0"/>
              <c:showCatName val="0"/>
              <c:showSerName val="0"/>
              <c:showPercent val="0"/>
              <c:showBubbleSize val="0"/>
            </c:dLbl>
            <c:showLegendKey val="0"/>
            <c:showVal val="0"/>
            <c:showCatName val="1"/>
            <c:showSerName val="0"/>
            <c:showPercent val="1"/>
            <c:showBubbleSize val="0"/>
            <c:showLeaderLines val="0"/>
          </c:dLbls>
          <c:cat>
            <c:strRef>
              <c:f>Sheet1!$A$51:$A$52</c:f>
              <c:strCache>
                <c:ptCount val="2"/>
                <c:pt idx="0">
                  <c:v>კაცი (%)</c:v>
                </c:pt>
                <c:pt idx="1">
                  <c:v>ქალი (%)</c:v>
                </c:pt>
              </c:strCache>
            </c:strRef>
          </c:cat>
          <c:val>
            <c:numRef>
              <c:f>Sheet1!$E$51:$E$52</c:f>
              <c:numCache>
                <c:formatCode>0.0%</c:formatCode>
                <c:ptCount val="2"/>
                <c:pt idx="0">
                  <c:v>0.52751457565294158</c:v>
                </c:pt>
                <c:pt idx="1">
                  <c:v>0.47248542434706059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  <c:holeSize val="50"/>
      </c:doughnutChart>
      <c:spPr>
        <a:noFill/>
        <a:ln w="25400">
          <a:noFill/>
        </a:ln>
      </c:spPr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dPt>
            <c:idx val="0"/>
            <c:bubble3D val="0"/>
          </c:dPt>
          <c:dPt>
            <c:idx val="1"/>
            <c:bubble3D val="0"/>
          </c:dPt>
          <c:dLbls>
            <c:dLbl>
              <c:idx val="0"/>
              <c:layout/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ka-GE"/>
                      <a:t>კაცი
53%</a:t>
                    </a:r>
                  </a:p>
                </c:rich>
              </c:tx>
              <c:spPr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1"/>
              <c:layout/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ka-GE"/>
                      <a:t>ქალი
47%</a:t>
                    </a:r>
                  </a:p>
                </c:rich>
              </c:tx>
              <c:spPr/>
              <c:showLegendKey val="0"/>
              <c:showVal val="0"/>
              <c:showCatName val="0"/>
              <c:showSerName val="0"/>
              <c:showPercent val="0"/>
              <c:showBubbleSize val="0"/>
            </c:dLbl>
            <c:showLegendKey val="0"/>
            <c:showVal val="0"/>
            <c:showCatName val="1"/>
            <c:showSerName val="0"/>
            <c:showPercent val="1"/>
            <c:showBubbleSize val="0"/>
            <c:showLeaderLines val="0"/>
          </c:dLbls>
          <c:cat>
            <c:strRef>
              <c:f>Sheet1!$A$77:$A$78</c:f>
              <c:strCache>
                <c:ptCount val="2"/>
                <c:pt idx="0">
                  <c:v>კაცი (%)</c:v>
                </c:pt>
                <c:pt idx="1">
                  <c:v>ქალი (%)</c:v>
                </c:pt>
              </c:strCache>
            </c:strRef>
          </c:cat>
          <c:val>
            <c:numRef>
              <c:f>Sheet1!$E$77:$E$78</c:f>
              <c:numCache>
                <c:formatCode>0%</c:formatCode>
                <c:ptCount val="2"/>
                <c:pt idx="0">
                  <c:v>0.53334461955807833</c:v>
                </c:pt>
                <c:pt idx="1">
                  <c:v>0.46665538044192179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  <c:holeSize val="50"/>
      </c:doughnutChart>
      <c:spPr>
        <a:noFill/>
        <a:ln w="25400">
          <a:noFill/>
        </a:ln>
      </c:spPr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dPt>
            <c:idx val="0"/>
            <c:bubble3D val="0"/>
          </c:dPt>
          <c:dPt>
            <c:idx val="1"/>
            <c:bubble3D val="0"/>
          </c:dPt>
          <c:dLbls>
            <c:dLbl>
              <c:idx val="0"/>
              <c:layout/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ka-GE"/>
                      <a:t>კაცი
52%</a:t>
                    </a:r>
                  </a:p>
                </c:rich>
              </c:tx>
              <c:spPr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1"/>
              <c:layout/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ka-GE"/>
                      <a:t>ქალი
48%</a:t>
                    </a:r>
                  </a:p>
                </c:rich>
              </c:tx>
              <c:spPr/>
              <c:showLegendKey val="0"/>
              <c:showVal val="0"/>
              <c:showCatName val="0"/>
              <c:showSerName val="0"/>
              <c:showPercent val="0"/>
              <c:showBubbleSize val="0"/>
            </c:dLbl>
            <c:showLegendKey val="0"/>
            <c:showVal val="0"/>
            <c:showCatName val="1"/>
            <c:showSerName val="0"/>
            <c:showPercent val="1"/>
            <c:showBubbleSize val="0"/>
            <c:showLeaderLines val="0"/>
          </c:dLbls>
          <c:cat>
            <c:strRef>
              <c:f>Sheet1!$A$104:$A$105</c:f>
              <c:strCache>
                <c:ptCount val="2"/>
                <c:pt idx="0">
                  <c:v>კაცი (%)</c:v>
                </c:pt>
                <c:pt idx="1">
                  <c:v>ქალი (%)</c:v>
                </c:pt>
              </c:strCache>
            </c:strRef>
          </c:cat>
          <c:val>
            <c:numRef>
              <c:f>Sheet1!$E$104:$E$105</c:f>
              <c:numCache>
                <c:formatCode>0%</c:formatCode>
                <c:ptCount val="2"/>
                <c:pt idx="0">
                  <c:v>0.52413791286772304</c:v>
                </c:pt>
                <c:pt idx="1">
                  <c:v>0.47586208713228062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  <c:holeSize val="50"/>
      </c:doughnutChart>
      <c:spPr>
        <a:noFill/>
        <a:ln w="25400">
          <a:noFill/>
        </a:ln>
      </c:spPr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Sheet1!$B$89:$K$89</c:f>
              <c:strCache>
                <c:ptCount val="10"/>
                <c:pt idx="0">
                  <c:v>15-24</c:v>
                </c:pt>
                <c:pt idx="1">
                  <c:v>25-29</c:v>
                </c:pt>
                <c:pt idx="2">
                  <c:v>30-34</c:v>
                </c:pt>
                <c:pt idx="3">
                  <c:v>35-39</c:v>
                </c:pt>
                <c:pt idx="4">
                  <c:v>40-44</c:v>
                </c:pt>
                <c:pt idx="5">
                  <c:v>45-49</c:v>
                </c:pt>
                <c:pt idx="6">
                  <c:v>50-54</c:v>
                </c:pt>
                <c:pt idx="7">
                  <c:v>55-59</c:v>
                </c:pt>
                <c:pt idx="8">
                  <c:v>60-64</c:v>
                </c:pt>
                <c:pt idx="9">
                  <c:v>65+</c:v>
                </c:pt>
              </c:strCache>
            </c:strRef>
          </c:cat>
          <c:val>
            <c:numRef>
              <c:f>Sheet1!$B$92:$K$92</c:f>
              <c:numCache>
                <c:formatCode>0.0%</c:formatCode>
                <c:ptCount val="10"/>
                <c:pt idx="0">
                  <c:v>0.30762338903354564</c:v>
                </c:pt>
                <c:pt idx="1">
                  <c:v>0.20730320473528732</c:v>
                </c:pt>
                <c:pt idx="2">
                  <c:v>0.15152964865636703</c:v>
                </c:pt>
                <c:pt idx="3">
                  <c:v>0.15045114080490116</c:v>
                </c:pt>
                <c:pt idx="4">
                  <c:v>0.10925079369579339</c:v>
                </c:pt>
                <c:pt idx="5">
                  <c:v>9.4132049601533874E-2</c:v>
                </c:pt>
                <c:pt idx="6">
                  <c:v>9.7684266188444821E-2</c:v>
                </c:pt>
                <c:pt idx="7">
                  <c:v>7.5408448177161636E-2</c:v>
                </c:pt>
                <c:pt idx="8">
                  <c:v>5.0979968904395954E-2</c:v>
                </c:pt>
                <c:pt idx="9">
                  <c:v>8.522266258125296E-3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109963520"/>
        <c:axId val="110039040"/>
      </c:barChart>
      <c:catAx>
        <c:axId val="109963520"/>
        <c:scaling>
          <c:orientation val="minMax"/>
        </c:scaling>
        <c:delete val="0"/>
        <c:axPos val="b"/>
        <c:majorTickMark val="none"/>
        <c:minorTickMark val="none"/>
        <c:tickLblPos val="nextTo"/>
        <c:crossAx val="110039040"/>
        <c:crosses val="autoZero"/>
        <c:auto val="1"/>
        <c:lblAlgn val="ctr"/>
        <c:lblOffset val="100"/>
        <c:noMultiLvlLbl val="0"/>
      </c:catAx>
      <c:valAx>
        <c:axId val="110039040"/>
        <c:scaling>
          <c:orientation val="minMax"/>
        </c:scaling>
        <c:delete val="0"/>
        <c:axPos val="l"/>
        <c:numFmt formatCode="0.0%" sourceLinked="1"/>
        <c:majorTickMark val="none"/>
        <c:minorTickMark val="none"/>
        <c:tickLblPos val="nextTo"/>
        <c:crossAx val="10996352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invertIfNegative val="0"/>
          <c:cat>
            <c:strRef>
              <c:f>Sheet1!$B$63:$L$63</c:f>
              <c:strCache>
                <c:ptCount val="11"/>
                <c:pt idx="0">
                  <c:v>15-19</c:v>
                </c:pt>
                <c:pt idx="1">
                  <c:v>20-24</c:v>
                </c:pt>
                <c:pt idx="2">
                  <c:v>25-29</c:v>
                </c:pt>
                <c:pt idx="3">
                  <c:v>30-34</c:v>
                </c:pt>
                <c:pt idx="4">
                  <c:v>35-39</c:v>
                </c:pt>
                <c:pt idx="5">
                  <c:v>40-44</c:v>
                </c:pt>
                <c:pt idx="6">
                  <c:v>45-49</c:v>
                </c:pt>
                <c:pt idx="7">
                  <c:v>50-54</c:v>
                </c:pt>
                <c:pt idx="8">
                  <c:v>55-59</c:v>
                </c:pt>
                <c:pt idx="9">
                  <c:v>60-64</c:v>
                </c:pt>
                <c:pt idx="10">
                  <c:v>65+</c:v>
                </c:pt>
              </c:strCache>
            </c:strRef>
          </c:cat>
          <c:val>
            <c:numRef>
              <c:f>Sheet1!$B$64:$L$64</c:f>
              <c:numCache>
                <c:formatCode>0.0</c:formatCode>
                <c:ptCount val="11"/>
                <c:pt idx="0">
                  <c:v>-5.6058582844993801</c:v>
                </c:pt>
                <c:pt idx="1">
                  <c:v>1.4676679949398945</c:v>
                </c:pt>
                <c:pt idx="2">
                  <c:v>-2.7372534002360247</c:v>
                </c:pt>
                <c:pt idx="3">
                  <c:v>-1.8989039520246163</c:v>
                </c:pt>
                <c:pt idx="4">
                  <c:v>-0.73444308693190052</c:v>
                </c:pt>
                <c:pt idx="5">
                  <c:v>-5.6297099672370621E-2</c:v>
                </c:pt>
                <c:pt idx="6">
                  <c:v>1.2232973890868131</c:v>
                </c:pt>
                <c:pt idx="7">
                  <c:v>1.0903773119942883</c:v>
                </c:pt>
                <c:pt idx="8">
                  <c:v>-0.38689032785684141</c:v>
                </c:pt>
                <c:pt idx="9">
                  <c:v>0.23030939235087988</c:v>
                </c:pt>
                <c:pt idx="10">
                  <c:v>-4.8212015941607844E-2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0049920"/>
        <c:axId val="110059904"/>
      </c:barChart>
      <c:catAx>
        <c:axId val="110049920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110059904"/>
        <c:crosses val="autoZero"/>
        <c:auto val="1"/>
        <c:lblAlgn val="ctr"/>
        <c:lblOffset val="100"/>
        <c:noMultiLvlLbl val="0"/>
      </c:catAx>
      <c:valAx>
        <c:axId val="110059904"/>
        <c:scaling>
          <c:orientation val="minMax"/>
        </c:scaling>
        <c:delete val="0"/>
        <c:axPos val="b"/>
        <c:majorGridlines/>
        <c:numFmt formatCode="0.0" sourceLinked="1"/>
        <c:majorTickMark val="out"/>
        <c:minorTickMark val="none"/>
        <c:tickLblPos val="nextTo"/>
        <c:crossAx val="11004992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oecd!$A$2:$A$26</c:f>
              <c:strCache>
                <c:ptCount val="25"/>
                <c:pt idx="0">
                  <c:v>AUT</c:v>
                </c:pt>
                <c:pt idx="1">
                  <c:v>BEL</c:v>
                </c:pt>
                <c:pt idx="2">
                  <c:v>CZE</c:v>
                </c:pt>
                <c:pt idx="3">
                  <c:v>DNK</c:v>
                </c:pt>
                <c:pt idx="4">
                  <c:v>FIN</c:v>
                </c:pt>
                <c:pt idx="5">
                  <c:v>FRA</c:v>
                </c:pt>
                <c:pt idx="6">
                  <c:v>DEU</c:v>
                </c:pt>
                <c:pt idx="7">
                  <c:v>GRC</c:v>
                </c:pt>
                <c:pt idx="8">
                  <c:v>HUN</c:v>
                </c:pt>
                <c:pt idx="9">
                  <c:v>IRL</c:v>
                </c:pt>
                <c:pt idx="10">
                  <c:v>ITA</c:v>
                </c:pt>
                <c:pt idx="11">
                  <c:v>LUX</c:v>
                </c:pt>
                <c:pt idx="12">
                  <c:v>NLD</c:v>
                </c:pt>
                <c:pt idx="13">
                  <c:v>POL</c:v>
                </c:pt>
                <c:pt idx="14">
                  <c:v>PRT</c:v>
                </c:pt>
                <c:pt idx="15">
                  <c:v>SVK</c:v>
                </c:pt>
                <c:pt idx="16">
                  <c:v>ESP</c:v>
                </c:pt>
                <c:pt idx="17">
                  <c:v>SWE</c:v>
                </c:pt>
                <c:pt idx="18">
                  <c:v>TUR</c:v>
                </c:pt>
                <c:pt idx="19">
                  <c:v>GBR</c:v>
                </c:pt>
                <c:pt idx="20">
                  <c:v>EST</c:v>
                </c:pt>
                <c:pt idx="21">
                  <c:v>LVA</c:v>
                </c:pt>
                <c:pt idx="22">
                  <c:v>SVN</c:v>
                </c:pt>
                <c:pt idx="23">
                  <c:v>OECD</c:v>
                </c:pt>
                <c:pt idx="24">
                  <c:v>GEO</c:v>
                </c:pt>
              </c:strCache>
            </c:strRef>
          </c:cat>
          <c:val>
            <c:numRef>
              <c:f>oecd!$G$2:$G$26</c:f>
              <c:numCache>
                <c:formatCode>0.0</c:formatCode>
                <c:ptCount val="25"/>
                <c:pt idx="0">
                  <c:v>10.574999999999999</c:v>
                </c:pt>
                <c:pt idx="1">
                  <c:v>22.1</c:v>
                </c:pt>
                <c:pt idx="2">
                  <c:v>12.55</c:v>
                </c:pt>
                <c:pt idx="3">
                  <c:v>10.85</c:v>
                </c:pt>
                <c:pt idx="4">
                  <c:v>22.024999999999999</c:v>
                </c:pt>
                <c:pt idx="5">
                  <c:v>24.675000000000001</c:v>
                </c:pt>
                <c:pt idx="6">
                  <c:v>7.25</c:v>
                </c:pt>
                <c:pt idx="7">
                  <c:v>49.8</c:v>
                </c:pt>
                <c:pt idx="8">
                  <c:v>17.3</c:v>
                </c:pt>
                <c:pt idx="9">
                  <c:v>20.875</c:v>
                </c:pt>
                <c:pt idx="10">
                  <c:v>40.325000000000003</c:v>
                </c:pt>
                <c:pt idx="11">
                  <c:v>17.324999999999999</c:v>
                </c:pt>
                <c:pt idx="12">
                  <c:v>11.25</c:v>
                </c:pt>
                <c:pt idx="13">
                  <c:v>20.75</c:v>
                </c:pt>
                <c:pt idx="14">
                  <c:v>31.95</c:v>
                </c:pt>
                <c:pt idx="15">
                  <c:v>26.45</c:v>
                </c:pt>
                <c:pt idx="16">
                  <c:v>48.35</c:v>
                </c:pt>
                <c:pt idx="17">
                  <c:v>20.324999999999999</c:v>
                </c:pt>
                <c:pt idx="18">
                  <c:v>18.524999999999999</c:v>
                </c:pt>
                <c:pt idx="19">
                  <c:v>14.625</c:v>
                </c:pt>
                <c:pt idx="20">
                  <c:v>13.2</c:v>
                </c:pt>
                <c:pt idx="21">
                  <c:v>16.3</c:v>
                </c:pt>
                <c:pt idx="22">
                  <c:v>16.425000000000001</c:v>
                </c:pt>
                <c:pt idx="23">
                  <c:v>13.878970000000001</c:v>
                </c:pt>
                <c:pt idx="24">
                  <c:v>12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110100864"/>
        <c:axId val="110102400"/>
      </c:barChart>
      <c:catAx>
        <c:axId val="110100864"/>
        <c:scaling>
          <c:orientation val="minMax"/>
        </c:scaling>
        <c:delete val="0"/>
        <c:axPos val="b"/>
        <c:majorTickMark val="none"/>
        <c:minorTickMark val="none"/>
        <c:tickLblPos val="nextTo"/>
        <c:crossAx val="110102400"/>
        <c:crosses val="autoZero"/>
        <c:auto val="1"/>
        <c:lblAlgn val="ctr"/>
        <c:lblOffset val="100"/>
        <c:noMultiLvlLbl val="0"/>
      </c:catAx>
      <c:valAx>
        <c:axId val="110102400"/>
        <c:scaling>
          <c:orientation val="minMax"/>
        </c:scaling>
        <c:delete val="0"/>
        <c:axPos val="l"/>
        <c:numFmt formatCode="0.0" sourceLinked="1"/>
        <c:majorTickMark val="none"/>
        <c:minorTickMark val="none"/>
        <c:tickLblPos val="nextTo"/>
        <c:crossAx val="11010086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504</Words>
  <Characters>2877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Giorgi Gamkrelidze</dc:creator>
  <cp:lastModifiedBy>Giorgi Gamkrelidze</cp:lastModifiedBy>
  <cp:revision>2</cp:revision>
  <cp:lastPrinted>2016-10-26T11:46:00Z</cp:lastPrinted>
  <dcterms:created xsi:type="dcterms:W3CDTF">2016-10-26T11:56:00Z</dcterms:created>
  <dcterms:modified xsi:type="dcterms:W3CDTF">2016-10-26T11:56:00Z</dcterms:modified>
</cp:coreProperties>
</file>