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82" w:rsidRPr="00F80F82" w:rsidRDefault="00F80F82" w:rsidP="0007339D">
      <w:pPr>
        <w:jc w:val="center"/>
        <w:rPr>
          <w:rFonts w:ascii="微软雅黑" w:eastAsia="微软雅黑" w:hAnsi="微软雅黑"/>
          <w:b/>
          <w:sz w:val="44"/>
          <w:szCs w:val="44"/>
        </w:rPr>
      </w:pPr>
      <w:r w:rsidRPr="00F80F82">
        <w:rPr>
          <w:rFonts w:ascii="微软雅黑" w:eastAsia="微软雅黑" w:hAnsi="微软雅黑" w:hint="eastAsia"/>
          <w:b/>
          <w:sz w:val="44"/>
          <w:szCs w:val="44"/>
        </w:rPr>
        <w:t>首页</w:t>
      </w:r>
    </w:p>
    <w:p w:rsidR="00F80F82" w:rsidRDefault="00F80F82" w:rsidP="00F80F82">
      <w:pPr>
        <w:rPr>
          <w:rFonts w:ascii="微软雅黑" w:eastAsia="微软雅黑" w:hAnsi="微软雅黑"/>
          <w:sz w:val="24"/>
          <w:szCs w:val="24"/>
        </w:rPr>
      </w:pPr>
      <w:r>
        <w:rPr>
          <w:rFonts w:ascii="微软雅黑" w:eastAsia="微软雅黑" w:hAnsi="微软雅黑" w:hint="eastAsia"/>
          <w:sz w:val="24"/>
          <w:szCs w:val="24"/>
        </w:rPr>
        <w:t>四大业务板块</w:t>
      </w:r>
    </w:p>
    <w:p w:rsidR="00F80F82" w:rsidRDefault="00F80F82" w:rsidP="00F80F82">
      <w:pPr>
        <w:rPr>
          <w:rFonts w:ascii="微软雅黑" w:eastAsia="微软雅黑" w:hAnsi="微软雅黑" w:hint="eastAsia"/>
          <w:sz w:val="24"/>
          <w:szCs w:val="24"/>
        </w:rPr>
      </w:pPr>
      <w:r>
        <w:rPr>
          <w:rFonts w:ascii="微软雅黑" w:eastAsia="微软雅黑" w:hAnsi="微软雅黑" w:hint="eastAsia"/>
          <w:sz w:val="24"/>
          <w:szCs w:val="24"/>
        </w:rPr>
        <w:t>【和逸教育】</w:t>
      </w:r>
      <w:r w:rsidR="003E3A88">
        <w:rPr>
          <w:noProof/>
        </w:rPr>
        <w:drawing>
          <wp:inline distT="0" distB="0" distL="0" distR="0" wp14:anchorId="371EEE9C" wp14:editId="0524333A">
            <wp:extent cx="65722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25" cy="781050"/>
                    </a:xfrm>
                    <a:prstGeom prst="rect">
                      <a:avLst/>
                    </a:prstGeom>
                  </pic:spPr>
                </pic:pic>
              </a:graphicData>
            </a:graphic>
          </wp:inline>
        </w:drawing>
      </w:r>
    </w:p>
    <w:p w:rsidR="00F80F82" w:rsidRDefault="00F80F82" w:rsidP="00F80F82">
      <w:pPr>
        <w:widowControl/>
        <w:ind w:firstLineChars="200" w:firstLine="480"/>
        <w:jc w:val="left"/>
        <w:rPr>
          <w:rFonts w:ascii="微软雅黑" w:eastAsia="微软雅黑" w:hAnsi="微软雅黑"/>
          <w:sz w:val="24"/>
          <w:szCs w:val="24"/>
        </w:rPr>
      </w:pPr>
      <w:r w:rsidRPr="00F61D5C">
        <w:rPr>
          <w:rFonts w:ascii="微软雅黑" w:eastAsia="微软雅黑" w:hAnsi="微软雅黑"/>
          <w:sz w:val="24"/>
          <w:szCs w:val="24"/>
        </w:rPr>
        <w:t>和逸教育同中国资产证券化研究院、中国资产证券化论坛等研究教育机构打造ABS Elite Club</w:t>
      </w:r>
      <w:r>
        <w:rPr>
          <w:rFonts w:ascii="微软雅黑" w:eastAsia="微软雅黑" w:hAnsi="微软雅黑" w:hint="eastAsia"/>
          <w:sz w:val="24"/>
          <w:szCs w:val="24"/>
        </w:rPr>
        <w:t>，</w:t>
      </w:r>
      <w:r w:rsidRPr="00F61D5C">
        <w:rPr>
          <w:rFonts w:ascii="微软雅黑" w:eastAsia="微软雅黑" w:hAnsi="微软雅黑"/>
          <w:sz w:val="24"/>
          <w:szCs w:val="24"/>
        </w:rPr>
        <w:t>为从业人员</w:t>
      </w:r>
      <w:bookmarkStart w:id="0" w:name="_GoBack"/>
      <w:bookmarkEnd w:id="0"/>
      <w:r w:rsidRPr="00F61D5C">
        <w:rPr>
          <w:rFonts w:ascii="微软雅黑" w:eastAsia="微软雅黑" w:hAnsi="微软雅黑"/>
          <w:sz w:val="24"/>
          <w:szCs w:val="24"/>
        </w:rPr>
        <w:t>提供教育和服务</w:t>
      </w:r>
      <w:r>
        <w:rPr>
          <w:rFonts w:ascii="微软雅黑" w:eastAsia="微软雅黑" w:hAnsi="微软雅黑" w:hint="eastAsia"/>
          <w:sz w:val="24"/>
          <w:szCs w:val="24"/>
        </w:rPr>
        <w:t>。同时，与监管部门合作推出投资者教育园地</w:t>
      </w:r>
      <w:r>
        <w:rPr>
          <w:rFonts w:ascii="微软雅黑" w:eastAsia="微软雅黑" w:hAnsi="微软雅黑" w:hint="eastAsia"/>
          <w:sz w:val="24"/>
          <w:szCs w:val="24"/>
        </w:rPr>
        <w:t>，</w:t>
      </w:r>
      <w:r>
        <w:rPr>
          <w:rFonts w:ascii="微软雅黑" w:eastAsia="微软雅黑" w:hAnsi="微软雅黑" w:hint="eastAsia"/>
          <w:sz w:val="24"/>
          <w:szCs w:val="24"/>
        </w:rPr>
        <w:t>致力于为投资者提供更加清晰透明的市场环境</w:t>
      </w:r>
      <w:r>
        <w:rPr>
          <w:rFonts w:ascii="微软雅黑" w:eastAsia="微软雅黑" w:hAnsi="微软雅黑" w:hint="eastAsia"/>
          <w:sz w:val="24"/>
          <w:szCs w:val="24"/>
        </w:rPr>
        <w:t>。</w:t>
      </w:r>
    </w:p>
    <w:p w:rsidR="00F80F82" w:rsidRPr="00CD6BFF" w:rsidRDefault="00F80F82">
      <w:pPr>
        <w:widowControl/>
        <w:jc w:val="left"/>
        <w:rPr>
          <w:rFonts w:ascii="微软雅黑" w:eastAsia="微软雅黑" w:hAnsi="微软雅黑"/>
          <w:sz w:val="24"/>
          <w:szCs w:val="24"/>
        </w:rPr>
      </w:pPr>
      <w:r>
        <w:rPr>
          <w:rFonts w:ascii="微软雅黑" w:eastAsia="微软雅黑" w:hAnsi="微软雅黑" w:hint="eastAsia"/>
          <w:sz w:val="24"/>
          <w:szCs w:val="24"/>
        </w:rPr>
        <w:t>【和逸科技】</w:t>
      </w:r>
      <w:r w:rsidR="00CD6BFF">
        <w:rPr>
          <w:noProof/>
        </w:rPr>
        <w:drawing>
          <wp:inline distT="0" distB="0" distL="0" distR="0" wp14:anchorId="526DEFD3" wp14:editId="46FA9106">
            <wp:extent cx="6667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750" cy="762000"/>
                    </a:xfrm>
                    <a:prstGeom prst="rect">
                      <a:avLst/>
                    </a:prstGeom>
                  </pic:spPr>
                </pic:pic>
              </a:graphicData>
            </a:graphic>
          </wp:inline>
        </w:drawing>
      </w:r>
    </w:p>
    <w:p w:rsidR="00F80F82" w:rsidRDefault="00F80F82" w:rsidP="00F80F82">
      <w:pPr>
        <w:widowControl/>
        <w:ind w:firstLineChars="200" w:firstLine="480"/>
        <w:jc w:val="left"/>
        <w:rPr>
          <w:rFonts w:ascii="微软雅黑" w:eastAsia="微软雅黑" w:hAnsi="微软雅黑"/>
          <w:sz w:val="24"/>
          <w:szCs w:val="24"/>
        </w:rPr>
      </w:pPr>
      <w:r w:rsidRPr="002939F2">
        <w:rPr>
          <w:rFonts w:ascii="微软雅黑" w:eastAsia="微软雅黑" w:hAnsi="微软雅黑"/>
          <w:sz w:val="24"/>
          <w:szCs w:val="24"/>
        </w:rPr>
        <w:t>和逸科技</w:t>
      </w:r>
      <w:r w:rsidRPr="002939F2">
        <w:rPr>
          <w:rFonts w:ascii="微软雅黑" w:eastAsia="微软雅黑" w:hAnsi="微软雅黑" w:hint="eastAsia"/>
          <w:sz w:val="24"/>
          <w:szCs w:val="24"/>
        </w:rPr>
        <w:t>核心业务板块为中国资产证券化分析网（C</w:t>
      </w:r>
      <w:r w:rsidRPr="002939F2">
        <w:rPr>
          <w:rFonts w:ascii="微软雅黑" w:eastAsia="微软雅黑" w:hAnsi="微软雅黑"/>
          <w:sz w:val="24"/>
          <w:szCs w:val="24"/>
        </w:rPr>
        <w:t>NABS</w:t>
      </w:r>
      <w:r w:rsidRPr="002939F2">
        <w:rPr>
          <w:rFonts w:ascii="微软雅黑" w:eastAsia="微软雅黑" w:hAnsi="微软雅黑" w:hint="eastAsia"/>
          <w:sz w:val="24"/>
          <w:szCs w:val="24"/>
        </w:rPr>
        <w:t>），C</w:t>
      </w:r>
      <w:r w:rsidRPr="002939F2">
        <w:rPr>
          <w:rFonts w:ascii="微软雅黑" w:eastAsia="微软雅黑" w:hAnsi="微软雅黑"/>
          <w:sz w:val="24"/>
          <w:szCs w:val="24"/>
        </w:rPr>
        <w:t>NABS</w:t>
      </w:r>
      <w:r w:rsidRPr="001862C3">
        <w:rPr>
          <w:rFonts w:ascii="微软雅黑" w:eastAsia="微软雅黑" w:hAnsi="微软雅黑"/>
          <w:sz w:val="24"/>
          <w:szCs w:val="24"/>
        </w:rPr>
        <w:t>是专注于中国资产证券化市场的综合服务平台。建立在国际领先的金融科技基础上，CNABS在近两年来持续为中国所有市场参与者提供优质的服务和完整的解决方案。</w:t>
      </w:r>
    </w:p>
    <w:p w:rsidR="00F80F82" w:rsidRPr="00CD6BFF" w:rsidRDefault="00F80F82">
      <w:pPr>
        <w:widowControl/>
        <w:jc w:val="left"/>
        <w:rPr>
          <w:rFonts w:ascii="微软雅黑" w:eastAsia="微软雅黑" w:hAnsi="微软雅黑"/>
          <w:sz w:val="24"/>
          <w:szCs w:val="24"/>
        </w:rPr>
      </w:pPr>
      <w:r>
        <w:rPr>
          <w:rFonts w:ascii="微软雅黑" w:eastAsia="微软雅黑" w:hAnsi="微软雅黑" w:hint="eastAsia"/>
          <w:sz w:val="24"/>
          <w:szCs w:val="24"/>
        </w:rPr>
        <w:t>【和逸金服】</w:t>
      </w:r>
      <w:r w:rsidR="00CD6BFF">
        <w:rPr>
          <w:noProof/>
        </w:rPr>
        <w:drawing>
          <wp:inline distT="0" distB="0" distL="0" distR="0" wp14:anchorId="37F940A0" wp14:editId="470E6E84">
            <wp:extent cx="504825" cy="68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 cy="685800"/>
                    </a:xfrm>
                    <a:prstGeom prst="rect">
                      <a:avLst/>
                    </a:prstGeom>
                  </pic:spPr>
                </pic:pic>
              </a:graphicData>
            </a:graphic>
          </wp:inline>
        </w:drawing>
      </w:r>
    </w:p>
    <w:p w:rsidR="00F80F82" w:rsidRDefault="00F80F82" w:rsidP="00F80F82">
      <w:pPr>
        <w:widowControl/>
        <w:ind w:firstLineChars="200" w:firstLine="480"/>
        <w:jc w:val="left"/>
        <w:rPr>
          <w:rFonts w:ascii="微软雅黑" w:eastAsia="微软雅黑" w:hAnsi="微软雅黑"/>
          <w:sz w:val="24"/>
          <w:szCs w:val="24"/>
        </w:rPr>
      </w:pPr>
      <w:r w:rsidRPr="0007339D">
        <w:rPr>
          <w:rFonts w:ascii="微软雅黑" w:eastAsia="微软雅黑" w:hAnsi="微软雅黑"/>
          <w:sz w:val="24"/>
          <w:szCs w:val="24"/>
        </w:rPr>
        <w:t>和逸金服</w:t>
      </w:r>
      <w:r w:rsidRPr="0007339D">
        <w:rPr>
          <w:rFonts w:ascii="微软雅黑" w:eastAsia="微软雅黑" w:hAnsi="微软雅黑" w:hint="eastAsia"/>
          <w:sz w:val="24"/>
          <w:szCs w:val="24"/>
        </w:rPr>
        <w:t>核心业务板块为中国基金行政管理（F</w:t>
      </w:r>
      <w:r w:rsidRPr="0007339D">
        <w:rPr>
          <w:rFonts w:ascii="微软雅黑" w:eastAsia="微软雅黑" w:hAnsi="微软雅黑"/>
          <w:sz w:val="24"/>
          <w:szCs w:val="24"/>
        </w:rPr>
        <w:t>und Admin</w:t>
      </w:r>
      <w:r w:rsidRPr="0007339D">
        <w:rPr>
          <w:rFonts w:ascii="微软雅黑" w:eastAsia="微软雅黑" w:hAnsi="微软雅黑" w:hint="eastAsia"/>
          <w:sz w:val="24"/>
          <w:szCs w:val="24"/>
        </w:rPr>
        <w:t>）</w:t>
      </w:r>
      <w:r w:rsidRPr="0007339D">
        <w:rPr>
          <w:rFonts w:ascii="微软雅黑" w:eastAsia="微软雅黑" w:hAnsi="微软雅黑"/>
          <w:sz w:val="24"/>
          <w:szCs w:val="24"/>
        </w:rPr>
        <w:t>，</w:t>
      </w:r>
      <w:r w:rsidRPr="0007339D">
        <w:rPr>
          <w:rFonts w:ascii="微软雅黑" w:eastAsia="微软雅黑" w:hAnsi="微软雅黑" w:hint="eastAsia"/>
          <w:sz w:val="24"/>
          <w:szCs w:val="24"/>
        </w:rPr>
        <w:t>F</w:t>
      </w:r>
      <w:r w:rsidRPr="0007339D">
        <w:rPr>
          <w:rFonts w:ascii="微软雅黑" w:eastAsia="微软雅黑" w:hAnsi="微软雅黑"/>
          <w:sz w:val="24"/>
          <w:szCs w:val="24"/>
        </w:rPr>
        <w:t>A为中国私募基金行业量身定制，专注为私募基金、FOF、产业基金提供独立第三方行政管理（包括估值、TA）、中后台管理、风险管理、投资分析以及投资策略优化等服务。</w:t>
      </w:r>
    </w:p>
    <w:p w:rsidR="00F80F82" w:rsidRDefault="00F80F82">
      <w:pPr>
        <w:widowControl/>
        <w:jc w:val="left"/>
        <w:rPr>
          <w:rFonts w:ascii="微软雅黑" w:eastAsia="微软雅黑" w:hAnsi="微软雅黑"/>
          <w:sz w:val="24"/>
          <w:szCs w:val="24"/>
        </w:rPr>
      </w:pPr>
      <w:r>
        <w:rPr>
          <w:rFonts w:ascii="微软雅黑" w:eastAsia="微软雅黑" w:hAnsi="微软雅黑" w:hint="eastAsia"/>
          <w:sz w:val="24"/>
          <w:szCs w:val="24"/>
        </w:rPr>
        <w:lastRenderedPageBreak/>
        <w:t>【和逸金融】</w:t>
      </w:r>
      <w:r w:rsidR="00CD6BFF">
        <w:rPr>
          <w:noProof/>
        </w:rPr>
        <w:drawing>
          <wp:inline distT="0" distB="0" distL="0" distR="0" wp14:anchorId="7A332CA5" wp14:editId="311AF0F7">
            <wp:extent cx="609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 cy="771525"/>
                    </a:xfrm>
                    <a:prstGeom prst="rect">
                      <a:avLst/>
                    </a:prstGeom>
                  </pic:spPr>
                </pic:pic>
              </a:graphicData>
            </a:graphic>
          </wp:inline>
        </w:drawing>
      </w:r>
    </w:p>
    <w:p w:rsidR="00F80F82" w:rsidRPr="0007339D" w:rsidRDefault="00F80F82" w:rsidP="00F80F82">
      <w:pPr>
        <w:ind w:firstLineChars="200" w:firstLine="480"/>
        <w:rPr>
          <w:rFonts w:ascii="微软雅黑" w:eastAsia="微软雅黑" w:hAnsi="微软雅黑"/>
          <w:sz w:val="24"/>
          <w:szCs w:val="24"/>
        </w:rPr>
      </w:pPr>
      <w:r w:rsidRPr="0007339D">
        <w:rPr>
          <w:rFonts w:ascii="微软雅黑" w:eastAsia="微软雅黑" w:hAnsi="微软雅黑"/>
          <w:sz w:val="24"/>
          <w:szCs w:val="24"/>
        </w:rPr>
        <w:t>和逸金融依托十余年国际结构金融市场的系统服务经验，</w:t>
      </w:r>
      <w:r w:rsidRPr="0007339D">
        <w:rPr>
          <w:rFonts w:ascii="微软雅黑" w:eastAsia="微软雅黑" w:hAnsi="微软雅黑" w:hint="eastAsia"/>
          <w:sz w:val="24"/>
          <w:szCs w:val="24"/>
        </w:rPr>
        <w:t>衍生出</w:t>
      </w:r>
      <w:r w:rsidRPr="0007339D">
        <w:rPr>
          <w:rFonts w:ascii="微软雅黑" w:eastAsia="微软雅黑" w:hAnsi="微软雅黑"/>
          <w:sz w:val="24"/>
          <w:szCs w:val="24"/>
        </w:rPr>
        <w:t>Pre-ABS</w:t>
      </w:r>
      <w:r w:rsidRPr="0007339D">
        <w:rPr>
          <w:rFonts w:ascii="微软雅黑" w:eastAsia="微软雅黑" w:hAnsi="微软雅黑" w:hint="eastAsia"/>
          <w:sz w:val="24"/>
          <w:szCs w:val="24"/>
        </w:rPr>
        <w:t>、交易撮合、F</w:t>
      </w:r>
      <w:r w:rsidRPr="0007339D">
        <w:rPr>
          <w:rFonts w:ascii="微软雅黑" w:eastAsia="微软雅黑" w:hAnsi="微软雅黑"/>
          <w:sz w:val="24"/>
          <w:szCs w:val="24"/>
        </w:rPr>
        <w:t>OF</w:t>
      </w:r>
      <w:r w:rsidRPr="0007339D">
        <w:rPr>
          <w:rFonts w:ascii="微软雅黑" w:eastAsia="微软雅黑" w:hAnsi="微软雅黑" w:hint="eastAsia"/>
          <w:sz w:val="24"/>
          <w:szCs w:val="24"/>
        </w:rPr>
        <w:t>投资等多项服务，并为国内金融行业机构提供咨询服务。</w:t>
      </w:r>
    </w:p>
    <w:p w:rsidR="00F80F82" w:rsidRDefault="00F80F82">
      <w:pPr>
        <w:widowControl/>
        <w:jc w:val="left"/>
        <w:rPr>
          <w:rFonts w:ascii="微软雅黑" w:eastAsia="微软雅黑" w:hAnsi="微软雅黑"/>
          <w:sz w:val="24"/>
          <w:szCs w:val="24"/>
        </w:rPr>
      </w:pPr>
      <w:r>
        <w:rPr>
          <w:rFonts w:ascii="微软雅黑" w:eastAsia="微软雅黑" w:hAnsi="微软雅黑"/>
          <w:sz w:val="24"/>
          <w:szCs w:val="24"/>
        </w:rPr>
        <w:br w:type="page"/>
      </w:r>
    </w:p>
    <w:p w:rsidR="00F80F82" w:rsidRPr="00F80F82" w:rsidRDefault="00F80F82" w:rsidP="0007339D">
      <w:pPr>
        <w:jc w:val="center"/>
        <w:rPr>
          <w:rFonts w:ascii="微软雅黑" w:eastAsia="微软雅黑" w:hAnsi="微软雅黑"/>
          <w:b/>
          <w:sz w:val="36"/>
          <w:szCs w:val="36"/>
        </w:rPr>
      </w:pPr>
      <w:r w:rsidRPr="00F80F82">
        <w:rPr>
          <w:rFonts w:ascii="微软雅黑" w:eastAsia="微软雅黑" w:hAnsi="微软雅黑" w:hint="eastAsia"/>
          <w:b/>
          <w:sz w:val="36"/>
          <w:szCs w:val="36"/>
        </w:rPr>
        <w:lastRenderedPageBreak/>
        <w:t>菜单栏【关于我们】</w:t>
      </w:r>
    </w:p>
    <w:p w:rsidR="0007339D" w:rsidRDefault="00907824" w:rsidP="00F80F82">
      <w:pPr>
        <w:jc w:val="left"/>
        <w:rPr>
          <w:rFonts w:ascii="微软雅黑" w:eastAsia="微软雅黑" w:hAnsi="微软雅黑"/>
          <w:sz w:val="24"/>
          <w:szCs w:val="24"/>
        </w:rPr>
      </w:pPr>
      <w:r>
        <w:rPr>
          <w:rFonts w:ascii="微软雅黑" w:eastAsia="微软雅黑" w:hAnsi="微软雅黑" w:hint="eastAsia"/>
          <w:sz w:val="24"/>
          <w:szCs w:val="24"/>
        </w:rPr>
        <w:t>【企业</w:t>
      </w:r>
      <w:r w:rsidR="0007339D">
        <w:rPr>
          <w:rFonts w:ascii="微软雅黑" w:eastAsia="微软雅黑" w:hAnsi="微软雅黑" w:hint="eastAsia"/>
          <w:sz w:val="24"/>
          <w:szCs w:val="24"/>
        </w:rPr>
        <w:t>介绍</w:t>
      </w:r>
      <w:r>
        <w:rPr>
          <w:rFonts w:ascii="微软雅黑" w:eastAsia="微软雅黑" w:hAnsi="微软雅黑" w:hint="eastAsia"/>
          <w:sz w:val="24"/>
          <w:szCs w:val="24"/>
        </w:rPr>
        <w:t>】</w:t>
      </w:r>
    </w:p>
    <w:p w:rsidR="00851359" w:rsidRDefault="00851359" w:rsidP="00851359">
      <w:pPr>
        <w:rPr>
          <w:rFonts w:ascii="微软雅黑" w:eastAsia="微软雅黑" w:hAnsi="微软雅黑"/>
          <w:sz w:val="24"/>
          <w:szCs w:val="24"/>
        </w:rPr>
      </w:pPr>
      <w:r w:rsidRPr="00F61D5C">
        <w:rPr>
          <w:rFonts w:ascii="微软雅黑" w:eastAsia="微软雅黑" w:hAnsi="微软雅黑" w:hint="eastAsia"/>
          <w:sz w:val="24"/>
          <w:szCs w:val="24"/>
        </w:rPr>
        <w:t>上海和逸金融信息服务有限公司是以科技金融为主导的公司</w:t>
      </w:r>
      <w:r w:rsidR="0007339D">
        <w:rPr>
          <w:rFonts w:ascii="微软雅黑" w:eastAsia="微软雅黑" w:hAnsi="微软雅黑" w:hint="eastAsia"/>
          <w:sz w:val="24"/>
          <w:szCs w:val="24"/>
        </w:rPr>
        <w:t>，</w:t>
      </w:r>
      <w:r w:rsidRPr="00F61D5C">
        <w:rPr>
          <w:rFonts w:ascii="微软雅黑" w:eastAsia="微软雅黑" w:hAnsi="微软雅黑" w:hint="eastAsia"/>
          <w:sz w:val="24"/>
          <w:szCs w:val="24"/>
        </w:rPr>
        <w:t>公司下设和逸</w:t>
      </w:r>
      <w:r w:rsidR="00765BB7">
        <w:rPr>
          <w:rFonts w:ascii="微软雅黑" w:eastAsia="微软雅黑" w:hAnsi="微软雅黑" w:hint="eastAsia"/>
          <w:sz w:val="24"/>
          <w:szCs w:val="24"/>
        </w:rPr>
        <w:t>教育</w:t>
      </w:r>
      <w:r w:rsidRPr="00F61D5C">
        <w:rPr>
          <w:rFonts w:ascii="微软雅黑" w:eastAsia="微软雅黑" w:hAnsi="微软雅黑" w:hint="eastAsia"/>
          <w:sz w:val="24"/>
          <w:szCs w:val="24"/>
        </w:rPr>
        <w:t>、和逸</w:t>
      </w:r>
      <w:r w:rsidR="00765BB7">
        <w:rPr>
          <w:rFonts w:ascii="微软雅黑" w:eastAsia="微软雅黑" w:hAnsi="微软雅黑" w:hint="eastAsia"/>
          <w:sz w:val="24"/>
          <w:szCs w:val="24"/>
        </w:rPr>
        <w:t>科技</w:t>
      </w:r>
      <w:r w:rsidRPr="00F61D5C">
        <w:rPr>
          <w:rFonts w:ascii="微软雅黑" w:eastAsia="微软雅黑" w:hAnsi="微软雅黑" w:hint="eastAsia"/>
          <w:sz w:val="24"/>
          <w:szCs w:val="24"/>
        </w:rPr>
        <w:t>、和逸</w:t>
      </w:r>
      <w:r w:rsidR="00765BB7">
        <w:rPr>
          <w:rFonts w:ascii="微软雅黑" w:eastAsia="微软雅黑" w:hAnsi="微软雅黑" w:hint="eastAsia"/>
          <w:sz w:val="24"/>
          <w:szCs w:val="24"/>
        </w:rPr>
        <w:t>金服</w:t>
      </w:r>
      <w:r w:rsidR="00F61D5C" w:rsidRPr="00F61D5C">
        <w:rPr>
          <w:rFonts w:ascii="微软雅黑" w:eastAsia="微软雅黑" w:hAnsi="微软雅黑" w:hint="eastAsia"/>
          <w:sz w:val="24"/>
          <w:szCs w:val="24"/>
        </w:rPr>
        <w:t>以及</w:t>
      </w:r>
      <w:r w:rsidRPr="00F61D5C">
        <w:rPr>
          <w:rFonts w:ascii="微软雅黑" w:eastAsia="微软雅黑" w:hAnsi="微软雅黑" w:hint="eastAsia"/>
          <w:sz w:val="24"/>
          <w:szCs w:val="24"/>
        </w:rPr>
        <w:t>和逸</w:t>
      </w:r>
      <w:r w:rsidR="00765BB7">
        <w:rPr>
          <w:rFonts w:ascii="微软雅黑" w:eastAsia="微软雅黑" w:hAnsi="微软雅黑" w:hint="eastAsia"/>
          <w:sz w:val="24"/>
          <w:szCs w:val="24"/>
        </w:rPr>
        <w:t>金融</w:t>
      </w:r>
      <w:r w:rsidRPr="00F61D5C">
        <w:rPr>
          <w:rFonts w:ascii="微软雅黑" w:eastAsia="微软雅黑" w:hAnsi="微软雅黑" w:hint="eastAsia"/>
          <w:sz w:val="24"/>
          <w:szCs w:val="24"/>
        </w:rPr>
        <w:t>四</w:t>
      </w:r>
      <w:r w:rsidR="00765BB7">
        <w:rPr>
          <w:rFonts w:ascii="微软雅黑" w:eastAsia="微软雅黑" w:hAnsi="微软雅黑" w:hint="eastAsia"/>
          <w:sz w:val="24"/>
          <w:szCs w:val="24"/>
        </w:rPr>
        <w:t>大业务板块</w:t>
      </w:r>
      <w:r w:rsidR="0007339D">
        <w:rPr>
          <w:rFonts w:ascii="微软雅黑" w:eastAsia="微软雅黑" w:hAnsi="微软雅黑" w:hint="eastAsia"/>
          <w:sz w:val="24"/>
          <w:szCs w:val="24"/>
        </w:rPr>
        <w:t>，</w:t>
      </w:r>
      <w:r w:rsidR="0007339D" w:rsidRPr="00F61D5C">
        <w:rPr>
          <w:rFonts w:ascii="微软雅黑" w:eastAsia="微软雅黑" w:hAnsi="微软雅黑" w:hint="eastAsia"/>
          <w:sz w:val="24"/>
          <w:szCs w:val="24"/>
        </w:rPr>
        <w:t>致力于打造覆盖全行业的生态圈</w:t>
      </w:r>
      <w:r w:rsidR="0007339D">
        <w:rPr>
          <w:rFonts w:ascii="微软雅黑" w:eastAsia="微软雅黑" w:hAnsi="微软雅黑" w:hint="eastAsia"/>
          <w:sz w:val="24"/>
          <w:szCs w:val="24"/>
        </w:rPr>
        <w:t>。</w:t>
      </w:r>
    </w:p>
    <w:p w:rsidR="00F80F82" w:rsidRDefault="00F80F82" w:rsidP="00F80F82">
      <w:pPr>
        <w:jc w:val="center"/>
        <w:rPr>
          <w:rFonts w:ascii="微软雅黑" w:eastAsia="微软雅黑" w:hAnsi="微软雅黑"/>
          <w:b/>
          <w:sz w:val="36"/>
          <w:szCs w:val="36"/>
        </w:rPr>
      </w:pPr>
    </w:p>
    <w:p w:rsidR="00F80F82" w:rsidRPr="00F80F82" w:rsidRDefault="00F80F82" w:rsidP="00F80F82">
      <w:pPr>
        <w:jc w:val="center"/>
        <w:rPr>
          <w:rFonts w:ascii="微软雅黑" w:eastAsia="微软雅黑" w:hAnsi="微软雅黑" w:hint="eastAsia"/>
          <w:b/>
          <w:sz w:val="36"/>
          <w:szCs w:val="36"/>
        </w:rPr>
      </w:pPr>
      <w:r w:rsidRPr="00F80F82">
        <w:rPr>
          <w:rFonts w:ascii="微软雅黑" w:eastAsia="微软雅黑" w:hAnsi="微软雅黑" w:hint="eastAsia"/>
          <w:b/>
          <w:sz w:val="36"/>
          <w:szCs w:val="36"/>
        </w:rPr>
        <w:t>菜单栏</w:t>
      </w:r>
      <w:r w:rsidR="0007339D" w:rsidRPr="00F80F82">
        <w:rPr>
          <w:rFonts w:ascii="微软雅黑" w:eastAsia="微软雅黑" w:hAnsi="微软雅黑" w:hint="eastAsia"/>
          <w:b/>
          <w:sz w:val="36"/>
          <w:szCs w:val="36"/>
        </w:rPr>
        <w:t>【业务介绍】</w:t>
      </w:r>
    </w:p>
    <w:p w:rsidR="00F80F82" w:rsidRDefault="00F80F82" w:rsidP="00851359">
      <w:pPr>
        <w:rPr>
          <w:rFonts w:ascii="微软雅黑" w:eastAsia="微软雅黑" w:hAnsi="微软雅黑" w:hint="eastAsia"/>
          <w:sz w:val="24"/>
          <w:szCs w:val="24"/>
        </w:rPr>
      </w:pPr>
      <w:r>
        <w:rPr>
          <w:rFonts w:ascii="微软雅黑" w:eastAsia="微软雅黑" w:hAnsi="微软雅黑" w:hint="eastAsia"/>
          <w:sz w:val="24"/>
          <w:szCs w:val="24"/>
        </w:rPr>
        <w:t>（改为和逸教育、和逸科技、和逸金服、和逸金融四大块）</w:t>
      </w:r>
    </w:p>
    <w:p w:rsidR="0007339D" w:rsidRPr="00F61D5C" w:rsidRDefault="0007339D" w:rsidP="00851359">
      <w:pPr>
        <w:rPr>
          <w:rFonts w:ascii="微软雅黑" w:eastAsia="微软雅黑" w:hAnsi="微软雅黑"/>
          <w:sz w:val="24"/>
          <w:szCs w:val="24"/>
        </w:rPr>
      </w:pPr>
      <w:r>
        <w:rPr>
          <w:rFonts w:ascii="微软雅黑" w:eastAsia="微软雅黑" w:hAnsi="微软雅黑" w:hint="eastAsia"/>
          <w:sz w:val="24"/>
          <w:szCs w:val="24"/>
        </w:rPr>
        <w:t>【和逸教育】</w:t>
      </w:r>
    </w:p>
    <w:p w:rsidR="00F80F82" w:rsidRDefault="00851359" w:rsidP="0007339D">
      <w:pPr>
        <w:pStyle w:val="ListParagraph"/>
        <w:ind w:left="420" w:firstLine="480"/>
        <w:rPr>
          <w:rFonts w:ascii="微软雅黑" w:eastAsia="微软雅黑" w:hAnsi="微软雅黑"/>
          <w:sz w:val="24"/>
          <w:szCs w:val="24"/>
        </w:rPr>
      </w:pPr>
      <w:r w:rsidRPr="00F61D5C">
        <w:rPr>
          <w:rFonts w:ascii="微软雅黑" w:eastAsia="微软雅黑" w:hAnsi="微软雅黑"/>
          <w:sz w:val="24"/>
          <w:szCs w:val="24"/>
        </w:rPr>
        <w:t>和逸教育同中国资产证券化研究院、中国资产证券化论坛等研究教育机构建立紧密一致的合作关系，打造ABS Elite Club，共同培育中国资产证券化市场</w:t>
      </w:r>
      <w:r w:rsidR="0021228B">
        <w:rPr>
          <w:rFonts w:ascii="微软雅黑" w:eastAsia="微软雅黑" w:hAnsi="微软雅黑" w:hint="eastAsia"/>
          <w:sz w:val="24"/>
          <w:szCs w:val="24"/>
        </w:rPr>
        <w:t>，并</w:t>
      </w:r>
      <w:r w:rsidRPr="00F61D5C">
        <w:rPr>
          <w:rFonts w:ascii="微软雅黑" w:eastAsia="微软雅黑" w:hAnsi="微软雅黑"/>
          <w:sz w:val="24"/>
          <w:szCs w:val="24"/>
        </w:rPr>
        <w:t>为从业人员提供教育和服务</w:t>
      </w:r>
      <w:r w:rsidR="001862C3">
        <w:rPr>
          <w:rFonts w:ascii="微软雅黑" w:eastAsia="微软雅黑" w:hAnsi="微软雅黑" w:hint="eastAsia"/>
          <w:sz w:val="24"/>
          <w:szCs w:val="24"/>
        </w:rPr>
        <w:t>。</w:t>
      </w:r>
    </w:p>
    <w:p w:rsidR="00851359" w:rsidRDefault="00B373D1" w:rsidP="0007339D">
      <w:pPr>
        <w:pStyle w:val="ListParagraph"/>
        <w:ind w:left="420" w:firstLine="480"/>
        <w:rPr>
          <w:rFonts w:ascii="微软雅黑" w:eastAsia="微软雅黑" w:hAnsi="微软雅黑"/>
          <w:sz w:val="24"/>
          <w:szCs w:val="24"/>
        </w:rPr>
      </w:pPr>
      <w:r>
        <w:rPr>
          <w:rFonts w:ascii="微软雅黑" w:eastAsia="微软雅黑" w:hAnsi="微软雅黑" w:hint="eastAsia"/>
          <w:sz w:val="24"/>
          <w:szCs w:val="24"/>
        </w:rPr>
        <w:t>同时，</w:t>
      </w:r>
      <w:r w:rsidR="00F80F82">
        <w:rPr>
          <w:rFonts w:ascii="微软雅黑" w:eastAsia="微软雅黑" w:hAnsi="微软雅黑" w:hint="eastAsia"/>
          <w:sz w:val="24"/>
          <w:szCs w:val="24"/>
        </w:rPr>
        <w:t>和逸教育</w:t>
      </w:r>
      <w:r>
        <w:rPr>
          <w:rFonts w:ascii="微软雅黑" w:eastAsia="微软雅黑" w:hAnsi="微软雅黑" w:hint="eastAsia"/>
          <w:sz w:val="24"/>
          <w:szCs w:val="24"/>
        </w:rPr>
        <w:t>与监管部门合作推出投资者教育园地，致力于</w:t>
      </w:r>
      <w:r w:rsidR="00FF49C6">
        <w:rPr>
          <w:rFonts w:ascii="微软雅黑" w:eastAsia="微软雅黑" w:hAnsi="微软雅黑" w:hint="eastAsia"/>
          <w:sz w:val="24"/>
          <w:szCs w:val="24"/>
        </w:rPr>
        <w:t>中国资产证券化市场投资者教育，旨在</w:t>
      </w:r>
      <w:r>
        <w:rPr>
          <w:rFonts w:ascii="微软雅黑" w:eastAsia="微软雅黑" w:hAnsi="微软雅黑" w:hint="eastAsia"/>
          <w:sz w:val="24"/>
          <w:szCs w:val="24"/>
        </w:rPr>
        <w:t>为投资者提供更加清晰透明的市场环境，</w:t>
      </w:r>
      <w:r w:rsidR="00FF49C6">
        <w:rPr>
          <w:rFonts w:ascii="微软雅黑" w:eastAsia="微软雅黑" w:hAnsi="微软雅黑" w:hint="eastAsia"/>
          <w:sz w:val="24"/>
          <w:szCs w:val="24"/>
        </w:rPr>
        <w:t>并</w:t>
      </w:r>
      <w:r>
        <w:rPr>
          <w:rFonts w:ascii="微软雅黑" w:eastAsia="微软雅黑" w:hAnsi="微软雅黑" w:hint="eastAsia"/>
          <w:sz w:val="24"/>
          <w:szCs w:val="24"/>
        </w:rPr>
        <w:t>解读国内A</w:t>
      </w:r>
      <w:r>
        <w:rPr>
          <w:rFonts w:ascii="微软雅黑" w:eastAsia="微软雅黑" w:hAnsi="微软雅黑"/>
          <w:sz w:val="24"/>
          <w:szCs w:val="24"/>
        </w:rPr>
        <w:t>BS</w:t>
      </w:r>
      <w:r>
        <w:rPr>
          <w:rFonts w:ascii="微软雅黑" w:eastAsia="微软雅黑" w:hAnsi="微软雅黑" w:hint="eastAsia"/>
          <w:sz w:val="24"/>
          <w:szCs w:val="24"/>
        </w:rPr>
        <w:t>政策与产品。</w:t>
      </w:r>
    </w:p>
    <w:p w:rsidR="00913B76" w:rsidRDefault="00913B76" w:rsidP="00913B76">
      <w:pPr>
        <w:pStyle w:val="ListParagraph"/>
        <w:numPr>
          <w:ilvl w:val="0"/>
          <w:numId w:val="3"/>
        </w:numPr>
        <w:ind w:firstLineChars="0"/>
        <w:rPr>
          <w:rFonts w:ascii="微软雅黑" w:eastAsia="微软雅黑" w:hAnsi="微软雅黑"/>
          <w:sz w:val="24"/>
          <w:szCs w:val="24"/>
        </w:rPr>
      </w:pPr>
      <w:r w:rsidRPr="00913B76">
        <w:rPr>
          <w:rFonts w:ascii="微软雅黑" w:eastAsia="微软雅黑" w:hAnsi="微软雅黑" w:hint="eastAsia"/>
          <w:sz w:val="24"/>
          <w:szCs w:val="24"/>
        </w:rPr>
        <w:t>一流的行业发展、政策研究团队，定期出版研究文献；</w:t>
      </w:r>
    </w:p>
    <w:p w:rsidR="00913B76" w:rsidRDefault="00913B76" w:rsidP="00913B76">
      <w:pPr>
        <w:pStyle w:val="ListParagraph"/>
        <w:numPr>
          <w:ilvl w:val="0"/>
          <w:numId w:val="3"/>
        </w:numPr>
        <w:ind w:firstLineChars="0"/>
        <w:rPr>
          <w:rFonts w:ascii="微软雅黑" w:eastAsia="微软雅黑" w:hAnsi="微软雅黑"/>
          <w:sz w:val="24"/>
          <w:szCs w:val="24"/>
        </w:rPr>
      </w:pPr>
      <w:r w:rsidRPr="00913B76">
        <w:rPr>
          <w:rFonts w:ascii="微软雅黑" w:eastAsia="微软雅黑" w:hAnsi="微软雅黑" w:hint="eastAsia"/>
          <w:sz w:val="24"/>
          <w:szCs w:val="24"/>
        </w:rPr>
        <w:t>监管机构培训，以及五道口、银行业协会等线上平台授课；</w:t>
      </w:r>
    </w:p>
    <w:p w:rsidR="00913B76" w:rsidRDefault="00913B76" w:rsidP="00913B76">
      <w:pPr>
        <w:pStyle w:val="ListParagraph"/>
        <w:numPr>
          <w:ilvl w:val="0"/>
          <w:numId w:val="3"/>
        </w:numPr>
        <w:ind w:firstLineChars="0"/>
        <w:rPr>
          <w:rFonts w:ascii="微软雅黑" w:eastAsia="微软雅黑" w:hAnsi="微软雅黑"/>
          <w:sz w:val="24"/>
          <w:szCs w:val="24"/>
        </w:rPr>
      </w:pPr>
      <w:r w:rsidRPr="00913B76">
        <w:rPr>
          <w:rFonts w:ascii="微软雅黑" w:eastAsia="微软雅黑" w:hAnsi="微软雅黑" w:hint="eastAsia"/>
          <w:sz w:val="24"/>
          <w:szCs w:val="24"/>
        </w:rPr>
        <w:t>出版和主持翻译《金融新格局》，《资产证券化操作手册》、《PPP与资产证券化》、《Fintech与资产证券化》等多本培育市场、推动行业发展书籍</w:t>
      </w:r>
      <w:r w:rsidR="00FF49C6">
        <w:rPr>
          <w:rFonts w:ascii="微软雅黑" w:eastAsia="微软雅黑" w:hAnsi="微软雅黑" w:hint="eastAsia"/>
          <w:sz w:val="24"/>
          <w:szCs w:val="24"/>
        </w:rPr>
        <w:t>，近期还针对基金领域推出了《对冲基金管理指南》、《基金事务管理指南》、《F</w:t>
      </w:r>
      <w:r w:rsidR="00FF49C6">
        <w:rPr>
          <w:rFonts w:ascii="微软雅黑" w:eastAsia="微软雅黑" w:hAnsi="微软雅黑"/>
          <w:sz w:val="24"/>
          <w:szCs w:val="24"/>
        </w:rPr>
        <w:t>OF</w:t>
      </w:r>
      <w:r w:rsidR="00FF49C6">
        <w:rPr>
          <w:rFonts w:ascii="微软雅黑" w:eastAsia="微软雅黑" w:hAnsi="微软雅黑" w:hint="eastAsia"/>
          <w:sz w:val="24"/>
          <w:szCs w:val="24"/>
        </w:rPr>
        <w:t>投资手册》等行业指南书籍。</w:t>
      </w:r>
    </w:p>
    <w:p w:rsidR="0007339D" w:rsidRDefault="0007339D" w:rsidP="0007339D">
      <w:pPr>
        <w:rPr>
          <w:rFonts w:ascii="微软雅黑" w:eastAsia="微软雅黑" w:hAnsi="微软雅黑"/>
          <w:sz w:val="24"/>
          <w:szCs w:val="24"/>
        </w:rPr>
      </w:pPr>
      <w:r>
        <w:rPr>
          <w:rFonts w:ascii="微软雅黑" w:eastAsia="微软雅黑" w:hAnsi="微软雅黑" w:hint="eastAsia"/>
          <w:sz w:val="24"/>
          <w:szCs w:val="24"/>
        </w:rPr>
        <w:t>【和逸科技】</w:t>
      </w:r>
    </w:p>
    <w:p w:rsidR="000E1473" w:rsidRPr="000E1473" w:rsidRDefault="000E1473" w:rsidP="000E1473">
      <w:pPr>
        <w:pStyle w:val="Heading4"/>
        <w:spacing w:before="150" w:beforeAutospacing="0" w:after="150" w:afterAutospacing="0"/>
        <w:rPr>
          <w:rFonts w:ascii="Microsoft Yahei" w:hAnsi="Microsoft Yahei" w:hint="eastAsia"/>
          <w:b w:val="0"/>
          <w:bCs w:val="0"/>
          <w:color w:val="FF9900"/>
          <w:sz w:val="27"/>
          <w:szCs w:val="27"/>
        </w:rPr>
      </w:pPr>
      <w:r>
        <w:rPr>
          <w:rFonts w:ascii="Microsoft Yahei" w:hAnsi="Microsoft Yahei"/>
          <w:b w:val="0"/>
          <w:bCs w:val="0"/>
          <w:color w:val="FF9900"/>
          <w:sz w:val="27"/>
          <w:szCs w:val="27"/>
        </w:rPr>
        <w:lastRenderedPageBreak/>
        <w:t>中国资产证券化分析网</w:t>
      </w:r>
      <w:r>
        <w:rPr>
          <w:rFonts w:ascii="Microsoft Yahei" w:hAnsi="Microsoft Yahei"/>
          <w:b w:val="0"/>
          <w:bCs w:val="0"/>
          <w:color w:val="FF9900"/>
          <w:sz w:val="27"/>
          <w:szCs w:val="27"/>
        </w:rPr>
        <w:br/>
      </w:r>
      <w:hyperlink r:id="rId9" w:history="1">
        <w:r w:rsidR="00FF49C6" w:rsidRPr="000349B6">
          <w:rPr>
            <w:rStyle w:val="Hyperlink"/>
            <w:rFonts w:ascii="Microsoft Yahei" w:hAnsi="Microsoft Yahei"/>
            <w:sz w:val="27"/>
            <w:szCs w:val="27"/>
          </w:rPr>
          <w:t>www.cn-abs.com</w:t>
        </w:r>
      </w:hyperlink>
      <w:r w:rsidR="00FF49C6">
        <w:rPr>
          <w:rFonts w:ascii="Microsoft Yahei" w:hAnsi="Microsoft Yahei"/>
          <w:b w:val="0"/>
          <w:bCs w:val="0"/>
          <w:color w:val="FF9900"/>
          <w:sz w:val="27"/>
          <w:szCs w:val="27"/>
        </w:rPr>
        <w:t xml:space="preserve"> </w:t>
      </w:r>
      <w:r w:rsidR="00FF49C6">
        <w:rPr>
          <w:rFonts w:ascii="Microsoft Yahei" w:hAnsi="Microsoft Yahei" w:hint="eastAsia"/>
          <w:b w:val="0"/>
          <w:bCs w:val="0"/>
          <w:color w:val="FF9900"/>
          <w:sz w:val="27"/>
          <w:szCs w:val="27"/>
        </w:rPr>
        <w:t>（这个网址希望能做成链接，点击就能直接跳转到</w:t>
      </w:r>
      <w:r w:rsidR="00FF49C6">
        <w:rPr>
          <w:rFonts w:ascii="Microsoft Yahei" w:hAnsi="Microsoft Yahei" w:hint="eastAsia"/>
          <w:b w:val="0"/>
          <w:bCs w:val="0"/>
          <w:color w:val="FF9900"/>
          <w:sz w:val="27"/>
          <w:szCs w:val="27"/>
        </w:rPr>
        <w:t>C</w:t>
      </w:r>
      <w:r w:rsidR="00FF49C6">
        <w:rPr>
          <w:rFonts w:ascii="Microsoft Yahei" w:hAnsi="Microsoft Yahei"/>
          <w:b w:val="0"/>
          <w:bCs w:val="0"/>
          <w:color w:val="FF9900"/>
          <w:sz w:val="27"/>
          <w:szCs w:val="27"/>
        </w:rPr>
        <w:t>NABS</w:t>
      </w:r>
      <w:r w:rsidR="00FF49C6">
        <w:rPr>
          <w:rFonts w:ascii="Microsoft Yahei" w:hAnsi="Microsoft Yahei" w:hint="eastAsia"/>
          <w:b w:val="0"/>
          <w:bCs w:val="0"/>
          <w:color w:val="FF9900"/>
          <w:sz w:val="27"/>
          <w:szCs w:val="27"/>
        </w:rPr>
        <w:t>首页）</w:t>
      </w:r>
    </w:p>
    <w:p w:rsidR="00765BB7" w:rsidRDefault="00765BB7" w:rsidP="0007339D">
      <w:pPr>
        <w:pStyle w:val="ListParagraph"/>
        <w:ind w:left="420" w:firstLine="480"/>
        <w:rPr>
          <w:rFonts w:ascii="微软雅黑" w:eastAsia="微软雅黑" w:hAnsi="微软雅黑"/>
          <w:sz w:val="24"/>
          <w:szCs w:val="24"/>
        </w:rPr>
      </w:pPr>
      <w:r w:rsidRPr="002939F2">
        <w:rPr>
          <w:rFonts w:ascii="微软雅黑" w:eastAsia="微软雅黑" w:hAnsi="微软雅黑"/>
          <w:sz w:val="24"/>
          <w:szCs w:val="24"/>
        </w:rPr>
        <w:t>和逸科技</w:t>
      </w:r>
      <w:r w:rsidRPr="002939F2">
        <w:rPr>
          <w:rFonts w:ascii="微软雅黑" w:eastAsia="微软雅黑" w:hAnsi="微软雅黑" w:hint="eastAsia"/>
          <w:sz w:val="24"/>
          <w:szCs w:val="24"/>
        </w:rPr>
        <w:t>核心业务板块为中国资产证券化分析网（C</w:t>
      </w:r>
      <w:r w:rsidRPr="002939F2">
        <w:rPr>
          <w:rFonts w:ascii="微软雅黑" w:eastAsia="微软雅黑" w:hAnsi="微软雅黑"/>
          <w:sz w:val="24"/>
          <w:szCs w:val="24"/>
        </w:rPr>
        <w:t>NABS</w:t>
      </w:r>
      <w:r w:rsidRPr="002939F2">
        <w:rPr>
          <w:rFonts w:ascii="微软雅黑" w:eastAsia="微软雅黑" w:hAnsi="微软雅黑" w:hint="eastAsia"/>
          <w:sz w:val="24"/>
          <w:szCs w:val="24"/>
        </w:rPr>
        <w:t>），C</w:t>
      </w:r>
      <w:r w:rsidRPr="002939F2">
        <w:rPr>
          <w:rFonts w:ascii="微软雅黑" w:eastAsia="微软雅黑" w:hAnsi="微软雅黑"/>
          <w:sz w:val="24"/>
          <w:szCs w:val="24"/>
        </w:rPr>
        <w:t>NABS</w:t>
      </w:r>
      <w:r w:rsidRPr="001862C3">
        <w:rPr>
          <w:rFonts w:ascii="微软雅黑" w:eastAsia="微软雅黑" w:hAnsi="微软雅黑"/>
          <w:sz w:val="24"/>
          <w:szCs w:val="24"/>
        </w:rPr>
        <w:t>是专注于中国资产证券化市场的综合服务平台。建立在国际领先的金融科技基础上，CNABS在近两年来持续为中国所有市场参与者提供优质的服务和完整的解决方案。</w:t>
      </w:r>
      <w:r w:rsidR="00913B76">
        <w:rPr>
          <w:rFonts w:ascii="微软雅黑" w:eastAsia="微软雅黑" w:hAnsi="微软雅黑" w:hint="eastAsia"/>
          <w:sz w:val="24"/>
          <w:szCs w:val="24"/>
        </w:rPr>
        <w:t>用户</w:t>
      </w:r>
      <w:r w:rsidRPr="001862C3">
        <w:rPr>
          <w:rFonts w:ascii="微软雅黑" w:eastAsia="微软雅黑" w:hAnsi="微软雅黑"/>
          <w:sz w:val="24"/>
          <w:szCs w:val="24"/>
        </w:rPr>
        <w:t>可以根据各自需求，选择CNABS</w:t>
      </w:r>
      <w:r w:rsidR="00913B76">
        <w:rPr>
          <w:rFonts w:ascii="微软雅黑" w:eastAsia="微软雅黑" w:hAnsi="微软雅黑" w:hint="eastAsia"/>
          <w:sz w:val="24"/>
          <w:szCs w:val="24"/>
        </w:rPr>
        <w:t>教育版、</w:t>
      </w:r>
      <w:r w:rsidRPr="001862C3">
        <w:rPr>
          <w:rFonts w:ascii="微软雅黑" w:eastAsia="微软雅黑" w:hAnsi="微软雅黑"/>
          <w:sz w:val="24"/>
          <w:szCs w:val="24"/>
        </w:rPr>
        <w:t>数据版、专业版功能，或者</w:t>
      </w:r>
      <w:r w:rsidRPr="001862C3">
        <w:rPr>
          <w:rFonts w:ascii="微软雅黑" w:eastAsia="微软雅黑" w:hAnsi="微软雅黑" w:hint="eastAsia"/>
          <w:sz w:val="24"/>
          <w:szCs w:val="24"/>
        </w:rPr>
        <w:t>综合解决方案</w:t>
      </w:r>
      <w:r w:rsidRPr="001862C3">
        <w:rPr>
          <w:rFonts w:ascii="微软雅黑" w:eastAsia="微软雅黑" w:hAnsi="微软雅黑"/>
          <w:sz w:val="24"/>
          <w:szCs w:val="24"/>
        </w:rPr>
        <w:t>。</w:t>
      </w:r>
    </w:p>
    <w:p w:rsidR="00B24485" w:rsidRDefault="00FF49C6" w:rsidP="00FF49C6">
      <w:pPr>
        <w:pStyle w:val="ListParagraph"/>
        <w:jc w:val="center"/>
        <w:rPr>
          <w:rFonts w:ascii="微软雅黑" w:eastAsia="微软雅黑" w:hAnsi="微软雅黑"/>
          <w:sz w:val="24"/>
          <w:szCs w:val="24"/>
        </w:rPr>
      </w:pPr>
      <w:r>
        <w:rPr>
          <w:noProof/>
        </w:rPr>
        <w:drawing>
          <wp:inline distT="0" distB="0" distL="0" distR="0" wp14:anchorId="39D12335" wp14:editId="4BDDD4B0">
            <wp:extent cx="5274310" cy="4758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58690"/>
                    </a:xfrm>
                    <a:prstGeom prst="rect">
                      <a:avLst/>
                    </a:prstGeom>
                  </pic:spPr>
                </pic:pic>
              </a:graphicData>
            </a:graphic>
          </wp:inline>
        </w:drawing>
      </w:r>
    </w:p>
    <w:p w:rsidR="000E1473" w:rsidRPr="000E1473" w:rsidRDefault="000E1473" w:rsidP="000E1473">
      <w:pPr>
        <w:widowControl/>
        <w:spacing w:before="150" w:after="150"/>
        <w:jc w:val="left"/>
        <w:outlineLvl w:val="3"/>
        <w:rPr>
          <w:rFonts w:ascii="Microsoft Yahei" w:eastAsia="宋体" w:hAnsi="Microsoft Yahei" w:cs="宋体" w:hint="eastAsia"/>
          <w:color w:val="FF9900"/>
          <w:kern w:val="0"/>
          <w:sz w:val="27"/>
          <w:szCs w:val="27"/>
        </w:rPr>
      </w:pPr>
      <w:r w:rsidRPr="000E1473">
        <w:rPr>
          <w:rFonts w:ascii="Microsoft Yahei" w:eastAsia="宋体" w:hAnsi="Microsoft Yahei" w:cs="宋体"/>
          <w:color w:val="FF9900"/>
          <w:kern w:val="0"/>
          <w:sz w:val="27"/>
          <w:szCs w:val="27"/>
        </w:rPr>
        <w:t>资产证券化解决方案</w:t>
      </w:r>
    </w:p>
    <w:p w:rsidR="000E1473" w:rsidRPr="000E1473" w:rsidRDefault="000E1473" w:rsidP="000E1473">
      <w:pPr>
        <w:widowControl/>
        <w:numPr>
          <w:ilvl w:val="0"/>
          <w:numId w:val="6"/>
        </w:numPr>
        <w:spacing w:before="100" w:beforeAutospacing="1" w:after="100" w:afterAutospacing="1" w:line="300" w:lineRule="atLeast"/>
        <w:ind w:left="150" w:right="150"/>
        <w:jc w:val="left"/>
        <w:rPr>
          <w:rFonts w:ascii="Microsoft Yahei" w:eastAsia="宋体" w:hAnsi="Microsoft Yahei" w:cs="宋体" w:hint="eastAsia"/>
          <w:color w:val="333333"/>
          <w:kern w:val="0"/>
          <w:szCs w:val="21"/>
        </w:rPr>
      </w:pPr>
      <w:r w:rsidRPr="000E1473">
        <w:rPr>
          <w:rFonts w:ascii="Microsoft Yahei" w:eastAsia="宋体" w:hAnsi="Microsoft Yahei" w:cs="宋体"/>
          <w:color w:val="333333"/>
          <w:kern w:val="0"/>
          <w:szCs w:val="21"/>
        </w:rPr>
        <w:lastRenderedPageBreak/>
        <w:t>专业服务金融机构，为投行、资管、服务团队等具有特有需求的用户提供定制化的、有针对性的全套解决方案。</w:t>
      </w:r>
    </w:p>
    <w:p w:rsidR="000E1473" w:rsidRPr="000E1473" w:rsidRDefault="000E1473" w:rsidP="000E1473">
      <w:pPr>
        <w:widowControl/>
        <w:numPr>
          <w:ilvl w:val="0"/>
          <w:numId w:val="6"/>
        </w:numPr>
        <w:spacing w:before="100" w:beforeAutospacing="1" w:after="100" w:afterAutospacing="1" w:line="300" w:lineRule="atLeast"/>
        <w:ind w:left="150" w:right="150"/>
        <w:jc w:val="left"/>
        <w:rPr>
          <w:rFonts w:ascii="Microsoft Yahei" w:eastAsia="宋体" w:hAnsi="Microsoft Yahei" w:cs="宋体" w:hint="eastAsia"/>
          <w:color w:val="333333"/>
          <w:kern w:val="0"/>
          <w:szCs w:val="21"/>
        </w:rPr>
      </w:pPr>
      <w:r w:rsidRPr="000E1473">
        <w:rPr>
          <w:rFonts w:ascii="Microsoft Yahei" w:eastAsia="宋体" w:hAnsi="Microsoft Yahei" w:cs="宋体"/>
          <w:color w:val="333333"/>
          <w:kern w:val="0"/>
          <w:szCs w:val="21"/>
        </w:rPr>
        <w:t>涵盖定制化产品设计、发行协作、存续期管理及服务、产品表现分析、产品投资管理等功能，协助机构高效、精准的开展</w:t>
      </w:r>
      <w:r w:rsidRPr="000E1473">
        <w:rPr>
          <w:rFonts w:ascii="Microsoft Yahei" w:eastAsia="宋体" w:hAnsi="Microsoft Yahei" w:cs="宋体"/>
          <w:color w:val="333333"/>
          <w:kern w:val="0"/>
          <w:szCs w:val="21"/>
        </w:rPr>
        <w:t>ABS</w:t>
      </w:r>
      <w:r w:rsidRPr="000E1473">
        <w:rPr>
          <w:rFonts w:ascii="Microsoft Yahei" w:eastAsia="宋体" w:hAnsi="Microsoft Yahei" w:cs="宋体"/>
          <w:color w:val="333333"/>
          <w:kern w:val="0"/>
          <w:szCs w:val="21"/>
        </w:rPr>
        <w:t>相关工作。</w:t>
      </w:r>
    </w:p>
    <w:p w:rsidR="000E1473" w:rsidRPr="000E1473" w:rsidRDefault="000E1473" w:rsidP="000E1473">
      <w:pPr>
        <w:widowControl/>
        <w:numPr>
          <w:ilvl w:val="0"/>
          <w:numId w:val="6"/>
        </w:numPr>
        <w:spacing w:before="100" w:beforeAutospacing="1" w:after="100" w:afterAutospacing="1" w:line="300" w:lineRule="atLeast"/>
        <w:ind w:left="150" w:right="150"/>
        <w:jc w:val="left"/>
        <w:rPr>
          <w:rFonts w:ascii="Microsoft Yahei" w:eastAsia="宋体" w:hAnsi="Microsoft Yahei" w:cs="宋体" w:hint="eastAsia"/>
          <w:color w:val="333333"/>
          <w:kern w:val="0"/>
          <w:szCs w:val="21"/>
        </w:rPr>
      </w:pPr>
      <w:r w:rsidRPr="000E1473">
        <w:rPr>
          <w:rFonts w:ascii="Microsoft Yahei" w:eastAsia="宋体" w:hAnsi="Microsoft Yahei" w:cs="宋体"/>
          <w:color w:val="333333"/>
          <w:kern w:val="0"/>
          <w:szCs w:val="21"/>
        </w:rPr>
        <w:t>已为国内外第一梯队的银行、信托、基金公司及子公司提供定制化解决方案及服务。</w:t>
      </w:r>
    </w:p>
    <w:p w:rsidR="000E1473" w:rsidRPr="000E1473" w:rsidRDefault="000E1473" w:rsidP="000E1473">
      <w:pPr>
        <w:ind w:firstLineChars="175" w:firstLine="368"/>
        <w:jc w:val="center"/>
        <w:rPr>
          <w:rFonts w:ascii="微软雅黑" w:eastAsia="微软雅黑" w:hAnsi="微软雅黑"/>
          <w:sz w:val="24"/>
          <w:szCs w:val="24"/>
        </w:rPr>
      </w:pPr>
      <w:r>
        <w:rPr>
          <w:noProof/>
        </w:rPr>
        <w:drawing>
          <wp:inline distT="0" distB="0" distL="0" distR="0" wp14:anchorId="4C8D5506" wp14:editId="42706BF5">
            <wp:extent cx="4067175" cy="2864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2924" cy="2868610"/>
                    </a:xfrm>
                    <a:prstGeom prst="rect">
                      <a:avLst/>
                    </a:prstGeom>
                  </pic:spPr>
                </pic:pic>
              </a:graphicData>
            </a:graphic>
          </wp:inline>
        </w:drawing>
      </w:r>
    </w:p>
    <w:p w:rsidR="0007339D" w:rsidRDefault="0007339D" w:rsidP="0007339D">
      <w:pPr>
        <w:rPr>
          <w:rFonts w:ascii="微软雅黑" w:eastAsia="微软雅黑" w:hAnsi="微软雅黑"/>
          <w:sz w:val="24"/>
          <w:szCs w:val="24"/>
        </w:rPr>
      </w:pPr>
      <w:r>
        <w:rPr>
          <w:rFonts w:ascii="微软雅黑" w:eastAsia="微软雅黑" w:hAnsi="微软雅黑" w:hint="eastAsia"/>
          <w:sz w:val="24"/>
          <w:szCs w:val="24"/>
        </w:rPr>
        <w:t>【和逸金服】</w:t>
      </w:r>
    </w:p>
    <w:p w:rsidR="000E1473" w:rsidRDefault="000E1473" w:rsidP="0007339D">
      <w:pPr>
        <w:ind w:firstLineChars="200" w:firstLine="480"/>
        <w:rPr>
          <w:rFonts w:ascii="微软雅黑" w:eastAsia="微软雅黑" w:hAnsi="微软雅黑"/>
          <w:sz w:val="24"/>
          <w:szCs w:val="24"/>
        </w:rPr>
      </w:pPr>
      <w:r>
        <w:rPr>
          <w:rFonts w:ascii="微软雅黑" w:eastAsia="微软雅黑" w:hAnsi="微软雅黑" w:hint="eastAsia"/>
          <w:sz w:val="24"/>
          <w:szCs w:val="24"/>
        </w:rPr>
        <w:t>（保留原有内容，最前面加上这段）</w:t>
      </w:r>
    </w:p>
    <w:p w:rsidR="00913B76" w:rsidRPr="0007339D" w:rsidRDefault="00765BB7" w:rsidP="0007339D">
      <w:pPr>
        <w:ind w:firstLineChars="200" w:firstLine="480"/>
        <w:rPr>
          <w:rFonts w:ascii="微软雅黑" w:eastAsia="微软雅黑" w:hAnsi="微软雅黑"/>
          <w:sz w:val="24"/>
          <w:szCs w:val="24"/>
        </w:rPr>
      </w:pPr>
      <w:r w:rsidRPr="0007339D">
        <w:rPr>
          <w:rFonts w:ascii="微软雅黑" w:eastAsia="微软雅黑" w:hAnsi="微软雅黑"/>
          <w:sz w:val="24"/>
          <w:szCs w:val="24"/>
        </w:rPr>
        <w:t>和逸金服</w:t>
      </w:r>
      <w:r w:rsidR="00913B76" w:rsidRPr="0007339D">
        <w:rPr>
          <w:rFonts w:ascii="微软雅黑" w:eastAsia="微软雅黑" w:hAnsi="微软雅黑" w:hint="eastAsia"/>
          <w:sz w:val="24"/>
          <w:szCs w:val="24"/>
        </w:rPr>
        <w:t>核心业务板块为中国基金行政管理（F</w:t>
      </w:r>
      <w:r w:rsidR="00913B76" w:rsidRPr="0007339D">
        <w:rPr>
          <w:rFonts w:ascii="微软雅黑" w:eastAsia="微软雅黑" w:hAnsi="微软雅黑"/>
          <w:sz w:val="24"/>
          <w:szCs w:val="24"/>
        </w:rPr>
        <w:t>und Admin</w:t>
      </w:r>
      <w:r w:rsidR="00913B76" w:rsidRPr="0007339D">
        <w:rPr>
          <w:rFonts w:ascii="微软雅黑" w:eastAsia="微软雅黑" w:hAnsi="微软雅黑" w:hint="eastAsia"/>
          <w:sz w:val="24"/>
          <w:szCs w:val="24"/>
        </w:rPr>
        <w:t>）</w:t>
      </w:r>
      <w:r w:rsidRPr="0007339D">
        <w:rPr>
          <w:rFonts w:ascii="微软雅黑" w:eastAsia="微软雅黑" w:hAnsi="微软雅黑"/>
          <w:sz w:val="24"/>
          <w:szCs w:val="24"/>
        </w:rPr>
        <w:t>，</w:t>
      </w:r>
      <w:r w:rsidR="00913B76" w:rsidRPr="0007339D">
        <w:rPr>
          <w:rFonts w:ascii="微软雅黑" w:eastAsia="微软雅黑" w:hAnsi="微软雅黑" w:hint="eastAsia"/>
          <w:sz w:val="24"/>
          <w:szCs w:val="24"/>
        </w:rPr>
        <w:t>F</w:t>
      </w:r>
      <w:r w:rsidR="00913B76" w:rsidRPr="0007339D">
        <w:rPr>
          <w:rFonts w:ascii="微软雅黑" w:eastAsia="微软雅黑" w:hAnsi="微软雅黑"/>
          <w:sz w:val="24"/>
          <w:szCs w:val="24"/>
        </w:rPr>
        <w:t>A为中国私募基金行业量身定制，专注为私募基金、FOF、产业基金提供独立第三方行政管理（包括估值、TA）、中后台管理、风险管理、投资分析以及投资策略优化等服务。</w:t>
      </w:r>
    </w:p>
    <w:p w:rsidR="0007339D" w:rsidRDefault="0007339D" w:rsidP="0007339D">
      <w:pPr>
        <w:rPr>
          <w:rFonts w:ascii="微软雅黑" w:eastAsia="微软雅黑" w:hAnsi="微软雅黑"/>
          <w:sz w:val="24"/>
          <w:szCs w:val="24"/>
        </w:rPr>
      </w:pPr>
      <w:r>
        <w:rPr>
          <w:rFonts w:ascii="微软雅黑" w:eastAsia="微软雅黑" w:hAnsi="微软雅黑" w:hint="eastAsia"/>
          <w:sz w:val="24"/>
          <w:szCs w:val="24"/>
        </w:rPr>
        <w:t>【和逸金融】</w:t>
      </w:r>
    </w:p>
    <w:p w:rsidR="00765BB7" w:rsidRPr="0007339D" w:rsidRDefault="00765BB7" w:rsidP="0007339D">
      <w:pPr>
        <w:ind w:firstLineChars="200" w:firstLine="480"/>
        <w:rPr>
          <w:rFonts w:ascii="微软雅黑" w:eastAsia="微软雅黑" w:hAnsi="微软雅黑"/>
          <w:sz w:val="24"/>
          <w:szCs w:val="24"/>
        </w:rPr>
      </w:pPr>
      <w:r w:rsidRPr="0007339D">
        <w:rPr>
          <w:rFonts w:ascii="微软雅黑" w:eastAsia="微软雅黑" w:hAnsi="微软雅黑"/>
          <w:sz w:val="24"/>
          <w:szCs w:val="24"/>
        </w:rPr>
        <w:t>和逸金融</w:t>
      </w:r>
      <w:r w:rsidR="00913B76" w:rsidRPr="0007339D">
        <w:rPr>
          <w:rFonts w:ascii="微软雅黑" w:eastAsia="微软雅黑" w:hAnsi="微软雅黑"/>
          <w:sz w:val="24"/>
          <w:szCs w:val="24"/>
        </w:rPr>
        <w:t>依托十余年国际结构金融市场的系统服务经验，</w:t>
      </w:r>
      <w:r w:rsidR="00B373D1" w:rsidRPr="0007339D">
        <w:rPr>
          <w:rFonts w:ascii="微软雅黑" w:eastAsia="微软雅黑" w:hAnsi="微软雅黑" w:hint="eastAsia"/>
          <w:sz w:val="24"/>
          <w:szCs w:val="24"/>
        </w:rPr>
        <w:t>衍生出</w:t>
      </w:r>
      <w:r w:rsidRPr="0007339D">
        <w:rPr>
          <w:rFonts w:ascii="微软雅黑" w:eastAsia="微软雅黑" w:hAnsi="微软雅黑"/>
          <w:sz w:val="24"/>
          <w:szCs w:val="24"/>
        </w:rPr>
        <w:t>Pre-ABS</w:t>
      </w:r>
      <w:r w:rsidR="00B373D1" w:rsidRPr="0007339D">
        <w:rPr>
          <w:rFonts w:ascii="微软雅黑" w:eastAsia="微软雅黑" w:hAnsi="微软雅黑" w:hint="eastAsia"/>
          <w:sz w:val="24"/>
          <w:szCs w:val="24"/>
        </w:rPr>
        <w:t>、交易撮合、F</w:t>
      </w:r>
      <w:r w:rsidR="00B373D1" w:rsidRPr="0007339D">
        <w:rPr>
          <w:rFonts w:ascii="微软雅黑" w:eastAsia="微软雅黑" w:hAnsi="微软雅黑"/>
          <w:sz w:val="24"/>
          <w:szCs w:val="24"/>
        </w:rPr>
        <w:t>OF</w:t>
      </w:r>
      <w:r w:rsidR="00B373D1" w:rsidRPr="0007339D">
        <w:rPr>
          <w:rFonts w:ascii="微软雅黑" w:eastAsia="微软雅黑" w:hAnsi="微软雅黑" w:hint="eastAsia"/>
          <w:sz w:val="24"/>
          <w:szCs w:val="24"/>
        </w:rPr>
        <w:t>投资等多项服务，</w:t>
      </w:r>
      <w:r w:rsidRPr="0007339D">
        <w:rPr>
          <w:rFonts w:ascii="微软雅黑" w:eastAsia="微软雅黑" w:hAnsi="微软雅黑" w:hint="eastAsia"/>
          <w:sz w:val="24"/>
          <w:szCs w:val="24"/>
        </w:rPr>
        <w:t>并为国内金融行业机构提供咨询服务。</w:t>
      </w:r>
    </w:p>
    <w:sectPr w:rsidR="00765BB7" w:rsidRPr="00073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Yahei">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5B2D"/>
    <w:multiLevelType w:val="hybridMultilevel"/>
    <w:tmpl w:val="174298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8504959"/>
    <w:multiLevelType w:val="hybridMultilevel"/>
    <w:tmpl w:val="3F4008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AB94238"/>
    <w:multiLevelType w:val="multilevel"/>
    <w:tmpl w:val="505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06960"/>
    <w:multiLevelType w:val="hybridMultilevel"/>
    <w:tmpl w:val="F5E4C842"/>
    <w:lvl w:ilvl="0" w:tplc="08F4B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852E0F"/>
    <w:multiLevelType w:val="hybridMultilevel"/>
    <w:tmpl w:val="DADCA3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E2844A1"/>
    <w:multiLevelType w:val="hybridMultilevel"/>
    <w:tmpl w:val="13C82B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3E"/>
    <w:rsid w:val="0007339D"/>
    <w:rsid w:val="000C563E"/>
    <w:rsid w:val="000E1473"/>
    <w:rsid w:val="001862C3"/>
    <w:rsid w:val="0021228B"/>
    <w:rsid w:val="002939F2"/>
    <w:rsid w:val="00327C19"/>
    <w:rsid w:val="003E3A88"/>
    <w:rsid w:val="0046291A"/>
    <w:rsid w:val="004A047C"/>
    <w:rsid w:val="006173D8"/>
    <w:rsid w:val="00670252"/>
    <w:rsid w:val="007425BE"/>
    <w:rsid w:val="00765BB7"/>
    <w:rsid w:val="0079704B"/>
    <w:rsid w:val="00851359"/>
    <w:rsid w:val="00907824"/>
    <w:rsid w:val="00913B76"/>
    <w:rsid w:val="009473DF"/>
    <w:rsid w:val="00B24485"/>
    <w:rsid w:val="00B373D1"/>
    <w:rsid w:val="00B92B49"/>
    <w:rsid w:val="00C9671F"/>
    <w:rsid w:val="00CD6BFF"/>
    <w:rsid w:val="00DD0DF1"/>
    <w:rsid w:val="00E54DBD"/>
    <w:rsid w:val="00F61D5C"/>
    <w:rsid w:val="00F80F82"/>
    <w:rsid w:val="00FB6BB8"/>
    <w:rsid w:val="00FF4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AE8C"/>
  <w15:chartTrackingRefBased/>
  <w15:docId w15:val="{EA0EC5BC-721A-4246-97A2-427F0346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4">
    <w:name w:val="heading 4"/>
    <w:basedOn w:val="Normal"/>
    <w:link w:val="Heading4Char"/>
    <w:uiPriority w:val="9"/>
    <w:qFormat/>
    <w:rsid w:val="000E14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D5C"/>
    <w:pPr>
      <w:ind w:firstLineChars="200" w:firstLine="420"/>
    </w:pPr>
  </w:style>
  <w:style w:type="character" w:customStyle="1" w:styleId="Heading4Char">
    <w:name w:val="Heading 4 Char"/>
    <w:basedOn w:val="DefaultParagraphFont"/>
    <w:link w:val="Heading4"/>
    <w:uiPriority w:val="9"/>
    <w:rsid w:val="000E1473"/>
    <w:rPr>
      <w:rFonts w:ascii="宋体" w:eastAsia="宋体" w:hAnsi="宋体" w:cs="宋体"/>
      <w:b/>
      <w:bCs/>
      <w:kern w:val="0"/>
      <w:sz w:val="24"/>
      <w:szCs w:val="24"/>
    </w:rPr>
  </w:style>
  <w:style w:type="character" w:styleId="Hyperlink">
    <w:name w:val="Hyperlink"/>
    <w:basedOn w:val="DefaultParagraphFont"/>
    <w:uiPriority w:val="99"/>
    <w:unhideWhenUsed/>
    <w:rsid w:val="00FF49C6"/>
    <w:rPr>
      <w:color w:val="0563C1" w:themeColor="hyperlink"/>
      <w:u w:val="single"/>
    </w:rPr>
  </w:style>
  <w:style w:type="character" w:styleId="UnresolvedMention">
    <w:name w:val="Unresolved Mention"/>
    <w:basedOn w:val="DefaultParagraphFont"/>
    <w:uiPriority w:val="99"/>
    <w:semiHidden/>
    <w:unhideWhenUsed/>
    <w:rsid w:val="00FF49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3081">
      <w:bodyDiv w:val="1"/>
      <w:marLeft w:val="0"/>
      <w:marRight w:val="0"/>
      <w:marTop w:val="0"/>
      <w:marBottom w:val="0"/>
      <w:divBdr>
        <w:top w:val="none" w:sz="0" w:space="0" w:color="auto"/>
        <w:left w:val="none" w:sz="0" w:space="0" w:color="auto"/>
        <w:bottom w:val="none" w:sz="0" w:space="0" w:color="auto"/>
        <w:right w:val="none" w:sz="0" w:space="0" w:color="auto"/>
      </w:divBdr>
    </w:div>
    <w:div w:id="1989241090">
      <w:bodyDiv w:val="1"/>
      <w:marLeft w:val="0"/>
      <w:marRight w:val="0"/>
      <w:marTop w:val="0"/>
      <w:marBottom w:val="0"/>
      <w:divBdr>
        <w:top w:val="none" w:sz="0" w:space="0" w:color="auto"/>
        <w:left w:val="none" w:sz="0" w:space="0" w:color="auto"/>
        <w:bottom w:val="none" w:sz="0" w:space="0" w:color="auto"/>
        <w:right w:val="none" w:sz="0" w:space="0" w:color="auto"/>
      </w:divBdr>
    </w:div>
    <w:div w:id="20419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cn-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5</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Zhong</dc:creator>
  <cp:keywords/>
  <dc:description/>
  <cp:lastModifiedBy>Yu Zhong</cp:lastModifiedBy>
  <cp:revision>6</cp:revision>
  <dcterms:created xsi:type="dcterms:W3CDTF">2017-12-20T02:35:00Z</dcterms:created>
  <dcterms:modified xsi:type="dcterms:W3CDTF">2018-01-04T06:35:00Z</dcterms:modified>
</cp:coreProperties>
</file>