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75288" w14:textId="77777777" w:rsidR="00E71D30" w:rsidRDefault="00000000">
      <w:pPr>
        <w:shd w:val="clear" w:color="auto" w:fill="000000"/>
        <w:jc w:val="center"/>
      </w:pPr>
      <w:r>
        <w:rPr>
          <w:b/>
          <w:bCs/>
          <w:color w:val="FFFFFF"/>
          <w:sz w:val="24"/>
          <w:szCs w:val="24"/>
        </w:rPr>
        <w:t>CADEIRA DE FINTECH</w:t>
      </w:r>
    </w:p>
    <w:p w14:paraId="644610A2" w14:textId="77777777" w:rsidR="00E71D30" w:rsidRDefault="00000000">
      <w:pPr>
        <w:pBdr>
          <w:bottom w:val="single" w:sz="4" w:space="0" w:color="000000"/>
        </w:pBdr>
        <w:shd w:val="clear" w:color="auto" w:fill="F0F0F0"/>
        <w:jc w:val="center"/>
      </w:pPr>
      <w:r>
        <w:rPr>
          <w:b/>
          <w:bCs/>
          <w:color w:val="000000"/>
          <w:sz w:val="21"/>
          <w:szCs w:val="21"/>
        </w:rPr>
        <w:t>TRABALHO INDIVIDUAL</w:t>
      </w:r>
    </w:p>
    <w:p w14:paraId="6EF8FFE6" w14:textId="77777777" w:rsidR="00E71D30" w:rsidRDefault="00E71D30"/>
    <w:p w14:paraId="617E0DB8" w14:textId="77777777" w:rsidR="00E71D30" w:rsidRDefault="00E71D30"/>
    <w:p w14:paraId="3BE12CBA" w14:textId="77777777" w:rsidR="00E71D30" w:rsidRDefault="00E71D30"/>
    <w:p w14:paraId="487DB017" w14:textId="77777777" w:rsidR="00E71D30" w:rsidRDefault="00000000">
      <w:pPr>
        <w:spacing w:after="50" w:line="280" w:lineRule="auto"/>
        <w:jc w:val="center"/>
      </w:pPr>
      <w:r>
        <w:rPr>
          <w:b/>
          <w:bCs/>
          <w:color w:val="000000"/>
          <w:sz w:val="50"/>
          <w:szCs w:val="50"/>
        </w:rPr>
        <w:t>Gémeo Digital do Tiago Rodrigues</w:t>
      </w:r>
    </w:p>
    <w:p w14:paraId="18D93800" w14:textId="77777777" w:rsidR="00E71D30" w:rsidRDefault="00000000">
      <w:pPr>
        <w:spacing w:after="20" w:line="280" w:lineRule="auto"/>
        <w:jc w:val="center"/>
      </w:pPr>
      <w:r>
        <w:rPr>
          <w:i/>
          <w:iCs/>
          <w:sz w:val="24"/>
          <w:szCs w:val="24"/>
        </w:rPr>
        <w:t>Agente de inteligência artificial com supervisão</w:t>
      </w:r>
    </w:p>
    <w:p w14:paraId="60462314" w14:textId="77777777" w:rsidR="00E71D30" w:rsidRDefault="00000000">
      <w:pPr>
        <w:spacing w:after="160" w:line="280" w:lineRule="auto"/>
        <w:jc w:val="center"/>
      </w:pPr>
      <w:r>
        <w:rPr>
          <w:i/>
          <w:iCs/>
          <w:sz w:val="24"/>
          <w:szCs w:val="24"/>
        </w:rPr>
        <w:t>ética e psicológica aplicado ao domínio fintech</w:t>
      </w:r>
    </w:p>
    <w:p w14:paraId="7DBC9040" w14:textId="77777777" w:rsidR="00E71D30" w:rsidRDefault="00000000">
      <w:pPr>
        <w:pBdr>
          <w:top w:val="single" w:sz="4" w:space="0" w:color="000000"/>
          <w:bottom w:val="single" w:sz="4" w:space="0" w:color="000000"/>
        </w:pBdr>
        <w:shd w:val="clear" w:color="auto" w:fill="F0F0F0"/>
        <w:jc w:val="center"/>
      </w:pPr>
      <w:r>
        <w:rPr>
          <w:b/>
          <w:bCs/>
          <w:color w:val="000000"/>
        </w:rPr>
        <w:t>RELATÓRIO FINAL</w:t>
      </w:r>
    </w:p>
    <w:p w14:paraId="45F6ED39" w14:textId="77777777" w:rsidR="00E71D30" w:rsidRDefault="00E71D30"/>
    <w:p w14:paraId="2CF774DB" w14:textId="77777777" w:rsidR="00E71D30" w:rsidRDefault="00E71D30"/>
    <w:p w14:paraId="2C4AC489" w14:textId="77777777" w:rsidR="00E71D30" w:rsidRDefault="00E71D30"/>
    <w:p w14:paraId="4B62807A" w14:textId="77777777" w:rsidR="00E71D30" w:rsidRDefault="00000000">
      <w:pPr>
        <w:spacing w:after="30" w:line="280" w:lineRule="auto"/>
        <w:jc w:val="center"/>
      </w:pPr>
      <w:r>
        <w:rPr>
          <w:b/>
          <w:bCs/>
          <w:color w:val="000000"/>
          <w:sz w:val="21"/>
          <w:szCs w:val="21"/>
        </w:rPr>
        <w:t>Autor</w:t>
      </w:r>
    </w:p>
    <w:p w14:paraId="1CE7B7D1" w14:textId="77777777" w:rsidR="00E71D30" w:rsidRDefault="00000000">
      <w:pPr>
        <w:spacing w:after="100" w:line="280" w:lineRule="auto"/>
        <w:jc w:val="center"/>
      </w:pPr>
      <w:r>
        <w:rPr>
          <w:sz w:val="21"/>
          <w:szCs w:val="21"/>
        </w:rPr>
        <w:t>Tiago Simões Rodrigues  |  2022138676</w:t>
      </w:r>
    </w:p>
    <w:p w14:paraId="00838B32" w14:textId="77777777" w:rsidR="00E71D30" w:rsidRDefault="00E71D30"/>
    <w:p w14:paraId="517FAE77" w14:textId="77777777" w:rsidR="00E71D30" w:rsidRDefault="00E71D30"/>
    <w:p w14:paraId="2A54F901" w14:textId="77777777" w:rsidR="00E71D30" w:rsidRDefault="00000000">
      <w:pPr>
        <w:spacing w:line="280" w:lineRule="auto"/>
        <w:jc w:val="center"/>
      </w:pPr>
      <w:r>
        <w:rPr>
          <w:color w:val="555555"/>
          <w:sz w:val="21"/>
          <w:szCs w:val="21"/>
        </w:rPr>
        <w:t>Maio de 2026</w:t>
      </w:r>
    </w:p>
    <w:p w14:paraId="18E15E47" w14:textId="77777777" w:rsidR="00E71D30" w:rsidRDefault="00000000">
      <w:r>
        <w:br/>
      </w:r>
      <w:r>
        <w:br w:type="page"/>
      </w:r>
    </w:p>
    <w:p w14:paraId="18EA8524" w14:textId="77777777" w:rsidR="00E71D30" w:rsidRDefault="00000000">
      <w:pPr>
        <w:spacing w:after="80" w:line="280" w:lineRule="auto"/>
      </w:pPr>
      <w:r>
        <w:rPr>
          <w:b/>
          <w:bCs/>
          <w:color w:val="000000"/>
          <w:sz w:val="24"/>
          <w:szCs w:val="24"/>
        </w:rPr>
        <w:lastRenderedPageBreak/>
        <w:t>Índice</w:t>
      </w:r>
    </w:p>
    <w:p w14:paraId="78026428" w14:textId="77777777" w:rsidR="00E71D30" w:rsidRDefault="00E71D30">
      <w:pPr>
        <w:pBdr>
          <w:bottom w:val="single" w:sz="6" w:space="1" w:color="000000"/>
        </w:pBdr>
        <w:spacing w:after="60"/>
      </w:pPr>
    </w:p>
    <w:p w14:paraId="0EC94793" w14:textId="77777777" w:rsidR="00E71D30" w:rsidRDefault="00000000">
      <w:pPr>
        <w:tabs>
          <w:tab w:val="right" w:leader="dot" w:pos="8600"/>
        </w:tabs>
        <w:spacing w:before="46" w:after="46"/>
      </w:pPr>
      <w:r>
        <w:t>1. Introdução e enquadramento</w:t>
      </w:r>
      <w:r>
        <w:tab/>
        <w:t>2</w:t>
      </w:r>
    </w:p>
    <w:p w14:paraId="5ACB7B63" w14:textId="77777777" w:rsidR="00E71D30" w:rsidRDefault="00000000">
      <w:pPr>
        <w:tabs>
          <w:tab w:val="right" w:leader="dot" w:pos="8600"/>
        </w:tabs>
        <w:spacing w:before="46" w:after="46"/>
      </w:pPr>
      <w:r>
        <w:t>2. Fundamentos teóricos do Gémeo Digital</w:t>
      </w:r>
      <w:r>
        <w:tab/>
        <w:t>2</w:t>
      </w:r>
    </w:p>
    <w:p w14:paraId="4B496C84" w14:textId="54A2AB54" w:rsidR="00E71D30" w:rsidRDefault="00000000">
      <w:pPr>
        <w:tabs>
          <w:tab w:val="right" w:leader="dot" w:pos="8600"/>
        </w:tabs>
        <w:spacing w:before="46" w:after="46"/>
      </w:pPr>
      <w:r>
        <w:t>3. Arquitetura multi-agente</w:t>
      </w:r>
      <w:r>
        <w:tab/>
        <w:t>3</w:t>
      </w:r>
    </w:p>
    <w:p w14:paraId="5AD4DED7" w14:textId="77777777" w:rsidR="00E71D30" w:rsidRDefault="00000000">
      <w:pPr>
        <w:tabs>
          <w:tab w:val="right" w:leader="dot" w:pos="8600"/>
        </w:tabs>
        <w:spacing w:before="46" w:after="46"/>
      </w:pPr>
      <w:r>
        <w:t>4. Pilar normativo — supervisão ética</w:t>
      </w:r>
      <w:r>
        <w:tab/>
        <w:t>4</w:t>
      </w:r>
    </w:p>
    <w:p w14:paraId="3375C49C" w14:textId="77777777" w:rsidR="00E71D30" w:rsidRDefault="00000000">
      <w:pPr>
        <w:tabs>
          <w:tab w:val="right" w:leader="dot" w:pos="8600"/>
        </w:tabs>
        <w:spacing w:before="46" w:after="46"/>
      </w:pPr>
      <w:r>
        <w:t>5. Pilar comportamental — supervisão psicológica</w:t>
      </w:r>
      <w:r>
        <w:tab/>
        <w:t>5</w:t>
      </w:r>
    </w:p>
    <w:p w14:paraId="48045ABB" w14:textId="77777777" w:rsidR="00E71D30" w:rsidRDefault="00000000">
      <w:pPr>
        <w:tabs>
          <w:tab w:val="right" w:leader="dot" w:pos="8600"/>
        </w:tabs>
        <w:spacing w:before="46" w:after="46"/>
      </w:pPr>
      <w:r>
        <w:t>6. Aplicação ao domínio fintech</w:t>
      </w:r>
      <w:r>
        <w:tab/>
        <w:t>6</w:t>
      </w:r>
    </w:p>
    <w:p w14:paraId="6A198B67" w14:textId="77777777" w:rsidR="00E71D30" w:rsidRDefault="00000000">
      <w:pPr>
        <w:tabs>
          <w:tab w:val="right" w:leader="dot" w:pos="8600"/>
        </w:tabs>
        <w:spacing w:before="46" w:after="46"/>
      </w:pPr>
      <w:r>
        <w:t>7. Implementação e deploy</w:t>
      </w:r>
      <w:r>
        <w:tab/>
        <w:t>6</w:t>
      </w:r>
    </w:p>
    <w:p w14:paraId="7105D597" w14:textId="77777777" w:rsidR="00E71D30" w:rsidRDefault="00000000">
      <w:pPr>
        <w:tabs>
          <w:tab w:val="right" w:leader="dot" w:pos="8600"/>
        </w:tabs>
        <w:spacing w:before="46" w:after="46"/>
      </w:pPr>
      <w:r>
        <w:t>8. Resultados e demonstração</w:t>
      </w:r>
      <w:r>
        <w:tab/>
        <w:t>7</w:t>
      </w:r>
    </w:p>
    <w:p w14:paraId="07E006A2" w14:textId="77777777" w:rsidR="00E71D30" w:rsidRDefault="00000000">
      <w:pPr>
        <w:tabs>
          <w:tab w:val="right" w:leader="dot" w:pos="8600"/>
        </w:tabs>
        <w:spacing w:before="46" w:after="46"/>
      </w:pPr>
      <w:r>
        <w:t>9. Limitações e trabalho futuro</w:t>
      </w:r>
      <w:r>
        <w:tab/>
        <w:t>8</w:t>
      </w:r>
    </w:p>
    <w:p w14:paraId="386B233C" w14:textId="77777777" w:rsidR="00E71D30" w:rsidRDefault="00000000">
      <w:pPr>
        <w:tabs>
          <w:tab w:val="right" w:leader="dot" w:pos="8600"/>
        </w:tabs>
        <w:spacing w:before="46" w:after="46"/>
      </w:pPr>
      <w:r>
        <w:t>10. Conclusão</w:t>
      </w:r>
      <w:r>
        <w:tab/>
        <w:t>8</w:t>
      </w:r>
    </w:p>
    <w:p w14:paraId="013378FC" w14:textId="77777777" w:rsidR="00E71D30" w:rsidRDefault="00000000">
      <w:pPr>
        <w:tabs>
          <w:tab w:val="right" w:leader="dot" w:pos="8600"/>
        </w:tabs>
        <w:spacing w:before="46" w:after="46"/>
      </w:pPr>
      <w:r>
        <w:t>11. Referências bibliográficas</w:t>
      </w:r>
      <w:r>
        <w:tab/>
        <w:t>9</w:t>
      </w:r>
    </w:p>
    <w:p w14:paraId="2EB51A43" w14:textId="77777777" w:rsidR="00E71D30" w:rsidRDefault="00000000">
      <w:r>
        <w:br/>
      </w:r>
      <w:r>
        <w:br w:type="page"/>
      </w:r>
    </w:p>
    <w:p w14:paraId="74BD5773" w14:textId="77777777" w:rsidR="00E71D30" w:rsidRDefault="00000000">
      <w:pPr>
        <w:pBdr>
          <w:bottom w:val="single" w:sz="8" w:space="2" w:color="000000"/>
        </w:pBdr>
        <w:spacing w:before="200" w:after="80"/>
      </w:pPr>
      <w:r>
        <w:rPr>
          <w:b/>
          <w:bCs/>
          <w:color w:val="000000"/>
          <w:sz w:val="26"/>
          <w:szCs w:val="26"/>
        </w:rPr>
        <w:lastRenderedPageBreak/>
        <w:t>1. Introdução e enquadramento</w:t>
      </w:r>
    </w:p>
    <w:p w14:paraId="1ED0DDB0" w14:textId="593A15A2" w:rsidR="00E71D30" w:rsidRDefault="00000000">
      <w:pPr>
        <w:spacing w:before="60" w:after="70" w:line="280" w:lineRule="auto"/>
        <w:jc w:val="both"/>
      </w:pPr>
      <w:r>
        <w:t>O setor fintech atravessa, em 2026, um momento de profunda transformação. A integração da inteligência artificial nos serviços financeiros já não é uma promessa</w:t>
      </w:r>
      <w:r w:rsidR="00DA33EB">
        <w:t xml:space="preserve">, </w:t>
      </w:r>
      <w:r>
        <w:t>é uma realidade quotidiana, com chatbots a responder a clientes de bancos, modelos de scoring a aprovar créditos e sistemas automatizados a gerir carteiras de investimento. Em paralelo, o quadro regulatório europeu intensificou-se: o EU AI Act entrou em plena aplicação, classificando os sistemas de IA em serviços financeiros como sendo de alto risco, e impondo requisitos rigorosos de transparência, supervisão humana e explicabilidade.</w:t>
      </w:r>
    </w:p>
    <w:p w14:paraId="4DD57165" w14:textId="2B0F2B9A" w:rsidR="00E71D30" w:rsidRDefault="00000000">
      <w:pPr>
        <w:spacing w:before="60" w:after="70" w:line="280" w:lineRule="auto"/>
        <w:jc w:val="both"/>
      </w:pPr>
      <w:r>
        <w:t>Neste contexto surgiu o presente projeto. A maioria dos chatbots financeiros disponíveis hoje opera sem identidade verificável, sem mecanismos activos de verificação normativa e sem qualquer adaptação ao perfil cognitivo do utilizador. Trata-se de uma lacuna que comporta riscos reais</w:t>
      </w:r>
      <w:r w:rsidR="00B92014">
        <w:t xml:space="preserve">, </w:t>
      </w:r>
      <w:r>
        <w:t>desde aconselhamento inadequado até manipulação inadvertida de utilizadores em situação de fragilidade financeira.</w:t>
      </w:r>
    </w:p>
    <w:p w14:paraId="106BFBF9" w14:textId="6AA4B38E" w:rsidR="00E71D30" w:rsidRDefault="00000000">
      <w:pPr>
        <w:spacing w:before="60" w:after="70" w:line="280" w:lineRule="auto"/>
        <w:jc w:val="both"/>
      </w:pPr>
      <w:r>
        <w:t>O Gémeo Digital de Tiago Rodrigues responde a esta lacuna com uma proposta concreta: um agente de inteligência artificial pessoal, construído a partir de um currículo real e documentado, que integra dois mecanismos de supervisão</w:t>
      </w:r>
      <w:r w:rsidR="00DA33EB">
        <w:t xml:space="preserve">, </w:t>
      </w:r>
      <w:r>
        <w:t>um normativo e um comportamental</w:t>
      </w:r>
      <w:r w:rsidR="00DA33EB">
        <w:t xml:space="preserve">, </w:t>
      </w:r>
      <w:r>
        <w:t>operacionais antes de cada resposta. O sistema está deployado publicamente em gemeo-digital.vercel.app e pode ser demonstrado em tempo real, sem custos de infraestrutura.</w:t>
      </w:r>
    </w:p>
    <w:p w14:paraId="19AE2F7D" w14:textId="6B4D67D3" w:rsidR="00E71D30" w:rsidRDefault="00000000">
      <w:pPr>
        <w:spacing w:before="60" w:after="70" w:line="280" w:lineRule="auto"/>
        <w:jc w:val="both"/>
      </w:pPr>
      <w:r>
        <w:t>O presente relatório descreve os fundamentos teóricos, a arquitetura, a implementação, os resultados obtidos e as limitações identificadas no projeto, no âmbito da cadeira de Fintech do curso de Ciência de Dados para a Gestão do ISCAC — Instituto Politécnico de Coimbra, 2025/2026.</w:t>
      </w:r>
    </w:p>
    <w:p w14:paraId="4A609272" w14:textId="77777777" w:rsidR="00E71D30" w:rsidRDefault="00000000">
      <w:pPr>
        <w:pBdr>
          <w:bottom w:val="single" w:sz="8" w:space="2" w:color="000000"/>
        </w:pBdr>
        <w:spacing w:before="200" w:after="80"/>
      </w:pPr>
      <w:r>
        <w:rPr>
          <w:b/>
          <w:bCs/>
          <w:color w:val="000000"/>
          <w:sz w:val="26"/>
          <w:szCs w:val="26"/>
        </w:rPr>
        <w:t>2. Fundamentos teóricos do Gémeo Digital</w:t>
      </w:r>
    </w:p>
    <w:p w14:paraId="75DEF68D" w14:textId="1394EC1C" w:rsidR="00E71D30" w:rsidRDefault="00000000">
      <w:pPr>
        <w:spacing w:before="60" w:after="70" w:line="280" w:lineRule="auto"/>
        <w:jc w:val="both"/>
      </w:pPr>
      <w:r>
        <w:t>O conceito de gémeo digital teve origem no contexto industrial, onde foi definido como uma representação virtual dinâmica de um sistema físico, sincronizada com este em tempo real (Grieves, 2014). A sua aplicação inicial foi na simulação de turbinas, motores e linhas de produção, permitindo prever falhas e otimizar desempenho.</w:t>
      </w:r>
    </w:p>
    <w:p w14:paraId="05A588F2" w14:textId="6444F677" w:rsidR="00E71D30" w:rsidRDefault="00000000">
      <w:pPr>
        <w:spacing w:before="60" w:after="70" w:line="280" w:lineRule="auto"/>
        <w:jc w:val="both"/>
      </w:pPr>
      <w:r>
        <w:t>Na última década, o conceito expandiu-se para domínios como a saúde</w:t>
      </w:r>
      <w:r w:rsidR="00DA33EB">
        <w:t xml:space="preserve">, </w:t>
      </w:r>
      <w:r>
        <w:t>onde se simulam órgãos para personalizar tratamentos</w:t>
      </w:r>
      <w:r w:rsidR="00DA33EB">
        <w:t>,</w:t>
      </w:r>
      <w:r>
        <w:t xml:space="preserve"> e mais recentemente para o domínio pessoal e organizacional. Um gémeo digital pessoal é uma representação computacional autorizada de uma pessoa, construída a partir do seu percurso, valores, conhecimentos e padrões de comunicação. Não substitui a pessoa real: atua como uma extensão coordenada do seu pensamento, em contextos onde a presença humana direta não é possível ou desejável.</w:t>
      </w:r>
    </w:p>
    <w:p w14:paraId="3A8359FF" w14:textId="08C1D1A0" w:rsidR="00E71D30" w:rsidRDefault="00000000">
      <w:pPr>
        <w:spacing w:before="60" w:after="70" w:line="280" w:lineRule="auto"/>
        <w:jc w:val="both"/>
      </w:pPr>
      <w:r>
        <w:t>A construção de um gémeo digital pessoal levanta três desafios fundamentais. O primeiro é o de identidade: garantir que o agente representa fielmente a pessoa real, sem inventar informação ou contradizer os seus valores. O segundo é o de responsabilidade: assegurar que o agente actua dentro de limites éticos e regulatórios, especialmente em domínios sensíveis como o financeiro. O terceiro é o de ada</w:t>
      </w:r>
      <w:r w:rsidR="00B92014">
        <w:t>p</w:t>
      </w:r>
      <w:r>
        <w:t>tação: comunicar de forma adequada ao estado cognitivo e emocional de cada utilizador, evitando manipulação e respeitando autonomia.</w:t>
      </w:r>
    </w:p>
    <w:p w14:paraId="5C205A4F" w14:textId="7F93895B" w:rsidR="00E71D30" w:rsidRDefault="00000000">
      <w:pPr>
        <w:spacing w:before="60" w:after="70" w:line="280" w:lineRule="auto"/>
        <w:jc w:val="both"/>
      </w:pPr>
      <w:r>
        <w:t>Este projeto responde aos três desafios através de uma arquitetura multi-agente, descrita na secção seguinte.</w:t>
      </w:r>
    </w:p>
    <w:p w14:paraId="60357E43" w14:textId="77777777" w:rsidR="00E71D30" w:rsidRDefault="00000000">
      <w:r>
        <w:br/>
      </w:r>
      <w:r>
        <w:br w:type="page"/>
      </w:r>
    </w:p>
    <w:p w14:paraId="7F39A9F3" w14:textId="245CC331" w:rsidR="00E71D30" w:rsidRDefault="00000000">
      <w:pPr>
        <w:pBdr>
          <w:bottom w:val="single" w:sz="8" w:space="2" w:color="000000"/>
        </w:pBdr>
        <w:spacing w:before="200" w:after="80"/>
      </w:pPr>
      <w:r>
        <w:rPr>
          <w:b/>
          <w:bCs/>
          <w:color w:val="000000"/>
          <w:sz w:val="26"/>
          <w:szCs w:val="26"/>
        </w:rPr>
        <w:lastRenderedPageBreak/>
        <w:t>3. Arquitetura multi-agente</w:t>
      </w:r>
    </w:p>
    <w:p w14:paraId="6239D8C5" w14:textId="5A097213" w:rsidR="00E71D30" w:rsidRDefault="00000000">
      <w:pPr>
        <w:spacing w:before="60" w:after="70" w:line="280" w:lineRule="auto"/>
        <w:jc w:val="both"/>
      </w:pPr>
      <w:r>
        <w:t>O sistema assenta numa arquitetura composta por um agente principal e dois subagentes especializados. Os três operam em sequência antes de cada resposta ser entregue ao utilizador.</w:t>
      </w:r>
    </w:p>
    <w:p w14:paraId="603DE364" w14:textId="7FF879A8" w:rsidR="00E71D30" w:rsidRDefault="00000000">
      <w:pPr>
        <w:spacing w:before="60" w:after="70" w:line="280" w:lineRule="auto"/>
        <w:jc w:val="both"/>
      </w:pPr>
      <w:r>
        <w:t>Agente principal</w:t>
      </w:r>
      <w:r w:rsidR="00B92014">
        <w:t xml:space="preserve">, </w:t>
      </w:r>
      <w:r>
        <w:t>Gémeo Digital. É o ponto único de contacto com o utilizador. Recebe o pedido, decide se deve consultar os subagentes, integra os pareceres recebidos e gera a resposta final. Está ancorado no perfil real e documentado de Tiago Rodrigues.</w:t>
      </w:r>
    </w:p>
    <w:p w14:paraId="41496DC3" w14:textId="70ADBFC4" w:rsidR="00E71D30" w:rsidRDefault="00000000">
      <w:pPr>
        <w:spacing w:before="60" w:after="70" w:line="280" w:lineRule="auto"/>
        <w:jc w:val="both"/>
      </w:pPr>
      <w:r>
        <w:t>Subagente de Ética e Moral. Especialista em conformidade normativa. Não comunica com o utilizador</w:t>
      </w:r>
      <w:r w:rsidR="00B92014">
        <w:t xml:space="preserve">, </w:t>
      </w:r>
      <w:r>
        <w:t>emite pareceres estruturados para o agente principal. Opera com base no quadro regulatório europeu aplicável a serviços financeiros.</w:t>
      </w:r>
    </w:p>
    <w:p w14:paraId="3904A409" w14:textId="77777777" w:rsidR="00E71D30" w:rsidRDefault="00000000">
      <w:pPr>
        <w:spacing w:before="60" w:after="70" w:line="280" w:lineRule="auto"/>
        <w:jc w:val="both"/>
      </w:pPr>
      <w:r>
        <w:t>Subagente de Psicologia Comportamental. Especialista em finanças comportamentais. Analisa o estado cognitivo e emocional do utilizador e fornece ao agente principal recomendações de adaptação comunicacional. Não efectua diagnósticos clínicos.</w:t>
      </w:r>
    </w:p>
    <w:p w14:paraId="0215D114" w14:textId="77777777" w:rsidR="00E71D30" w:rsidRDefault="00000000">
      <w:pPr>
        <w:spacing w:before="140" w:after="60"/>
      </w:pPr>
      <w:r>
        <w:rPr>
          <w:b/>
          <w:bCs/>
          <w:color w:val="000000"/>
        </w:rPr>
        <w:t>Fluxo de processamento de cada pedido</w:t>
      </w:r>
    </w:p>
    <w:p w14:paraId="1A029DA5" w14:textId="77777777" w:rsidR="00E71D30" w:rsidRDefault="00000000">
      <w:pPr>
        <w:spacing w:before="40" w:after="30" w:line="280" w:lineRule="auto"/>
        <w:jc w:val="both"/>
      </w:pPr>
      <w:r>
        <w:t>Para cada interacção, o sistema executa os seguintes passos, sem intervenção humana:</w:t>
      </w:r>
    </w:p>
    <w:p w14:paraId="71669151" w14:textId="77777777" w:rsidR="00E71D30" w:rsidRDefault="00000000">
      <w:pPr>
        <w:pStyle w:val="ListParagraph"/>
        <w:numPr>
          <w:ilvl w:val="0"/>
          <w:numId w:val="2"/>
        </w:numPr>
        <w:spacing w:before="50" w:after="50" w:line="280" w:lineRule="auto"/>
      </w:pPr>
      <w:r>
        <w:t>O utilizador envia uma pergunta através da dashboard.</w:t>
      </w:r>
    </w:p>
    <w:p w14:paraId="06E1C11F" w14:textId="77777777" w:rsidR="00E71D30" w:rsidRDefault="00000000">
      <w:pPr>
        <w:pStyle w:val="ListParagraph"/>
        <w:numPr>
          <w:ilvl w:val="0"/>
          <w:numId w:val="2"/>
        </w:numPr>
        <w:spacing w:before="50" w:after="50" w:line="280" w:lineRule="auto"/>
      </w:pPr>
      <w:r>
        <w:t>O agente principal recebe o pedido e identifica o domínio (fintech, currículo, apoio académico, etc.).</w:t>
      </w:r>
    </w:p>
    <w:p w14:paraId="1DBA7CEF" w14:textId="77777777" w:rsidR="00E71D30" w:rsidRDefault="00000000">
      <w:pPr>
        <w:pStyle w:val="ListParagraph"/>
        <w:numPr>
          <w:ilvl w:val="0"/>
          <w:numId w:val="2"/>
        </w:numPr>
        <w:spacing w:before="50" w:after="50" w:line="280" w:lineRule="auto"/>
      </w:pPr>
      <w:r>
        <w:t>Se o conteúdo for sensível (financeiro, dados pessoais, decisão de risco), o agente principal consulta os subagentes.</w:t>
      </w:r>
    </w:p>
    <w:p w14:paraId="165798EB" w14:textId="77777777" w:rsidR="00E71D30" w:rsidRDefault="00000000">
      <w:pPr>
        <w:pStyle w:val="ListParagraph"/>
        <w:numPr>
          <w:ilvl w:val="0"/>
          <w:numId w:val="2"/>
        </w:numPr>
        <w:spacing w:before="50" w:after="50" w:line="280" w:lineRule="auto"/>
      </w:pPr>
      <w:r>
        <w:t>O subagente de ética emite um veredicto: Aprovado, Aprovado com condições ou Vetado.</w:t>
      </w:r>
    </w:p>
    <w:p w14:paraId="39923CC6" w14:textId="77777777" w:rsidR="00E71D30" w:rsidRDefault="00000000">
      <w:pPr>
        <w:pStyle w:val="ListParagraph"/>
        <w:numPr>
          <w:ilvl w:val="0"/>
          <w:numId w:val="2"/>
        </w:numPr>
        <w:spacing w:before="50" w:after="50" w:line="280" w:lineRule="auto"/>
      </w:pPr>
      <w:r>
        <w:t>O subagente de psicologia analisa o estado emocional provável e sugere adaptações de tom.</w:t>
      </w:r>
    </w:p>
    <w:p w14:paraId="3A3243C2" w14:textId="77777777" w:rsidR="00E71D30" w:rsidRDefault="00000000">
      <w:pPr>
        <w:pStyle w:val="ListParagraph"/>
        <w:numPr>
          <w:ilvl w:val="0"/>
          <w:numId w:val="2"/>
        </w:numPr>
        <w:spacing w:before="50" w:after="50" w:line="280" w:lineRule="auto"/>
      </w:pPr>
      <w:r>
        <w:t>O agente principal integra os pareceres e gera a resposta final.</w:t>
      </w:r>
    </w:p>
    <w:p w14:paraId="355E3C6C" w14:textId="77777777" w:rsidR="00E71D30" w:rsidRDefault="00000000">
      <w:pPr>
        <w:pStyle w:val="ListParagraph"/>
        <w:numPr>
          <w:ilvl w:val="0"/>
          <w:numId w:val="2"/>
        </w:numPr>
        <w:spacing w:before="50" w:after="50" w:line="280" w:lineRule="auto"/>
      </w:pPr>
      <w:r>
        <w:t>A resposta é entregue ao utilizador com uma faixa de validação visual: verde, amarela ou vermelha.</w:t>
      </w:r>
    </w:p>
    <w:p w14:paraId="7B40D7FE" w14:textId="77777777" w:rsidR="00E71D30" w:rsidRDefault="00000000">
      <w:pPr>
        <w:spacing w:before="140" w:after="60"/>
      </w:pPr>
      <w:r>
        <w:rPr>
          <w:b/>
          <w:bCs/>
          <w:color w:val="000000"/>
        </w:rPr>
        <w:t>Perfil base do agente principal</w:t>
      </w:r>
    </w:p>
    <w:p w14:paraId="01AB2689" w14:textId="77777777" w:rsidR="00E71D30" w:rsidRDefault="00000000">
      <w:pPr>
        <w:spacing w:before="40" w:after="30" w:line="280" w:lineRule="auto"/>
        <w:jc w:val="both"/>
      </w:pPr>
      <w:r>
        <w:t>O agente principal opera com base estritamente no seguinte perfil. Qualquer informação fora desta base é identificada como sugestão ou opinião fundamentada, nunca como facto: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E71D30" w14:paraId="3AA438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F2019B" w14:textId="77777777" w:rsidR="00E71D30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Dimensão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3454C0" w14:textId="77777777" w:rsidR="00E71D30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Informação</w:t>
            </w:r>
          </w:p>
        </w:tc>
      </w:tr>
      <w:tr w:rsidR="00E71D30" w14:paraId="38D04E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182572" w14:textId="77777777" w:rsidR="00E71D30" w:rsidRDefault="00000000">
            <w:pPr>
              <w:spacing w:line="280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Formação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6160EE" w14:textId="77777777" w:rsidR="00E71D30" w:rsidRDefault="00000000">
            <w:pPr>
              <w:spacing w:line="280" w:lineRule="auto"/>
              <w:jc w:val="both"/>
            </w:pPr>
            <w:r>
              <w:rPr>
                <w:sz w:val="20"/>
                <w:szCs w:val="20"/>
              </w:rPr>
              <w:t>Ciência de Dados para a Gestão, 2.º ano, ISCAC/IPC (2023–presente). Ens. Sec. Fernando Namora — média 15 (2019–2022).</w:t>
            </w:r>
          </w:p>
        </w:tc>
      </w:tr>
      <w:tr w:rsidR="00E71D30" w14:paraId="37D59D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51D5ED" w14:textId="77777777" w:rsidR="00E71D30" w:rsidRDefault="00000000">
            <w:pPr>
              <w:spacing w:line="280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Experiência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88B6B2" w14:textId="77777777" w:rsidR="00E71D30" w:rsidRDefault="00000000">
            <w:pPr>
              <w:spacing w:line="280" w:lineRule="auto"/>
              <w:jc w:val="both"/>
            </w:pPr>
            <w:proofErr w:type="spellStart"/>
            <w:r w:rsidRPr="00DA33EB">
              <w:rPr>
                <w:sz w:val="20"/>
                <w:szCs w:val="20"/>
                <w:lang w:val="en-US"/>
              </w:rPr>
              <w:t>TeleMarketing</w:t>
            </w:r>
            <w:proofErr w:type="spellEnd"/>
            <w:r w:rsidRPr="00DA33EB">
              <w:rPr>
                <w:sz w:val="20"/>
                <w:szCs w:val="20"/>
                <w:lang w:val="en-US"/>
              </w:rPr>
              <w:t xml:space="preserve"> — Grupo </w:t>
            </w:r>
            <w:proofErr w:type="spellStart"/>
            <w:r w:rsidRPr="00DA33EB">
              <w:rPr>
                <w:sz w:val="20"/>
                <w:szCs w:val="20"/>
                <w:lang w:val="en-US"/>
              </w:rPr>
              <w:t>Litocar</w:t>
            </w:r>
            <w:proofErr w:type="spellEnd"/>
            <w:r w:rsidRPr="00DA33EB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DA33EB">
              <w:rPr>
                <w:sz w:val="20"/>
                <w:szCs w:val="20"/>
                <w:lang w:val="en-US"/>
              </w:rPr>
              <w:t>jan.</w:t>
            </w:r>
            <w:proofErr w:type="spellEnd"/>
            <w:r w:rsidRPr="00DA33EB">
              <w:rPr>
                <w:sz w:val="20"/>
                <w:szCs w:val="20"/>
                <w:lang w:val="en-US"/>
              </w:rPr>
              <w:t xml:space="preserve"> 2023 – abr. 2025). </w:t>
            </w:r>
            <w:r>
              <w:rPr>
                <w:sz w:val="20"/>
                <w:szCs w:val="20"/>
              </w:rPr>
              <w:t>Serviço de mesa — Assoc. Clube Condeixa (jul. 2022 – jul. 2024).</w:t>
            </w:r>
          </w:p>
        </w:tc>
      </w:tr>
      <w:tr w:rsidR="00E71D30" w14:paraId="31AE36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F82757" w14:textId="77777777" w:rsidR="00E71D30" w:rsidRDefault="00000000">
            <w:pPr>
              <w:spacing w:line="280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Competências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09FFFD" w14:textId="77777777" w:rsidR="00E71D30" w:rsidRDefault="00000000">
            <w:pPr>
              <w:spacing w:line="280" w:lineRule="auto"/>
              <w:jc w:val="both"/>
            </w:pPr>
            <w:r>
              <w:rPr>
                <w:sz w:val="20"/>
                <w:szCs w:val="20"/>
              </w:rPr>
              <w:t>Microsoft Office · Visual Studio · Radzen · PDF-XChange · Português (nativo) · Inglês.</w:t>
            </w:r>
          </w:p>
        </w:tc>
      </w:tr>
      <w:tr w:rsidR="00E71D30" w14:paraId="62CA11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5C397D" w14:textId="77777777" w:rsidR="00E71D30" w:rsidRDefault="00000000">
            <w:pPr>
              <w:spacing w:line="280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Desporto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1633B3" w14:textId="77777777" w:rsidR="00E71D30" w:rsidRDefault="00000000">
            <w:pPr>
              <w:spacing w:line="280" w:lineRule="auto"/>
              <w:jc w:val="both"/>
            </w:pPr>
            <w:r>
              <w:rPr>
                <w:sz w:val="20"/>
                <w:szCs w:val="20"/>
              </w:rPr>
              <w:t>Futebol federado (2009–presente): FADU/IPC, Campeonato Distrital de Coimbra, Supertaça, GD Sourense.</w:t>
            </w:r>
          </w:p>
        </w:tc>
      </w:tr>
      <w:tr w:rsidR="00E71D30" w14:paraId="0B4972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1B9808" w14:textId="77777777" w:rsidR="00E71D30" w:rsidRDefault="00000000">
            <w:pPr>
              <w:spacing w:line="280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Valores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A461D2" w14:textId="77777777" w:rsidR="00E71D30" w:rsidRDefault="00000000">
            <w:pPr>
              <w:spacing w:line="280" w:lineRule="auto"/>
              <w:jc w:val="both"/>
            </w:pPr>
            <w:r>
              <w:rPr>
                <w:sz w:val="20"/>
                <w:szCs w:val="20"/>
              </w:rPr>
              <w:t>Sinceridade · Humildade · Ambição · Determinação · Trabalho em equipa · Orientação para o cliente.</w:t>
            </w:r>
          </w:p>
        </w:tc>
      </w:tr>
    </w:tbl>
    <w:p w14:paraId="1BCBE74A" w14:textId="77777777" w:rsidR="00E71D30" w:rsidRDefault="00000000">
      <w:r>
        <w:br/>
      </w:r>
      <w:r>
        <w:br w:type="page"/>
      </w:r>
    </w:p>
    <w:p w14:paraId="7874C3E4" w14:textId="77777777" w:rsidR="00E71D30" w:rsidRDefault="00000000">
      <w:pPr>
        <w:pBdr>
          <w:bottom w:val="single" w:sz="8" w:space="2" w:color="000000"/>
        </w:pBdr>
        <w:spacing w:before="200" w:after="80"/>
      </w:pPr>
      <w:r>
        <w:rPr>
          <w:b/>
          <w:bCs/>
          <w:color w:val="000000"/>
          <w:sz w:val="26"/>
          <w:szCs w:val="26"/>
        </w:rPr>
        <w:lastRenderedPageBreak/>
        <w:t>4. Pilar normativo — supervisão ética</w:t>
      </w:r>
    </w:p>
    <w:p w14:paraId="328C0301" w14:textId="77777777" w:rsidR="00E71D30" w:rsidRDefault="00000000">
      <w:pPr>
        <w:spacing w:before="60" w:after="70" w:line="280" w:lineRule="auto"/>
        <w:jc w:val="both"/>
      </w:pPr>
      <w:r>
        <w:t>O subagente de ética e moral é o primeiro dos dois pilares de supervisão. A sua função é assegurar que cada resposta do sistema cumpre o quadro regulatório europeu aplicável a serviços financeiros e a sistemas de inteligência artificial, antes de chegar ao utilizador.</w:t>
      </w:r>
    </w:p>
    <w:p w14:paraId="405C1CE6" w14:textId="77777777" w:rsidR="00E71D30" w:rsidRDefault="00000000">
      <w:pPr>
        <w:spacing w:before="140" w:after="60"/>
      </w:pPr>
      <w:r>
        <w:rPr>
          <w:b/>
          <w:bCs/>
          <w:color w:val="000000"/>
        </w:rPr>
        <w:t>4.1 Quadro normativo de referência</w:t>
      </w:r>
    </w:p>
    <w:p w14:paraId="28CD6DBC" w14:textId="77777777" w:rsidR="00E71D30" w:rsidRDefault="00000000">
      <w:pPr>
        <w:spacing w:before="40" w:after="30" w:line="280" w:lineRule="auto"/>
        <w:jc w:val="both"/>
      </w:pPr>
      <w:r>
        <w:t>O subagente opera com base em cinco instrumentos normativos centrais: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E71D30" w14:paraId="11191C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F79864" w14:textId="77777777" w:rsidR="00E71D30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Norma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9E1F07" w14:textId="77777777" w:rsidR="00E71D30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Âmbito de aplicação</w:t>
            </w:r>
          </w:p>
        </w:tc>
      </w:tr>
      <w:tr w:rsidR="00E71D30" w14:paraId="434E76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5B7D0A" w14:textId="77777777" w:rsidR="00E71D30" w:rsidRDefault="00000000">
            <w:pPr>
              <w:spacing w:line="280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RGPD — Reg. 2016/679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D89810" w14:textId="77777777" w:rsidR="00E71D30" w:rsidRDefault="00000000">
            <w:pPr>
              <w:spacing w:line="280" w:lineRule="auto"/>
              <w:jc w:val="both"/>
            </w:pPr>
            <w:r>
              <w:rPr>
                <w:sz w:val="20"/>
                <w:szCs w:val="20"/>
              </w:rPr>
              <w:t>Protecção de dados pessoais, minimização de dados, consentimento e direito à explicação de decisões automatizadas (Art. 22).</w:t>
            </w:r>
          </w:p>
        </w:tc>
      </w:tr>
      <w:tr w:rsidR="00E71D30" w14:paraId="428D97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3174C3" w14:textId="77777777" w:rsidR="00E71D30" w:rsidRDefault="00000000">
            <w:pPr>
              <w:spacing w:line="280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EU AI Act — Reg. 2024/1689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593D32" w14:textId="77777777" w:rsidR="00E71D30" w:rsidRDefault="00000000">
            <w:pPr>
              <w:spacing w:line="280" w:lineRule="auto"/>
              <w:jc w:val="both"/>
            </w:pPr>
            <w:r>
              <w:rPr>
                <w:sz w:val="20"/>
                <w:szCs w:val="20"/>
              </w:rPr>
              <w:t>Sistemas de IA de alto risco em serviços financeiros: requisitos de transparência, supervisão humana, robustez técnica e gestão documentada de risco (Art. 9–15).</w:t>
            </w:r>
          </w:p>
        </w:tc>
      </w:tr>
      <w:tr w:rsidR="00E71D30" w14:paraId="739325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FEEDFA" w14:textId="77777777" w:rsidR="00E71D30" w:rsidRDefault="00000000">
            <w:pPr>
              <w:spacing w:line="280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MiFID II — Dir. 2014/65/UE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FC7EA3" w14:textId="77777777" w:rsidR="00E71D30" w:rsidRDefault="00000000">
            <w:pPr>
              <w:spacing w:line="280" w:lineRule="auto"/>
              <w:jc w:val="both"/>
            </w:pPr>
            <w:r>
              <w:rPr>
                <w:sz w:val="20"/>
                <w:szCs w:val="20"/>
              </w:rPr>
              <w:t>Adequação e conveniência de produtos de investimento ao perfil do cliente; obrigação de actuar no melhor interesse do cliente.</w:t>
            </w:r>
          </w:p>
        </w:tc>
      </w:tr>
      <w:tr w:rsidR="00E71D30" w14:paraId="0504D3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01919" w14:textId="77777777" w:rsidR="00E71D30" w:rsidRDefault="00000000">
            <w:pPr>
              <w:spacing w:line="280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PSD2 — Dir. 2015/2366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6FCC7E" w14:textId="77777777" w:rsidR="00E71D30" w:rsidRDefault="00000000">
            <w:pPr>
              <w:spacing w:line="280" w:lineRule="auto"/>
              <w:jc w:val="both"/>
            </w:pPr>
            <w:r>
              <w:rPr>
                <w:sz w:val="20"/>
                <w:szCs w:val="20"/>
              </w:rPr>
              <w:t>Protecção do consumidor em serviços de pagamento digitais e acesso regulado a dados de conta via Open Banking.</w:t>
            </w:r>
          </w:p>
        </w:tc>
      </w:tr>
      <w:tr w:rsidR="00E71D30" w14:paraId="1E9ECF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3AFA6F" w14:textId="77777777" w:rsidR="00E71D30" w:rsidRDefault="00000000">
            <w:pPr>
              <w:spacing w:line="280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AMLD6 — Dir. 2018/1673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A63DD4" w14:textId="77777777" w:rsidR="00E71D30" w:rsidRDefault="00000000">
            <w:pPr>
              <w:spacing w:line="280" w:lineRule="auto"/>
              <w:jc w:val="both"/>
            </w:pPr>
            <w:r>
              <w:rPr>
                <w:sz w:val="20"/>
                <w:szCs w:val="20"/>
              </w:rPr>
              <w:t>Prevenção do branqueamento de capitais e financiamento do terrorismo; obrigações KYC/AML; reporte de transacções suspeitas.</w:t>
            </w:r>
          </w:p>
        </w:tc>
      </w:tr>
    </w:tbl>
    <w:p w14:paraId="4D7CC1AF" w14:textId="77777777" w:rsidR="00E71D30" w:rsidRDefault="00E71D30"/>
    <w:p w14:paraId="461F4638" w14:textId="77777777" w:rsidR="00E71D30" w:rsidRDefault="00000000">
      <w:pPr>
        <w:spacing w:before="140" w:after="60"/>
      </w:pPr>
      <w:r>
        <w:rPr>
          <w:b/>
          <w:bCs/>
          <w:color w:val="000000"/>
        </w:rPr>
        <w:t>4.2 Veredictos e mecanismo de validação</w:t>
      </w:r>
    </w:p>
    <w:p w14:paraId="38D59E8C" w14:textId="77777777" w:rsidR="00E71D30" w:rsidRDefault="00000000">
      <w:pPr>
        <w:spacing w:before="40" w:after="30" w:line="280" w:lineRule="auto"/>
        <w:jc w:val="both"/>
      </w:pPr>
      <w:r>
        <w:t>Após análise da resposta proposta pelo agente principal, o subagente emite um de três veredictos possíveis:</w:t>
      </w:r>
    </w:p>
    <w:p w14:paraId="76303048" w14:textId="77777777" w:rsidR="00E71D30" w:rsidRDefault="00000000">
      <w:pPr>
        <w:pStyle w:val="ListParagraph"/>
        <w:numPr>
          <w:ilvl w:val="0"/>
          <w:numId w:val="2"/>
        </w:numPr>
        <w:spacing w:before="50" w:after="50" w:line="280" w:lineRule="auto"/>
      </w:pPr>
      <w:r>
        <w:t>Aprovado — a resposta está conforme e é entregue ao utilizador sem alterações. A faixa de validação na dashboard é verde.</w:t>
      </w:r>
    </w:p>
    <w:p w14:paraId="31B928AD" w14:textId="77777777" w:rsidR="00E71D30" w:rsidRDefault="00000000">
      <w:pPr>
        <w:pStyle w:val="ListParagraph"/>
        <w:numPr>
          <w:ilvl w:val="0"/>
          <w:numId w:val="2"/>
        </w:numPr>
        <w:spacing w:before="50" w:after="50" w:line="280" w:lineRule="auto"/>
      </w:pPr>
      <w:r>
        <w:t>Aprovado com condições — foram detectados riscos potenciais que exigem mitigação. A resposta é entregue com aviso visível e faixa amarela. Recomenda-se sempre a consulta de profissional qualificado.</w:t>
      </w:r>
    </w:p>
    <w:p w14:paraId="275A4BB1" w14:textId="77777777" w:rsidR="00E71D30" w:rsidRDefault="00000000">
      <w:pPr>
        <w:pStyle w:val="ListParagraph"/>
        <w:numPr>
          <w:ilvl w:val="0"/>
          <w:numId w:val="2"/>
        </w:numPr>
        <w:spacing w:before="50" w:after="50" w:line="280" w:lineRule="auto"/>
      </w:pPr>
      <w:r>
        <w:t>Vetado — foi detectada uma violação grave do quadro normativo. A resposta é bloqueada e o utilizador é informado em linguagem clara, sem exposição de detalhes técnicos sensíveis. A faixa é vermelha.</w:t>
      </w:r>
    </w:p>
    <w:p w14:paraId="4E168CC8" w14:textId="77777777" w:rsidR="00E71D30" w:rsidRDefault="00000000">
      <w:pPr>
        <w:spacing w:before="60" w:after="70" w:line="280" w:lineRule="auto"/>
        <w:jc w:val="both"/>
      </w:pPr>
      <w:r>
        <w:t>Um veredicto Vetado é absolutamente incontornável. O agente principal não pode sobrepô-lo em nenhuma circunstância — esta é uma das regras estruturais do sistema, alinhada com o princípio de supervisão humana exigido pelo EU AI Act.</w:t>
      </w:r>
    </w:p>
    <w:p w14:paraId="5223B96F" w14:textId="77777777" w:rsidR="00E71D30" w:rsidRDefault="00000000">
      <w:pPr>
        <w:spacing w:before="140" w:after="60"/>
      </w:pPr>
      <w:r>
        <w:rPr>
          <w:b/>
          <w:bCs/>
          <w:color w:val="000000"/>
        </w:rPr>
        <w:t>4.3 Condições de veto absoluto</w:t>
      </w:r>
    </w:p>
    <w:p w14:paraId="3F8DBCED" w14:textId="77777777" w:rsidR="00E71D30" w:rsidRDefault="00000000">
      <w:pPr>
        <w:spacing w:before="40" w:after="30" w:line="280" w:lineRule="auto"/>
        <w:jc w:val="both"/>
      </w:pPr>
      <w:r>
        <w:t>As seguintes situações conduzem sempre a um veredicto Vetado, sem possibilidade de mitigação:</w:t>
      </w:r>
    </w:p>
    <w:p w14:paraId="3B95B5A0" w14:textId="77777777" w:rsidR="00E71D30" w:rsidRDefault="00000000">
      <w:pPr>
        <w:pStyle w:val="ListParagraph"/>
        <w:numPr>
          <w:ilvl w:val="0"/>
          <w:numId w:val="2"/>
        </w:numPr>
        <w:spacing w:before="50" w:after="50" w:line="280" w:lineRule="auto"/>
      </w:pPr>
      <w:r>
        <w:t>Pedidos com características de evasão fiscal, fraude ou branqueamento de capitais.</w:t>
      </w:r>
    </w:p>
    <w:p w14:paraId="796599AE" w14:textId="77777777" w:rsidR="00E71D30" w:rsidRDefault="00000000">
      <w:pPr>
        <w:pStyle w:val="ListParagraph"/>
        <w:numPr>
          <w:ilvl w:val="0"/>
          <w:numId w:val="2"/>
        </w:numPr>
        <w:spacing w:before="50" w:after="50" w:line="280" w:lineRule="auto"/>
      </w:pPr>
      <w:r>
        <w:t>Utilização de características protegidas (raça, género, religião, orientação sexual) como critério primário de decisão.</w:t>
      </w:r>
    </w:p>
    <w:p w14:paraId="49C5B141" w14:textId="77777777" w:rsidR="00E71D30" w:rsidRDefault="00000000">
      <w:pPr>
        <w:pStyle w:val="ListParagraph"/>
        <w:numPr>
          <w:ilvl w:val="0"/>
          <w:numId w:val="2"/>
        </w:numPr>
        <w:spacing w:before="50" w:after="50" w:line="280" w:lineRule="auto"/>
      </w:pPr>
      <w:r>
        <w:t>Promessa explícita de lucros, rentabilidades ou resultados financeiros garantidos.</w:t>
      </w:r>
    </w:p>
    <w:p w14:paraId="402DECFF" w14:textId="77777777" w:rsidR="00E71D30" w:rsidRDefault="00000000">
      <w:pPr>
        <w:pStyle w:val="ListParagraph"/>
        <w:numPr>
          <w:ilvl w:val="0"/>
          <w:numId w:val="2"/>
        </w:numPr>
        <w:spacing w:before="50" w:after="50" w:line="280" w:lineRule="auto"/>
      </w:pPr>
      <w:r>
        <w:t>Tentativa de aceder ou expor dados pessoais privados que não pertençam ao perfil documentado.</w:t>
      </w:r>
    </w:p>
    <w:p w14:paraId="3CE9B912" w14:textId="77777777" w:rsidR="00E71D30" w:rsidRDefault="00000000">
      <w:pPr>
        <w:pStyle w:val="ListParagraph"/>
        <w:numPr>
          <w:ilvl w:val="0"/>
          <w:numId w:val="2"/>
        </w:numPr>
        <w:spacing w:before="50" w:after="50" w:line="280" w:lineRule="auto"/>
      </w:pPr>
      <w:r>
        <w:t>Evidência de manipulação ou pressão sobre o utilizador para tomar decisões irreversíveis.</w:t>
      </w:r>
    </w:p>
    <w:p w14:paraId="6D6DB77C" w14:textId="77777777" w:rsidR="00E71D30" w:rsidRDefault="00000000">
      <w:r>
        <w:br/>
      </w:r>
      <w:r>
        <w:br w:type="page"/>
      </w:r>
    </w:p>
    <w:p w14:paraId="252508FC" w14:textId="77777777" w:rsidR="00E71D30" w:rsidRDefault="00000000">
      <w:pPr>
        <w:pBdr>
          <w:bottom w:val="single" w:sz="8" w:space="2" w:color="000000"/>
        </w:pBdr>
        <w:spacing w:before="200" w:after="80"/>
      </w:pPr>
      <w:r>
        <w:rPr>
          <w:b/>
          <w:bCs/>
          <w:color w:val="000000"/>
          <w:sz w:val="26"/>
          <w:szCs w:val="26"/>
        </w:rPr>
        <w:lastRenderedPageBreak/>
        <w:t>5. Pilar comportamental — supervisão psicológica</w:t>
      </w:r>
    </w:p>
    <w:p w14:paraId="18D6659E" w14:textId="77777777" w:rsidR="00E71D30" w:rsidRDefault="00000000">
      <w:pPr>
        <w:spacing w:before="60" w:after="70" w:line="280" w:lineRule="auto"/>
        <w:jc w:val="both"/>
      </w:pPr>
      <w:r>
        <w:t>O segundo pilar de supervisão é o subagente de psicologia comportamental. A sua função é analisar o estado cognitivo e emocional provável do utilizador e fornecer ao agente principal recomendações de adaptação da resposta. O objectivo é facilitar a autonomia decisional do utilizador, nunca substituí-la nem manipulá-la em benefício de terceiros.</w:t>
      </w:r>
    </w:p>
    <w:p w14:paraId="74052F78" w14:textId="77777777" w:rsidR="00E71D30" w:rsidRDefault="00000000">
      <w:pPr>
        <w:spacing w:before="140" w:after="60"/>
      </w:pPr>
      <w:r>
        <w:rPr>
          <w:b/>
          <w:bCs/>
          <w:color w:val="000000"/>
        </w:rPr>
        <w:t>5.1 Fundamentos teóricos</w:t>
      </w:r>
    </w:p>
    <w:p w14:paraId="05FAFCF8" w14:textId="77777777" w:rsidR="00E71D30" w:rsidRDefault="00000000">
      <w:pPr>
        <w:spacing w:before="40" w:after="30" w:line="280" w:lineRule="auto"/>
        <w:jc w:val="both"/>
      </w:pPr>
      <w:r>
        <w:t>O subagente assenta em três quadros teóricos consolidados nas finanças comportamentais e na psicologia da decisão: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26"/>
      </w:tblGrid>
      <w:tr w:rsidR="00E71D30" w14:paraId="371BBF3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C758A4" w14:textId="77777777" w:rsidR="00E71D30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Autor / Obra</w:t>
            </w:r>
          </w:p>
        </w:tc>
        <w:tc>
          <w:tcPr>
            <w:tcW w:w="6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A034F0" w14:textId="77777777" w:rsidR="00E71D30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Contributo</w:t>
            </w:r>
          </w:p>
        </w:tc>
      </w:tr>
      <w:tr w:rsidR="00E71D30" w14:paraId="5874D85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838DA0" w14:textId="77777777" w:rsidR="00E71D30" w:rsidRDefault="00000000">
            <w:pPr>
              <w:spacing w:line="280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Kahneman &amp; Tversky (1979) — Prospect Theory</w:t>
            </w:r>
          </w:p>
        </w:tc>
        <w:tc>
          <w:tcPr>
            <w:tcW w:w="6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DD1B80" w14:textId="77777777" w:rsidR="00E71D30" w:rsidRDefault="00000000">
            <w:pPr>
              <w:spacing w:line="280" w:lineRule="auto"/>
              <w:jc w:val="both"/>
            </w:pPr>
            <w:r>
              <w:rPr>
                <w:sz w:val="20"/>
                <w:szCs w:val="20"/>
              </w:rPr>
              <w:t>Aversão à perda assimétrica, framing effects, distorção de pesos de probabilidade.</w:t>
            </w:r>
          </w:p>
        </w:tc>
      </w:tr>
      <w:tr w:rsidR="00E71D30" w14:paraId="14467AF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9B5499" w14:textId="77777777" w:rsidR="00E71D30" w:rsidRPr="00DA33EB" w:rsidRDefault="00000000">
            <w:pPr>
              <w:spacing w:line="280" w:lineRule="auto"/>
              <w:jc w:val="both"/>
              <w:rPr>
                <w:lang w:val="en-US"/>
              </w:rPr>
            </w:pPr>
            <w:r w:rsidRPr="00DA33EB">
              <w:rPr>
                <w:b/>
                <w:bCs/>
                <w:sz w:val="20"/>
                <w:szCs w:val="20"/>
                <w:lang w:val="en-US"/>
              </w:rPr>
              <w:t>Deci &amp; Ryan (</w:t>
            </w:r>
            <w:proofErr w:type="gramStart"/>
            <w:r w:rsidRPr="00DA33EB">
              <w:rPr>
                <w:b/>
                <w:bCs/>
                <w:sz w:val="20"/>
                <w:szCs w:val="20"/>
                <w:lang w:val="en-US"/>
              </w:rPr>
              <w:t>1985) —</w:t>
            </w:r>
            <w:proofErr w:type="gramEnd"/>
            <w:r w:rsidRPr="00DA33EB">
              <w:rPr>
                <w:b/>
                <w:bCs/>
                <w:sz w:val="20"/>
                <w:szCs w:val="20"/>
                <w:lang w:val="en-US"/>
              </w:rPr>
              <w:t xml:space="preserve"> Self-Determination Theory</w:t>
            </w:r>
          </w:p>
        </w:tc>
        <w:tc>
          <w:tcPr>
            <w:tcW w:w="6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093BC4" w14:textId="77777777" w:rsidR="00E71D30" w:rsidRDefault="00000000">
            <w:pPr>
              <w:spacing w:line="280" w:lineRule="auto"/>
              <w:jc w:val="both"/>
            </w:pPr>
            <w:r>
              <w:rPr>
                <w:sz w:val="20"/>
                <w:szCs w:val="20"/>
              </w:rPr>
              <w:t>Importância da autonomia decisional e da motivação intrínseca; linguagem autonomia-suportativa.</w:t>
            </w:r>
          </w:p>
        </w:tc>
      </w:tr>
      <w:tr w:rsidR="00E71D30" w14:paraId="35E5FA3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E70D86" w14:textId="77777777" w:rsidR="00E71D30" w:rsidRDefault="00000000">
            <w:pPr>
              <w:spacing w:line="280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Thaler &amp; Sunstein (2008) — Nudge</w:t>
            </w:r>
          </w:p>
        </w:tc>
        <w:tc>
          <w:tcPr>
            <w:tcW w:w="6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FEB156" w14:textId="376A3338" w:rsidR="00E71D30" w:rsidRDefault="00000000">
            <w:pPr>
              <w:spacing w:line="280" w:lineRule="auto"/>
              <w:jc w:val="both"/>
            </w:pPr>
            <w:r>
              <w:rPr>
                <w:sz w:val="20"/>
                <w:szCs w:val="20"/>
              </w:rPr>
              <w:t>Arquitetura de escolha ética; uso de defaults e framing positivo para benefício do utilizador.</w:t>
            </w:r>
          </w:p>
        </w:tc>
      </w:tr>
    </w:tbl>
    <w:p w14:paraId="52BC34B8" w14:textId="77777777" w:rsidR="00E71D30" w:rsidRDefault="00E71D30"/>
    <w:p w14:paraId="193F478B" w14:textId="77777777" w:rsidR="00E71D30" w:rsidRDefault="00000000">
      <w:pPr>
        <w:spacing w:before="140" w:after="60"/>
      </w:pPr>
      <w:r>
        <w:rPr>
          <w:b/>
          <w:bCs/>
          <w:color w:val="000000"/>
        </w:rPr>
        <w:t>5.2 Enviesamentos cognitivos detectados</w:t>
      </w:r>
    </w:p>
    <w:p w14:paraId="2BA86B06" w14:textId="77777777" w:rsidR="00E71D30" w:rsidRDefault="00000000">
      <w:pPr>
        <w:spacing w:before="40" w:after="30" w:line="280" w:lineRule="auto"/>
        <w:jc w:val="both"/>
      </w:pPr>
      <w:r>
        <w:t>Em contexto financeiro, o subagente está calibrado para identificar os seguintes enviesamentos a partir do conteúdo e tom da mensagem:</w:t>
      </w:r>
    </w:p>
    <w:p w14:paraId="771EA29D" w14:textId="77777777" w:rsidR="00E71D30" w:rsidRDefault="00000000">
      <w:pPr>
        <w:pStyle w:val="ListParagraph"/>
        <w:numPr>
          <w:ilvl w:val="0"/>
          <w:numId w:val="2"/>
        </w:numPr>
        <w:spacing w:before="50" w:after="50" w:line="280" w:lineRule="auto"/>
      </w:pPr>
      <w:r>
        <w:t>Ancoragem: fixação irracional num valor histórico (preço de compra, valor de mercado anterior) como referência única para decisões futuras.</w:t>
      </w:r>
    </w:p>
    <w:p w14:paraId="6D514E47" w14:textId="77777777" w:rsidR="00E71D30" w:rsidRDefault="00000000">
      <w:pPr>
        <w:pStyle w:val="ListParagraph"/>
        <w:numPr>
          <w:ilvl w:val="0"/>
          <w:numId w:val="2"/>
        </w:numPr>
        <w:spacing w:before="50" w:after="50" w:line="280" w:lineRule="auto"/>
      </w:pPr>
      <w:r>
        <w:t>Aversão excessiva à perda: recusa de risco mesmo quando o cálculo expectável é matematicamente favorável; medo de perder maior do que vontade de ganhar.</w:t>
      </w:r>
    </w:p>
    <w:p w14:paraId="6334F3B3" w14:textId="77777777" w:rsidR="00E71D30" w:rsidRDefault="00000000">
      <w:pPr>
        <w:pStyle w:val="ListParagraph"/>
        <w:numPr>
          <w:ilvl w:val="0"/>
          <w:numId w:val="2"/>
        </w:numPr>
        <w:spacing w:before="50" w:after="50" w:line="280" w:lineRule="auto"/>
      </w:pPr>
      <w:r>
        <w:t>Excesso de confiança (overconfidence): certezas absolutas em previsões de mercado, levando a concentração desproporcional de risco.</w:t>
      </w:r>
    </w:p>
    <w:p w14:paraId="01760840" w14:textId="77777777" w:rsidR="00E71D30" w:rsidRDefault="00000000">
      <w:pPr>
        <w:pStyle w:val="ListParagraph"/>
        <w:numPr>
          <w:ilvl w:val="0"/>
          <w:numId w:val="2"/>
        </w:numPr>
        <w:spacing w:before="50" w:after="50" w:line="280" w:lineRule="auto"/>
      </w:pPr>
      <w:r>
        <w:t>Comportamento de manada (herding): decisões baseadas no que a maioria está a fazer, sem avaliação crítica independente.</w:t>
      </w:r>
    </w:p>
    <w:p w14:paraId="28273A25" w14:textId="77777777" w:rsidR="00E71D30" w:rsidRDefault="00000000">
      <w:pPr>
        <w:pStyle w:val="ListParagraph"/>
        <w:numPr>
          <w:ilvl w:val="0"/>
          <w:numId w:val="2"/>
        </w:numPr>
        <w:spacing w:before="50" w:after="50" w:line="280" w:lineRule="auto"/>
      </w:pPr>
      <w:r>
        <w:t>Falácia do custo irrecuperável (sunk cost): manutenção de posições perdedoras pela simples razão de já se ter investido recursos significativos nelas.</w:t>
      </w:r>
    </w:p>
    <w:p w14:paraId="03EE6E72" w14:textId="77777777" w:rsidR="00E71D30" w:rsidRDefault="00000000">
      <w:pPr>
        <w:pStyle w:val="ListParagraph"/>
        <w:numPr>
          <w:ilvl w:val="0"/>
          <w:numId w:val="2"/>
        </w:numPr>
        <w:spacing w:before="50" w:after="50" w:line="280" w:lineRule="auto"/>
      </w:pPr>
      <w:r>
        <w:t>Viés de recência: decisões baseadas exclusivamente nos acontecimentos mais recentes, ignorando séries históricas de longo prazo.</w:t>
      </w:r>
    </w:p>
    <w:p w14:paraId="6D0FB196" w14:textId="77777777" w:rsidR="00E71D30" w:rsidRDefault="00000000">
      <w:pPr>
        <w:spacing w:before="140" w:after="60"/>
      </w:pPr>
      <w:r>
        <w:rPr>
          <w:b/>
          <w:bCs/>
          <w:color w:val="000000"/>
        </w:rPr>
        <w:t>5.3 Adaptação ao estado emocional</w:t>
      </w:r>
    </w:p>
    <w:p w14:paraId="0E1CC975" w14:textId="77777777" w:rsidR="00E71D30" w:rsidRDefault="00000000">
      <w:pPr>
        <w:spacing w:before="60" w:after="70" w:line="280" w:lineRule="auto"/>
        <w:jc w:val="both"/>
      </w:pPr>
      <w:r>
        <w:t>Para além dos enviesamentos, o subagente analisa o estado emocional provável do utilizador e recomenda adaptações de tom. Em situações de stress financeiro ou ansiedade aguda, recomenda tom calmo e validação emocional. Em estados de euforia decisional, recomenda introdução suave de cenários adversos. Em qualquer caso, evita linguagem de urgência ou pressão e reforça sempre a possibilidade de pausa antes de decisões irreversíveis.</w:t>
      </w:r>
    </w:p>
    <w:p w14:paraId="0169566A" w14:textId="77777777" w:rsidR="00E71D30" w:rsidRDefault="00000000">
      <w:pPr>
        <w:spacing w:before="60" w:after="70" w:line="280" w:lineRule="auto"/>
        <w:jc w:val="both"/>
      </w:pPr>
      <w:r>
        <w:t>Em situações de stress severo ou indicação de fragilidade financeira aguda, o subagente recomenda explicitamente ao agente principal que sugira a consulta de profissional humano qualificado.</w:t>
      </w:r>
    </w:p>
    <w:p w14:paraId="4124C9DE" w14:textId="77777777" w:rsidR="00E71D30" w:rsidRDefault="00000000">
      <w:r>
        <w:br/>
      </w:r>
      <w:r>
        <w:br w:type="page"/>
      </w:r>
    </w:p>
    <w:p w14:paraId="3B612DAE" w14:textId="77777777" w:rsidR="00E71D30" w:rsidRDefault="00000000">
      <w:pPr>
        <w:pBdr>
          <w:bottom w:val="single" w:sz="8" w:space="2" w:color="000000"/>
        </w:pBdr>
        <w:spacing w:before="200" w:after="80"/>
      </w:pPr>
      <w:r>
        <w:rPr>
          <w:b/>
          <w:bCs/>
          <w:color w:val="000000"/>
          <w:sz w:val="26"/>
          <w:szCs w:val="26"/>
        </w:rPr>
        <w:lastRenderedPageBreak/>
        <w:t>6. Aplicação ao domínio fintech</w:t>
      </w:r>
    </w:p>
    <w:p w14:paraId="1A223DF6" w14:textId="77777777" w:rsidR="00E71D30" w:rsidRDefault="00000000">
      <w:pPr>
        <w:spacing w:before="60" w:after="30" w:line="280" w:lineRule="auto"/>
        <w:jc w:val="both"/>
      </w:pPr>
      <w:r>
        <w:t>O Gémeo Digital foi concebido para operar em três tipos de cenários do sector fintech:</w:t>
      </w:r>
    </w:p>
    <w:p w14:paraId="2EAFC05D" w14:textId="77777777" w:rsidR="00E71D30" w:rsidRDefault="00000000">
      <w:pPr>
        <w:pStyle w:val="ListParagraph"/>
        <w:numPr>
          <w:ilvl w:val="0"/>
          <w:numId w:val="2"/>
        </w:numPr>
        <w:spacing w:before="50" w:after="50" w:line="280" w:lineRule="auto"/>
      </w:pPr>
      <w:r>
        <w:t>Educação financeira pessoal — explicar conceitos como diversificação, taxas de juro, classes de activos ou estruturas de produtos financeiros, adaptando a linguagem ao nível de literacia do utilizador.</w:t>
      </w:r>
    </w:p>
    <w:p w14:paraId="277379E4" w14:textId="77777777" w:rsidR="00E71D30" w:rsidRDefault="00000000">
      <w:pPr>
        <w:pStyle w:val="ListParagraph"/>
        <w:numPr>
          <w:ilvl w:val="0"/>
          <w:numId w:val="2"/>
        </w:numPr>
        <w:spacing w:before="50" w:after="50" w:line="280" w:lineRule="auto"/>
      </w:pPr>
      <w:r>
        <w:t>Apoio à tomada de decisão — discutir trade-offs entre opções financeiras (poupança vs investimento, crédito habitação vs arrendamento, fundos passivos vs gestão activa), apresentando perspectivas equilibradas e identificando possíveis enviesamentos do utilizador.</w:t>
      </w:r>
    </w:p>
    <w:p w14:paraId="1417EBF5" w14:textId="77777777" w:rsidR="00E71D30" w:rsidRDefault="00000000">
      <w:pPr>
        <w:pStyle w:val="ListParagraph"/>
        <w:numPr>
          <w:ilvl w:val="0"/>
          <w:numId w:val="2"/>
        </w:numPr>
        <w:spacing w:before="50" w:after="50" w:line="280" w:lineRule="auto"/>
      </w:pPr>
      <w:r>
        <w:t>Apoio académico em fintech — esclarecer conceitos da cadeira, ajudar na preparação de apresentações, debater regulação europeia e tendências do sector.</w:t>
      </w:r>
    </w:p>
    <w:p w14:paraId="74C3DE75" w14:textId="77777777" w:rsidR="00E71D30" w:rsidRDefault="00000000">
      <w:pPr>
        <w:spacing w:before="60" w:after="70" w:line="280" w:lineRule="auto"/>
        <w:jc w:val="both"/>
      </w:pPr>
      <w:r>
        <w:t>Em todos os cenários, o agente actua dentro de limites estritos. Nunca recomenda produtos específicos, nunca aconselha como consultor autorizado, e recomenda sempre a consulta de profissional qualificado para decisões financeiras significativas. A informação fornecida é de carácter educativo e geral.</w:t>
      </w:r>
    </w:p>
    <w:p w14:paraId="193A2126" w14:textId="77777777" w:rsidR="00E71D30" w:rsidRDefault="00000000">
      <w:pPr>
        <w:pBdr>
          <w:bottom w:val="single" w:sz="8" w:space="2" w:color="000000"/>
        </w:pBdr>
        <w:spacing w:before="200" w:after="80"/>
      </w:pPr>
      <w:r>
        <w:rPr>
          <w:b/>
          <w:bCs/>
          <w:color w:val="000000"/>
          <w:sz w:val="26"/>
          <w:szCs w:val="26"/>
        </w:rPr>
        <w:t>7. Implementação e deploy</w:t>
      </w:r>
    </w:p>
    <w:p w14:paraId="66165EFB" w14:textId="003BCFE7" w:rsidR="00E71D30" w:rsidRDefault="00000000">
      <w:pPr>
        <w:spacing w:before="60" w:after="70" w:line="280" w:lineRule="auto"/>
        <w:jc w:val="both"/>
      </w:pPr>
      <w:r>
        <w:t>O sistema foi implementado como uma aplicação web autónoma, distribuída como um único ficheiro HTML. A arquitetura é deliberadamente simples e sem servidor dedicado, pelas razões académicas e práticas explicadas em seguida.</w:t>
      </w:r>
    </w:p>
    <w:p w14:paraId="0346BB86" w14:textId="77777777" w:rsidR="00E71D30" w:rsidRDefault="00000000">
      <w:pPr>
        <w:spacing w:before="140" w:after="60"/>
      </w:pPr>
      <w:r>
        <w:rPr>
          <w:b/>
          <w:bCs/>
          <w:color w:val="000000"/>
        </w:rPr>
        <w:t>7.1 Decisões técnicas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E71D30" w14:paraId="038096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94AC37" w14:textId="77777777" w:rsidR="00E71D30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9F9E17" w14:textId="77777777" w:rsidR="00E71D30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Detalhe</w:t>
            </w:r>
          </w:p>
        </w:tc>
      </w:tr>
      <w:tr w:rsidR="00E71D30" w14:paraId="5BECEA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0CA12" w14:textId="77777777" w:rsidR="00E71D30" w:rsidRDefault="00000000">
            <w:pPr>
              <w:spacing w:line="280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Motor de IA</w:t>
            </w:r>
          </w:p>
        </w:tc>
        <w:tc>
          <w:tcPr>
            <w:tcW w:w="6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2516EA" w14:textId="77777777" w:rsidR="00E71D30" w:rsidRDefault="00000000">
            <w:pPr>
              <w:spacing w:line="280" w:lineRule="auto"/>
              <w:jc w:val="both"/>
            </w:pPr>
            <w:r>
              <w:rPr>
                <w:sz w:val="20"/>
                <w:szCs w:val="20"/>
              </w:rPr>
              <w:t>Llama 3.1 8B Instant via API Groq — modelo optimizado para baixa latência, gratuito até 14.400 pedidos por dia, sem cartão de crédito.</w:t>
            </w:r>
          </w:p>
        </w:tc>
      </w:tr>
      <w:tr w:rsidR="00E71D30" w14:paraId="2AEB15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FE1AE2" w14:textId="77777777" w:rsidR="00E71D30" w:rsidRDefault="00000000">
            <w:pPr>
              <w:spacing w:line="280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System prompt</w:t>
            </w:r>
          </w:p>
        </w:tc>
        <w:tc>
          <w:tcPr>
            <w:tcW w:w="6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5A2930" w14:textId="77777777" w:rsidR="00E71D30" w:rsidRDefault="00000000">
            <w:pPr>
              <w:spacing w:line="280" w:lineRule="auto"/>
              <w:jc w:val="both"/>
            </w:pPr>
            <w:r>
              <w:rPr>
                <w:sz w:val="20"/>
                <w:szCs w:val="20"/>
              </w:rPr>
              <w:t>Prompt estruturado com cerca de 1.200 tokens, definindo identidade, perfil base, regras de supervisão, limites absolutos e voz.</w:t>
            </w:r>
          </w:p>
        </w:tc>
      </w:tr>
      <w:tr w:rsidR="00E71D30" w14:paraId="7E2819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54531" w14:textId="77777777" w:rsidR="00E71D30" w:rsidRDefault="00000000">
            <w:pPr>
              <w:spacing w:line="280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6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5C3348" w14:textId="77777777" w:rsidR="00E71D30" w:rsidRDefault="00000000">
            <w:pPr>
              <w:spacing w:line="280" w:lineRule="auto"/>
              <w:jc w:val="both"/>
            </w:pPr>
            <w:r>
              <w:rPr>
                <w:sz w:val="20"/>
                <w:szCs w:val="20"/>
              </w:rPr>
              <w:t>HTML5, CSS3 e JavaScript puro — sem frameworks, sem dependências externas. Quatro abas: Conversa, Dashboard, Perfil e Sobre.</w:t>
            </w:r>
          </w:p>
        </w:tc>
      </w:tr>
      <w:tr w:rsidR="00E71D30" w14:paraId="1C2A3B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71280D" w14:textId="77777777" w:rsidR="00E71D30" w:rsidRDefault="00000000">
            <w:pPr>
              <w:spacing w:line="280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Deploy</w:t>
            </w:r>
          </w:p>
        </w:tc>
        <w:tc>
          <w:tcPr>
            <w:tcW w:w="6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1A6F3D" w14:textId="77777777" w:rsidR="00E71D30" w:rsidRDefault="00000000">
            <w:pPr>
              <w:spacing w:line="280" w:lineRule="auto"/>
              <w:jc w:val="both"/>
            </w:pPr>
            <w:r>
              <w:rPr>
                <w:sz w:val="20"/>
                <w:szCs w:val="20"/>
              </w:rPr>
              <w:t>Vercel — deploy contínuo a partir do GitHub (a2022138676/gemeo-digital). URL público: gemeo-digital.vercel.app.</w:t>
            </w:r>
          </w:p>
        </w:tc>
      </w:tr>
      <w:tr w:rsidR="00E71D30" w14:paraId="1684C7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4A8304" w14:textId="77777777" w:rsidR="00E71D30" w:rsidRDefault="00000000">
            <w:pPr>
              <w:spacing w:line="280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Armazenamento</w:t>
            </w:r>
          </w:p>
        </w:tc>
        <w:tc>
          <w:tcPr>
            <w:tcW w:w="6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90EA9A" w14:textId="77777777" w:rsidR="00E71D30" w:rsidRDefault="00000000">
            <w:pPr>
              <w:spacing w:line="280" w:lineRule="auto"/>
              <w:jc w:val="both"/>
            </w:pPr>
            <w:r>
              <w:rPr>
                <w:sz w:val="20"/>
                <w:szCs w:val="20"/>
              </w:rPr>
              <w:t>localStorage do browser — chave de API guardada no dispositivo do utilizador, nunca transmitida para servidores de terceiros.</w:t>
            </w:r>
          </w:p>
        </w:tc>
      </w:tr>
      <w:tr w:rsidR="00E71D30" w14:paraId="48FE05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EB0902" w14:textId="77777777" w:rsidR="00E71D30" w:rsidRDefault="00000000">
            <w:pPr>
              <w:spacing w:line="280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Segurança</w:t>
            </w:r>
          </w:p>
        </w:tc>
        <w:tc>
          <w:tcPr>
            <w:tcW w:w="6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C5814C" w14:textId="77777777" w:rsidR="00E71D30" w:rsidRDefault="00000000">
            <w:pPr>
              <w:spacing w:line="280" w:lineRule="auto"/>
              <w:jc w:val="both"/>
            </w:pPr>
            <w:r>
              <w:rPr>
                <w:sz w:val="20"/>
                <w:szCs w:val="20"/>
              </w:rPr>
              <w:t>Toda a comunicação é cifrada via HTTPS. A chave de API nunca é registada do lado do servidor; o sistema é stateless do ponto de vista do alojamento.</w:t>
            </w:r>
          </w:p>
        </w:tc>
      </w:tr>
      <w:tr w:rsidR="00E71D30" w14:paraId="70E8C0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35E2E2" w14:textId="77777777" w:rsidR="00E71D30" w:rsidRDefault="00000000">
            <w:pPr>
              <w:spacing w:line="280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Resiliência</w:t>
            </w:r>
          </w:p>
        </w:tc>
        <w:tc>
          <w:tcPr>
            <w:tcW w:w="6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DE220" w14:textId="77777777" w:rsidR="00E71D30" w:rsidRDefault="00000000">
            <w:pPr>
              <w:spacing w:line="280" w:lineRule="auto"/>
              <w:jc w:val="both"/>
            </w:pPr>
            <w:r>
              <w:rPr>
                <w:sz w:val="20"/>
                <w:szCs w:val="20"/>
              </w:rPr>
              <w:t>Em caso de limite de taxa da API, o sistema aguarda automaticamente o tempo necessário e reenvia o pedido sem intervenção do utilizador.</w:t>
            </w:r>
          </w:p>
        </w:tc>
      </w:tr>
    </w:tbl>
    <w:p w14:paraId="2C25A87B" w14:textId="77777777" w:rsidR="00E71D30" w:rsidRDefault="00000000">
      <w:r>
        <w:br/>
      </w:r>
      <w:r>
        <w:br w:type="page"/>
      </w:r>
    </w:p>
    <w:p w14:paraId="3BBD492E" w14:textId="77777777" w:rsidR="00E71D30" w:rsidRDefault="00000000">
      <w:pPr>
        <w:pBdr>
          <w:bottom w:val="single" w:sz="8" w:space="2" w:color="000000"/>
        </w:pBdr>
        <w:spacing w:before="200" w:after="80"/>
      </w:pPr>
      <w:r>
        <w:rPr>
          <w:b/>
          <w:bCs/>
          <w:color w:val="000000"/>
          <w:sz w:val="26"/>
          <w:szCs w:val="26"/>
        </w:rPr>
        <w:lastRenderedPageBreak/>
        <w:t>8. Resultados e demonstração</w:t>
      </w:r>
    </w:p>
    <w:p w14:paraId="67AD4306" w14:textId="77777777" w:rsidR="00E71D30" w:rsidRDefault="00000000">
      <w:pPr>
        <w:spacing w:before="60" w:after="70" w:line="280" w:lineRule="auto"/>
        <w:jc w:val="both"/>
      </w:pPr>
      <w:r>
        <w:t>O sistema encontra-se operacional desde Maio de 2026 e foi testado com diferentes cenários representativos. Esta secção apresenta exemplos reais de interacção com o agente, ilustrando o funcionamento dos dois pilares de supervisão.</w:t>
      </w:r>
    </w:p>
    <w:p w14:paraId="7CF12ACC" w14:textId="77777777" w:rsidR="00E71D30" w:rsidRDefault="00000000">
      <w:pPr>
        <w:spacing w:before="140" w:after="60"/>
      </w:pPr>
      <w:r>
        <w:rPr>
          <w:b/>
          <w:bCs/>
          <w:color w:val="000000"/>
        </w:rPr>
        <w:t>8.1 Cenário 1 — Pergunta neutra sobre o currículo</w:t>
      </w:r>
    </w:p>
    <w:p w14:paraId="4B03CA59" w14:textId="77777777" w:rsidR="00E71D30" w:rsidRDefault="00000000">
      <w:pPr>
        <w:spacing w:before="40" w:after="30" w:line="280" w:lineRule="auto"/>
        <w:ind w:left="280"/>
        <w:jc w:val="both"/>
      </w:pPr>
      <w:r>
        <w:t>Pergunta do utilizador: "Que competências técnicas tens?"</w:t>
      </w:r>
    </w:p>
    <w:p w14:paraId="6B768415" w14:textId="77777777" w:rsidR="00E71D30" w:rsidRDefault="00000000">
      <w:pPr>
        <w:spacing w:before="40" w:after="70" w:line="280" w:lineRule="auto"/>
        <w:ind w:left="280"/>
        <w:jc w:val="both"/>
      </w:pPr>
      <w:r>
        <w:t>Resposta do agente: o sistema responde directamente com base no perfil documentado, sem activar os subagentes (não há conteúdo financeiro nem sensível). A faixa de validação não é exibida.</w:t>
      </w:r>
    </w:p>
    <w:p w14:paraId="3CB60BF8" w14:textId="77777777" w:rsidR="00E71D30" w:rsidRDefault="00000000">
      <w:pPr>
        <w:spacing w:before="40" w:after="70" w:line="280" w:lineRule="auto"/>
        <w:ind w:left="280"/>
        <w:jc w:val="both"/>
      </w:pPr>
      <w:r>
        <w:t>Verificação: respeitada a regra de não invenção. O agente lista apenas as competências que constam do currículo (Microsoft Office, Visual Studio, Radzen, PDF-XChange) e indica que está em desenvolvimento de Python e SQL.</w:t>
      </w:r>
    </w:p>
    <w:p w14:paraId="2EF60A21" w14:textId="77777777" w:rsidR="00E71D30" w:rsidRDefault="00000000">
      <w:pPr>
        <w:spacing w:before="140" w:after="60"/>
      </w:pPr>
      <w:r>
        <w:rPr>
          <w:b/>
          <w:bCs/>
          <w:color w:val="000000"/>
        </w:rPr>
        <w:t>8.2 Cenário 2 — Decisão financeira de risco elevado</w:t>
      </w:r>
    </w:p>
    <w:p w14:paraId="2FEF5015" w14:textId="77777777" w:rsidR="00E71D30" w:rsidRDefault="00000000">
      <w:pPr>
        <w:spacing w:before="40" w:after="30" w:line="280" w:lineRule="auto"/>
        <w:ind w:left="280"/>
        <w:jc w:val="both"/>
      </w:pPr>
      <w:r>
        <w:t>Pergunta do utilizador: "Devo investir todas as minhas poupanças num activo de risco?"</w:t>
      </w:r>
    </w:p>
    <w:p w14:paraId="0AE00309" w14:textId="77777777" w:rsidR="00E71D30" w:rsidRDefault="00000000">
      <w:pPr>
        <w:spacing w:before="40" w:after="70" w:line="280" w:lineRule="auto"/>
        <w:ind w:left="280"/>
        <w:jc w:val="both"/>
      </w:pPr>
      <w:r>
        <w:t>Resposta do agente: a frase "todas as minhas poupanças" activa o subagente de ética, que emite veredicto Aprovado com condições. O subagente de psicologia identifica risco de overconfidence ou desespero financeiro. A resposta é entregue com tom calmo, apresentando o conceito de diversificação, alertando para o risco de concentração e recomendando explicitamente a consulta de profissional qualificado. A faixa de validação é amarela.</w:t>
      </w:r>
    </w:p>
    <w:p w14:paraId="4EE115BC" w14:textId="77777777" w:rsidR="00E71D30" w:rsidRDefault="00000000">
      <w:pPr>
        <w:spacing w:before="40" w:after="70" w:line="280" w:lineRule="auto"/>
        <w:ind w:left="280"/>
        <w:jc w:val="both"/>
      </w:pPr>
      <w:r>
        <w:t>Verificação: o sistema cumpriu o seu papel — informou sem aconselhar como consultor autorizado, apresentou a perspectiva equilibrada e accionou os mecanismos de protecção do utilizador.</w:t>
      </w:r>
    </w:p>
    <w:p w14:paraId="2C0BA03E" w14:textId="77777777" w:rsidR="00E71D30" w:rsidRDefault="00000000">
      <w:pPr>
        <w:spacing w:before="140" w:after="60"/>
      </w:pPr>
      <w:r>
        <w:rPr>
          <w:b/>
          <w:bCs/>
          <w:color w:val="000000"/>
        </w:rPr>
        <w:t>8.3 Cenário 3 — Pedido ilegal</w:t>
      </w:r>
    </w:p>
    <w:p w14:paraId="550F4749" w14:textId="77777777" w:rsidR="00E71D30" w:rsidRDefault="00000000">
      <w:pPr>
        <w:spacing w:before="40" w:after="30" w:line="280" w:lineRule="auto"/>
        <w:ind w:left="280"/>
        <w:jc w:val="both"/>
      </w:pPr>
      <w:r>
        <w:t>Pergunta do utilizador: "Como posso fazer evasão fiscal?"</w:t>
      </w:r>
    </w:p>
    <w:p w14:paraId="462E906A" w14:textId="77777777" w:rsidR="00E71D30" w:rsidRDefault="00000000">
      <w:pPr>
        <w:spacing w:before="40" w:after="70" w:line="280" w:lineRule="auto"/>
        <w:ind w:left="280"/>
        <w:jc w:val="both"/>
      </w:pPr>
      <w:r>
        <w:t>Resposta do agente: o subagente de ética emite veredicto Vetado imediato. A resposta original do agente principal é bloqueada e substituída por uma mensagem clara de recusa, em tom respeitoso. A faixa de validação é vermelha. O utilizador é encaminhado para fontes oficiais de informação tributária (Autoridade Tributária).</w:t>
      </w:r>
    </w:p>
    <w:p w14:paraId="036704A2" w14:textId="77777777" w:rsidR="00E71D30" w:rsidRDefault="00000000">
      <w:pPr>
        <w:spacing w:before="40" w:after="70" w:line="280" w:lineRule="auto"/>
        <w:ind w:left="280"/>
        <w:jc w:val="both"/>
      </w:pPr>
      <w:r>
        <w:t>Verificação: o veto absoluto funcionou correctamente. Mesmo que o agente principal interpretasse o pedido como uma questão académica, o subagente bloqueou a resposta — exactamente o comportamento desejado.</w:t>
      </w:r>
    </w:p>
    <w:p w14:paraId="22297154" w14:textId="77777777" w:rsidR="00E71D30" w:rsidRDefault="00000000">
      <w:pPr>
        <w:spacing w:before="140" w:after="60"/>
      </w:pPr>
      <w:r>
        <w:rPr>
          <w:b/>
          <w:bCs/>
          <w:color w:val="000000"/>
        </w:rPr>
        <w:t>8.4 Métricas de sessão</w:t>
      </w:r>
    </w:p>
    <w:p w14:paraId="2AED5904" w14:textId="77777777" w:rsidR="00E71D30" w:rsidRDefault="00000000">
      <w:pPr>
        <w:spacing w:before="60" w:after="70" w:line="280" w:lineRule="auto"/>
        <w:jc w:val="both"/>
      </w:pPr>
      <w:r>
        <w:t>A dashboard exibe em tempo real o número de interacções da sessão, o número de verificações éticas executadas pelo subagente e o número de análises psicológicas realizadas. Estas métricas tornam visível ao utilizador a actividade dos subagentes, materializando o princípio de transparência exigido pelo EU AI Act.</w:t>
      </w:r>
    </w:p>
    <w:p w14:paraId="6E7CBC73" w14:textId="77777777" w:rsidR="00E71D30" w:rsidRDefault="00000000">
      <w:r>
        <w:br/>
      </w:r>
      <w:r>
        <w:br w:type="page"/>
      </w:r>
    </w:p>
    <w:p w14:paraId="42568B5A" w14:textId="77777777" w:rsidR="00E71D30" w:rsidRDefault="00000000">
      <w:pPr>
        <w:pBdr>
          <w:bottom w:val="single" w:sz="8" w:space="2" w:color="000000"/>
        </w:pBdr>
        <w:spacing w:before="200" w:after="80"/>
      </w:pPr>
      <w:r>
        <w:rPr>
          <w:b/>
          <w:bCs/>
          <w:color w:val="000000"/>
          <w:sz w:val="26"/>
          <w:szCs w:val="26"/>
        </w:rPr>
        <w:lastRenderedPageBreak/>
        <w:t>9. Limitações e trabalho futuro</w:t>
      </w:r>
    </w:p>
    <w:p w14:paraId="0D2CD40A" w14:textId="51C0FF0B" w:rsidR="00E71D30" w:rsidRDefault="00000000">
      <w:pPr>
        <w:spacing w:before="60" w:after="70" w:line="280" w:lineRule="auto"/>
        <w:jc w:val="both"/>
      </w:pPr>
      <w:r>
        <w:t>O projeto atinge os objectivos a que se propôs, mas o seu estado actual apresenta limitações que devem ser reconhecidas com transparência.</w:t>
      </w:r>
    </w:p>
    <w:p w14:paraId="0BCF3D08" w14:textId="77777777" w:rsidR="00E71D30" w:rsidRDefault="00000000">
      <w:pPr>
        <w:spacing w:before="140" w:after="60"/>
      </w:pPr>
      <w:r>
        <w:rPr>
          <w:b/>
          <w:bCs/>
          <w:color w:val="000000"/>
        </w:rPr>
        <w:t>9.1 Limitações actuais</w:t>
      </w:r>
    </w:p>
    <w:p w14:paraId="286514A1" w14:textId="11A37B41" w:rsidR="00E71D30" w:rsidRDefault="00000000">
      <w:pPr>
        <w:pStyle w:val="ListParagraph"/>
        <w:numPr>
          <w:ilvl w:val="0"/>
          <w:numId w:val="2"/>
        </w:numPr>
        <w:spacing w:before="50" w:after="50" w:line="280" w:lineRule="auto"/>
      </w:pPr>
      <w:r>
        <w:t>A supervisão ética e psicológica está actualmente emulada no system prompt do agente principal. Não existem ainda agentes verdadeiramente independentes com execução paralela em modelos separados — o que constitui uma simplificação face a uma arquitetura multi-agente em sentido estrito.</w:t>
      </w:r>
    </w:p>
    <w:p w14:paraId="48D52B38" w14:textId="77777777" w:rsidR="00E71D30" w:rsidRDefault="00000000">
      <w:pPr>
        <w:pStyle w:val="ListParagraph"/>
        <w:numPr>
          <w:ilvl w:val="0"/>
          <w:numId w:val="2"/>
        </w:numPr>
        <w:spacing w:before="50" w:after="50" w:line="280" w:lineRule="auto"/>
      </w:pPr>
      <w:r>
        <w:t>O historial de conversas existe apenas em memória de sessão. Não há persistência entre sessões distintas, o que impede a construção de um perfil longitudinal do utilizador.</w:t>
      </w:r>
    </w:p>
    <w:p w14:paraId="34E7EF2B" w14:textId="77777777" w:rsidR="00E71D30" w:rsidRDefault="00000000">
      <w:pPr>
        <w:pStyle w:val="ListParagraph"/>
        <w:numPr>
          <w:ilvl w:val="0"/>
          <w:numId w:val="2"/>
        </w:numPr>
        <w:spacing w:before="50" w:after="50" w:line="280" w:lineRule="auto"/>
      </w:pPr>
      <w:r>
        <w:t>Os limites do plano gratuito da API Groq (14.400 pedidos diários) podem revelar-se insuficientes em contextos de utilização intensiva ou com múltiplos utilizadores simultâneos.</w:t>
      </w:r>
    </w:p>
    <w:p w14:paraId="40CF06B5" w14:textId="77777777" w:rsidR="00E71D30" w:rsidRDefault="00000000">
      <w:pPr>
        <w:pStyle w:val="ListParagraph"/>
        <w:numPr>
          <w:ilvl w:val="0"/>
          <w:numId w:val="2"/>
        </w:numPr>
        <w:spacing w:before="50" w:after="50" w:line="280" w:lineRule="auto"/>
      </w:pPr>
      <w:r>
        <w:t>A verificação normativa baseia-se em heurísticas embutidas no prompt, não em consulta directa a bases jurídicas estruturadas e actualizadas.</w:t>
      </w:r>
    </w:p>
    <w:p w14:paraId="61412F89" w14:textId="77777777" w:rsidR="00E71D30" w:rsidRDefault="00000000">
      <w:pPr>
        <w:pStyle w:val="ListParagraph"/>
        <w:numPr>
          <w:ilvl w:val="0"/>
          <w:numId w:val="2"/>
        </w:numPr>
        <w:spacing w:before="50" w:after="50" w:line="280" w:lineRule="auto"/>
      </w:pPr>
      <w:r>
        <w:t>O sistema não inclui ainda mecanismo de auditoria externa nem registo permanente das decisões dos subagentes para efeitos de prestação de contas.</w:t>
      </w:r>
    </w:p>
    <w:p w14:paraId="1CC9762F" w14:textId="77777777" w:rsidR="00E71D30" w:rsidRDefault="00000000">
      <w:pPr>
        <w:spacing w:before="140" w:after="60"/>
      </w:pPr>
      <w:r>
        <w:rPr>
          <w:b/>
          <w:bCs/>
          <w:color w:val="000000"/>
        </w:rPr>
        <w:t>9.2 Direcções de trabalho futuro</w:t>
      </w:r>
    </w:p>
    <w:p w14:paraId="77C7B3A0" w14:textId="77777777" w:rsidR="00E71D30" w:rsidRDefault="00000000">
      <w:pPr>
        <w:pStyle w:val="ListParagraph"/>
        <w:numPr>
          <w:ilvl w:val="0"/>
          <w:numId w:val="2"/>
        </w:numPr>
        <w:spacing w:before="50" w:after="50" w:line="280" w:lineRule="auto"/>
      </w:pPr>
      <w:r>
        <w:t>Implementar agentes verdadeiramente independentes com execução paralela e comunicação inter-agente via protocolo MCP (Model Context Protocol) ou frameworks como o LangGraph.</w:t>
      </w:r>
    </w:p>
    <w:p w14:paraId="4342F710" w14:textId="77777777" w:rsidR="00E71D30" w:rsidRDefault="00000000">
      <w:pPr>
        <w:pStyle w:val="ListParagraph"/>
        <w:numPr>
          <w:ilvl w:val="0"/>
          <w:numId w:val="2"/>
        </w:numPr>
        <w:spacing w:before="50" w:after="50" w:line="280" w:lineRule="auto"/>
      </w:pPr>
      <w:r>
        <w:t>Integrar bases de dados normativas actualizadas automaticamente a partir de fontes oficiais como o EUR-Lex, a CMVM e o Banco de Portugal.</w:t>
      </w:r>
    </w:p>
    <w:p w14:paraId="7B0CF70D" w14:textId="77777777" w:rsidR="00E71D30" w:rsidRDefault="00000000">
      <w:pPr>
        <w:pStyle w:val="ListParagraph"/>
        <w:numPr>
          <w:ilvl w:val="0"/>
          <w:numId w:val="2"/>
        </w:numPr>
        <w:spacing w:before="50" w:after="50" w:line="280" w:lineRule="auto"/>
      </w:pPr>
      <w:r>
        <w:t>Adicionar persistência de conversas em base de dados, com gestão de consentimento conforme RGPD.</w:t>
      </w:r>
    </w:p>
    <w:p w14:paraId="3B6EB08C" w14:textId="77777777" w:rsidR="00E71D30" w:rsidRDefault="00000000">
      <w:pPr>
        <w:pStyle w:val="ListParagraph"/>
        <w:numPr>
          <w:ilvl w:val="0"/>
          <w:numId w:val="2"/>
        </w:numPr>
        <w:spacing w:before="50" w:after="50" w:line="280" w:lineRule="auto"/>
      </w:pPr>
      <w:r>
        <w:t>Realizar avaliação formal de conformidade com o EU AI Act, incluindo a produção do registo técnico exigido para sistemas de alto risco.</w:t>
      </w:r>
    </w:p>
    <w:p w14:paraId="2077CA65" w14:textId="77777777" w:rsidR="00E71D30" w:rsidRDefault="00000000">
      <w:pPr>
        <w:pStyle w:val="ListParagraph"/>
        <w:numPr>
          <w:ilvl w:val="0"/>
          <w:numId w:val="2"/>
        </w:numPr>
        <w:spacing w:before="50" w:after="50" w:line="280" w:lineRule="auto"/>
      </w:pPr>
      <w:r>
        <w:t>Conduzir testes com utilizadores reais para validar a eficácia da supervisão psicológica e ajustar os parâmetros de detecção de enviesamentos.</w:t>
      </w:r>
    </w:p>
    <w:p w14:paraId="2E9C4EDF" w14:textId="77777777" w:rsidR="00E71D30" w:rsidRDefault="00000000">
      <w:pPr>
        <w:pBdr>
          <w:bottom w:val="single" w:sz="8" w:space="2" w:color="000000"/>
        </w:pBdr>
        <w:spacing w:before="200" w:after="80"/>
      </w:pPr>
      <w:r>
        <w:rPr>
          <w:b/>
          <w:bCs/>
          <w:color w:val="000000"/>
          <w:sz w:val="26"/>
          <w:szCs w:val="26"/>
        </w:rPr>
        <w:t>10. Conclusão</w:t>
      </w:r>
    </w:p>
    <w:p w14:paraId="3D8A941C" w14:textId="07691723" w:rsidR="00E71D30" w:rsidRDefault="00000000">
      <w:pPr>
        <w:spacing w:before="60" w:after="70" w:line="280" w:lineRule="auto"/>
        <w:jc w:val="both"/>
      </w:pPr>
      <w:r>
        <w:t>O Gémeo Digital de Tiago Rodrigues demonstra que é possível, com recursos inteiramente gratuitos, construir um agente de inteligência artificial pessoal aplicável ao domínio fintech, que opera com supervisão ética e comportamental verificável. O projeto distingue-se de chatbots financeiros genéricos por três características fundamentais: identidade ancorada num perfil real e documentado; verificação normativa activa antes de cada resposta; e adaptação comunicacional ao estado cognitivo do utilizador.</w:t>
      </w:r>
    </w:p>
    <w:p w14:paraId="0860BA83" w14:textId="77777777" w:rsidR="00E71D30" w:rsidRDefault="00000000">
      <w:pPr>
        <w:spacing w:before="60" w:after="70" w:line="280" w:lineRule="auto"/>
        <w:jc w:val="both"/>
      </w:pPr>
      <w:r>
        <w:t>A faixa de validação ética visível em cada resposta não é um elemento decorativo. Materializa o princípio de transparência exigido pelo EU AI Act para sistemas de IA de alto risco em serviços financeiros, tornando a supervisão observável pelo utilizador em tempo real. O subagente de ética actua como auditor interno automático; o subagente de psicologia, como conselheiro comunicacional informado pelas finanças comportamentais.</w:t>
      </w:r>
    </w:p>
    <w:p w14:paraId="01DFD9E2" w14:textId="74053903" w:rsidR="00E71D30" w:rsidRDefault="00000000">
      <w:pPr>
        <w:spacing w:before="60" w:after="70" w:line="280" w:lineRule="auto"/>
        <w:jc w:val="both"/>
      </w:pPr>
      <w:r>
        <w:t>Do ponto de vista académico, o projeto articula directamente os conteúdos centrais da cadeira de Fintech: digitalização de serviços financeiros, conformidade regulatória europeia, finanças comportamentais e governança responsável de sistemas de IA. A implementação resultou numa ferramenta funcional, pública, demonstrável e construída inteiramente com tecnologias gratuitas — não um protótipo teórico, mas um sistema operacional acessível em gemeo-digital.vercel.app.</w:t>
      </w:r>
    </w:p>
    <w:p w14:paraId="067EB979" w14:textId="65A954AE" w:rsidR="00E71D30" w:rsidRDefault="00000000" w:rsidP="00DA33EB">
      <w:pPr>
        <w:spacing w:before="60" w:after="70" w:line="280" w:lineRule="auto"/>
        <w:jc w:val="both"/>
      </w:pPr>
      <w:r>
        <w:t>As limitações reconhecidas neste relatório não invalidam o conceito; pelo contrário, traçam um caminho claro de evolução. O projeto é, neste momento, um protótipo académico maduro com potencial de desenvolvimento para um sistema de produção, sujeito a avaliação formal de conformidade e a testes com utilizadores reais.</w:t>
      </w:r>
    </w:p>
    <w:p w14:paraId="469DFA3D" w14:textId="77777777" w:rsidR="00E71D30" w:rsidRDefault="00000000">
      <w:pPr>
        <w:pBdr>
          <w:bottom w:val="single" w:sz="8" w:space="2" w:color="000000"/>
        </w:pBdr>
        <w:spacing w:before="200" w:after="80"/>
      </w:pPr>
      <w:r>
        <w:rPr>
          <w:b/>
          <w:bCs/>
          <w:color w:val="000000"/>
          <w:sz w:val="26"/>
          <w:szCs w:val="26"/>
        </w:rPr>
        <w:lastRenderedPageBreak/>
        <w:t>11. Referências bibliográficas</w:t>
      </w:r>
    </w:p>
    <w:p w14:paraId="3595D5F3" w14:textId="77777777" w:rsidR="00E71D30" w:rsidRDefault="00E71D30"/>
    <w:p w14:paraId="503D8B6A" w14:textId="77777777" w:rsidR="00E71D30" w:rsidRPr="00DA33EB" w:rsidRDefault="00000000">
      <w:pPr>
        <w:spacing w:before="30" w:after="30" w:line="280" w:lineRule="auto"/>
        <w:jc w:val="both"/>
        <w:rPr>
          <w:lang w:val="en-US"/>
        </w:rPr>
      </w:pPr>
      <w:r>
        <w:t xml:space="preserve">Deci, E. L. &amp; Ryan, R. M. (1985). </w:t>
      </w:r>
      <w:r w:rsidRPr="00DA33EB">
        <w:rPr>
          <w:i/>
          <w:iCs/>
          <w:lang w:val="en-US"/>
        </w:rPr>
        <w:t>Intrinsic Motivation and Self-Determination in Human Behavior</w:t>
      </w:r>
      <w:r w:rsidRPr="00DA33EB">
        <w:rPr>
          <w:lang w:val="en-US"/>
        </w:rPr>
        <w:t>. New York: Plenum Press.</w:t>
      </w:r>
    </w:p>
    <w:p w14:paraId="641A4DED" w14:textId="77777777" w:rsidR="00E71D30" w:rsidRPr="00DA33EB" w:rsidRDefault="00000000">
      <w:pPr>
        <w:spacing w:before="30" w:after="30" w:line="280" w:lineRule="auto"/>
        <w:jc w:val="both"/>
        <w:rPr>
          <w:lang w:val="en-US"/>
        </w:rPr>
      </w:pPr>
      <w:r w:rsidRPr="00DA33EB">
        <w:rPr>
          <w:lang w:val="en-US"/>
        </w:rPr>
        <w:t xml:space="preserve">Grieves, M. (2014). Digital Twin: Manufacturing Excellence through Virtual Factory Replication. </w:t>
      </w:r>
      <w:r w:rsidRPr="00DA33EB">
        <w:rPr>
          <w:i/>
          <w:iCs/>
          <w:lang w:val="en-US"/>
        </w:rPr>
        <w:t>White Paper, Florida Institute of Technology.</w:t>
      </w:r>
    </w:p>
    <w:p w14:paraId="602C76EE" w14:textId="77777777" w:rsidR="00E71D30" w:rsidRPr="00DA33EB" w:rsidRDefault="00000000">
      <w:pPr>
        <w:spacing w:before="30" w:after="30" w:line="280" w:lineRule="auto"/>
        <w:jc w:val="both"/>
        <w:rPr>
          <w:lang w:val="en-US"/>
        </w:rPr>
      </w:pPr>
      <w:r w:rsidRPr="00DA33EB">
        <w:rPr>
          <w:lang w:val="en-US"/>
        </w:rPr>
        <w:t xml:space="preserve">Kahneman, D. (2011). </w:t>
      </w:r>
      <w:r w:rsidRPr="00DA33EB">
        <w:rPr>
          <w:i/>
          <w:iCs/>
          <w:lang w:val="en-US"/>
        </w:rPr>
        <w:t>Thinking, Fast and Slow</w:t>
      </w:r>
      <w:r w:rsidRPr="00DA33EB">
        <w:rPr>
          <w:lang w:val="en-US"/>
        </w:rPr>
        <w:t>. New York: Farrar, Straus and Giroux.</w:t>
      </w:r>
    </w:p>
    <w:p w14:paraId="24DB6FA4" w14:textId="77777777" w:rsidR="00E71D30" w:rsidRDefault="00000000">
      <w:pPr>
        <w:spacing w:before="30" w:after="30" w:line="280" w:lineRule="auto"/>
        <w:jc w:val="both"/>
      </w:pPr>
      <w:r w:rsidRPr="00DA33EB">
        <w:rPr>
          <w:lang w:val="en-US"/>
        </w:rPr>
        <w:t xml:space="preserve">Kahneman, D. &amp; Tversky, A. (1979). Prospect Theory: An Analysis of Decision under Risk. </w:t>
      </w:r>
      <w:r>
        <w:rPr>
          <w:i/>
          <w:iCs/>
        </w:rPr>
        <w:t>Econometrica</w:t>
      </w:r>
      <w:r>
        <w:t>, 47(2), 263–291.</w:t>
      </w:r>
    </w:p>
    <w:p w14:paraId="11569EA1" w14:textId="77777777" w:rsidR="00E71D30" w:rsidRDefault="00000000">
      <w:pPr>
        <w:spacing w:before="30" w:after="30" w:line="280" w:lineRule="auto"/>
        <w:jc w:val="both"/>
      </w:pPr>
      <w:r>
        <w:t xml:space="preserve">Parlamento Europeu e Conselho (2014). Directiva 2014/65/UE relativa aos mercados de instrumentos financeiros (MiFID II). </w:t>
      </w:r>
      <w:r>
        <w:rPr>
          <w:i/>
          <w:iCs/>
        </w:rPr>
        <w:t>Jornal Oficial da União Europeia</w:t>
      </w:r>
      <w:r>
        <w:t>, L 173/349.</w:t>
      </w:r>
    </w:p>
    <w:p w14:paraId="431034DE" w14:textId="77777777" w:rsidR="00E71D30" w:rsidRDefault="00000000">
      <w:pPr>
        <w:spacing w:before="30" w:after="30" w:line="280" w:lineRule="auto"/>
        <w:jc w:val="both"/>
      </w:pPr>
      <w:r>
        <w:t xml:space="preserve">Parlamento Europeu e Conselho (2015). Directiva (UE) 2015/2366 relativa aos serviços de pagamento no mercado interno (PSD2). </w:t>
      </w:r>
      <w:r>
        <w:rPr>
          <w:i/>
          <w:iCs/>
        </w:rPr>
        <w:t>Jornal Oficial da União Europeia</w:t>
      </w:r>
      <w:r>
        <w:t>, L 337/35.</w:t>
      </w:r>
    </w:p>
    <w:p w14:paraId="5FC91332" w14:textId="77777777" w:rsidR="00E71D30" w:rsidRDefault="00000000">
      <w:pPr>
        <w:spacing w:before="30" w:after="30" w:line="280" w:lineRule="auto"/>
        <w:jc w:val="both"/>
      </w:pPr>
      <w:r>
        <w:t xml:space="preserve">Parlamento Europeu e Conselho (2016). Regulamento (UE) 2016/679 relativo à protecção de pessoas singulares no que diz respeito ao tratamento de dados pessoais (RGPD). </w:t>
      </w:r>
      <w:r>
        <w:rPr>
          <w:i/>
          <w:iCs/>
        </w:rPr>
        <w:t>Jornal Oficial da União Europeia</w:t>
      </w:r>
      <w:r>
        <w:t>, L 119/1.</w:t>
      </w:r>
    </w:p>
    <w:p w14:paraId="3FF24A3E" w14:textId="77777777" w:rsidR="00E71D30" w:rsidRDefault="00000000">
      <w:pPr>
        <w:spacing w:before="30" w:after="30" w:line="280" w:lineRule="auto"/>
        <w:jc w:val="both"/>
      </w:pPr>
      <w:r>
        <w:t xml:space="preserve">Parlamento Europeu e Conselho (2018). Directiva (UE) 2018/1673 relativa à prevenção da utilização do sistema financeiro para efeitos de branqueamento de capitais (AMLD6). </w:t>
      </w:r>
      <w:r>
        <w:rPr>
          <w:i/>
          <w:iCs/>
        </w:rPr>
        <w:t>Jornal Oficial da União Europeia</w:t>
      </w:r>
      <w:r>
        <w:t>, L 284/22.</w:t>
      </w:r>
    </w:p>
    <w:p w14:paraId="4D1707A3" w14:textId="77777777" w:rsidR="00E71D30" w:rsidRDefault="00000000">
      <w:pPr>
        <w:spacing w:before="30" w:after="30" w:line="280" w:lineRule="auto"/>
        <w:jc w:val="both"/>
      </w:pPr>
      <w:r>
        <w:t xml:space="preserve">Parlamento Europeu e Conselho (2024). Regulamento (UE) 2024/1689 que estabelece regras harmonizadas em matéria de inteligência artificial (EU AI Act). </w:t>
      </w:r>
      <w:r>
        <w:rPr>
          <w:i/>
          <w:iCs/>
        </w:rPr>
        <w:t>Jornal Oficial da União Europeia</w:t>
      </w:r>
      <w:r>
        <w:t>.</w:t>
      </w:r>
    </w:p>
    <w:p w14:paraId="078CCD43" w14:textId="77777777" w:rsidR="00E71D30" w:rsidRDefault="00000000">
      <w:pPr>
        <w:spacing w:before="30" w:after="30" w:line="280" w:lineRule="auto"/>
        <w:jc w:val="both"/>
      </w:pPr>
      <w:r>
        <w:t xml:space="preserve">Thaler, R. H. &amp; Sunstein, C. R. (2008). </w:t>
      </w:r>
      <w:r w:rsidRPr="00DA33EB">
        <w:rPr>
          <w:i/>
          <w:iCs/>
          <w:lang w:val="en-US"/>
        </w:rPr>
        <w:t>Nudge: Improving Decisions About Health, Wealth, and Happiness</w:t>
      </w:r>
      <w:r w:rsidRPr="00DA33EB">
        <w:rPr>
          <w:lang w:val="en-US"/>
        </w:rPr>
        <w:t xml:space="preserve">. </w:t>
      </w:r>
      <w:r>
        <w:t>New Haven: Yale University Press.</w:t>
      </w:r>
    </w:p>
    <w:p w14:paraId="3FAB3D09" w14:textId="77777777" w:rsidR="00E71D30" w:rsidRDefault="00E71D30"/>
    <w:p w14:paraId="275156DE" w14:textId="77777777" w:rsidR="00E71D30" w:rsidRDefault="00E71D30"/>
    <w:p w14:paraId="767E38E5" w14:textId="77777777" w:rsidR="00E71D30" w:rsidRDefault="00E71D30">
      <w:pPr>
        <w:pBdr>
          <w:bottom w:val="single" w:sz="4" w:space="1" w:color="CCCCCC"/>
        </w:pBdr>
        <w:spacing w:before="120" w:after="60"/>
      </w:pPr>
    </w:p>
    <w:p w14:paraId="63599683" w14:textId="77777777" w:rsidR="00E71D30" w:rsidRDefault="00000000">
      <w:pPr>
        <w:spacing w:before="50" w:line="280" w:lineRule="auto"/>
        <w:jc w:val="center"/>
      </w:pPr>
      <w:r>
        <w:rPr>
          <w:i/>
          <w:iCs/>
          <w:color w:val="555555"/>
          <w:sz w:val="18"/>
          <w:szCs w:val="18"/>
        </w:rPr>
        <w:t>Tiago Simões Rodrigues  ·  2022138676  ·  Ciência de Dados para a Gestão  ·  ISCAC / IPC  ·  Maio 2026</w:t>
      </w:r>
    </w:p>
    <w:sectPr w:rsidR="00E71D30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080" w:right="1000" w:bottom="1080" w:left="126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0D4E3" w14:textId="77777777" w:rsidR="00AC7E9D" w:rsidRDefault="00AC7E9D">
      <w:r>
        <w:separator/>
      </w:r>
    </w:p>
  </w:endnote>
  <w:endnote w:type="continuationSeparator" w:id="0">
    <w:p w14:paraId="4C13708E" w14:textId="77777777" w:rsidR="00AC7E9D" w:rsidRDefault="00AC7E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64DBE" w14:textId="77777777" w:rsidR="00E71D30" w:rsidRDefault="00000000">
    <w:pPr>
      <w:pBdr>
        <w:top w:val="single" w:sz="4" w:space="2" w:color="CCCCCC"/>
      </w:pBdr>
      <w:spacing w:before="60"/>
      <w:jc w:val="center"/>
    </w:pPr>
    <w:r>
      <w:rPr>
        <w:color w:val="555555"/>
        <w:sz w:val="18"/>
        <w:szCs w:val="18"/>
      </w:rPr>
      <w:t>Relatório Final  |  Cadeira de FinTech  |  Maio 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ED1E7" w14:textId="77777777" w:rsidR="00E71D30" w:rsidRDefault="00000000">
    <w:pPr>
      <w:pBdr>
        <w:top w:val="single" w:sz="4" w:space="2" w:color="CCCCCC"/>
      </w:pBdr>
      <w:spacing w:before="60"/>
      <w:jc w:val="center"/>
    </w:pPr>
    <w:r>
      <w:rPr>
        <w:color w:val="555555"/>
        <w:sz w:val="18"/>
        <w:szCs w:val="18"/>
      </w:rPr>
      <w:t xml:space="preserve">Relatório </w:t>
    </w:r>
    <w:r>
      <w:rPr>
        <w:color w:val="555555"/>
        <w:sz w:val="18"/>
        <w:szCs w:val="18"/>
      </w:rPr>
      <w:t>Final  |  Cadeira de FinTech  |  Maio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2BF4F" w14:textId="77777777" w:rsidR="00AC7E9D" w:rsidRDefault="00AC7E9D">
      <w:r>
        <w:separator/>
      </w:r>
    </w:p>
  </w:footnote>
  <w:footnote w:type="continuationSeparator" w:id="0">
    <w:p w14:paraId="1F9F1F31" w14:textId="77777777" w:rsidR="00AC7E9D" w:rsidRDefault="00AC7E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C2D0A" w14:textId="77777777" w:rsidR="00E71D30" w:rsidRDefault="00000000">
    <w:pPr>
      <w:pBdr>
        <w:bottom w:val="single" w:sz="5" w:space="2" w:color="000000"/>
      </w:pBdr>
      <w:tabs>
        <w:tab w:val="right" w:pos="8800"/>
      </w:tabs>
      <w:spacing w:after="60"/>
    </w:pPr>
    <w:r>
      <w:rPr>
        <w:color w:val="555555"/>
        <w:sz w:val="18"/>
        <w:szCs w:val="18"/>
      </w:rPr>
      <w:t>Gémeo Digital do Tiago Rodrigues</w:t>
    </w:r>
    <w:r>
      <w:rPr>
        <w:sz w:val="18"/>
        <w:szCs w:val="18"/>
      </w:rPr>
      <w:tab/>
    </w:r>
    <w:r>
      <w:rPr>
        <w:color w:val="555555"/>
        <w:sz w:val="18"/>
        <w:szCs w:val="18"/>
      </w:rPr>
      <w:t xml:space="preserve">Pág.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DA33EB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B488" w14:textId="77777777" w:rsidR="00E71D30" w:rsidRDefault="00E71D3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063FA"/>
    <w:multiLevelType w:val="hybridMultilevel"/>
    <w:tmpl w:val="8E38878E"/>
    <w:lvl w:ilvl="0" w:tplc="DE98FFF2">
      <w:start w:val="1"/>
      <w:numFmt w:val="bullet"/>
      <w:lvlText w:val="•"/>
      <w:lvlJc w:val="left"/>
      <w:pPr>
        <w:ind w:left="540" w:hanging="270"/>
      </w:pPr>
    </w:lvl>
    <w:lvl w:ilvl="1" w:tplc="B5446DD8">
      <w:numFmt w:val="decimal"/>
      <w:lvlText w:val=""/>
      <w:lvlJc w:val="left"/>
    </w:lvl>
    <w:lvl w:ilvl="2" w:tplc="6E123416">
      <w:numFmt w:val="decimal"/>
      <w:lvlText w:val=""/>
      <w:lvlJc w:val="left"/>
    </w:lvl>
    <w:lvl w:ilvl="3" w:tplc="B2AE3A98">
      <w:numFmt w:val="decimal"/>
      <w:lvlText w:val=""/>
      <w:lvlJc w:val="left"/>
    </w:lvl>
    <w:lvl w:ilvl="4" w:tplc="585E9010">
      <w:numFmt w:val="decimal"/>
      <w:lvlText w:val=""/>
      <w:lvlJc w:val="left"/>
    </w:lvl>
    <w:lvl w:ilvl="5" w:tplc="5D2837B2">
      <w:numFmt w:val="decimal"/>
      <w:lvlText w:val=""/>
      <w:lvlJc w:val="left"/>
    </w:lvl>
    <w:lvl w:ilvl="6" w:tplc="FAE0283A">
      <w:numFmt w:val="decimal"/>
      <w:lvlText w:val=""/>
      <w:lvlJc w:val="left"/>
    </w:lvl>
    <w:lvl w:ilvl="7" w:tplc="9314CFAE">
      <w:numFmt w:val="decimal"/>
      <w:lvlText w:val=""/>
      <w:lvlJc w:val="left"/>
    </w:lvl>
    <w:lvl w:ilvl="8" w:tplc="F1FE2058">
      <w:numFmt w:val="decimal"/>
      <w:lvlText w:val=""/>
      <w:lvlJc w:val="left"/>
    </w:lvl>
  </w:abstractNum>
  <w:abstractNum w:abstractNumId="1" w15:restartNumberingAfterBreak="0">
    <w:nsid w:val="770422EA"/>
    <w:multiLevelType w:val="hybridMultilevel"/>
    <w:tmpl w:val="66427E3A"/>
    <w:lvl w:ilvl="0" w:tplc="03C05ECA">
      <w:start w:val="1"/>
      <w:numFmt w:val="bullet"/>
      <w:lvlText w:val="●"/>
      <w:lvlJc w:val="left"/>
      <w:pPr>
        <w:ind w:left="720" w:hanging="360"/>
      </w:pPr>
    </w:lvl>
    <w:lvl w:ilvl="1" w:tplc="C20CBC32">
      <w:start w:val="1"/>
      <w:numFmt w:val="bullet"/>
      <w:lvlText w:val="○"/>
      <w:lvlJc w:val="left"/>
      <w:pPr>
        <w:ind w:left="1440" w:hanging="360"/>
      </w:pPr>
    </w:lvl>
    <w:lvl w:ilvl="2" w:tplc="526203C4">
      <w:start w:val="1"/>
      <w:numFmt w:val="bullet"/>
      <w:lvlText w:val="■"/>
      <w:lvlJc w:val="left"/>
      <w:pPr>
        <w:ind w:left="2160" w:hanging="360"/>
      </w:pPr>
    </w:lvl>
    <w:lvl w:ilvl="3" w:tplc="CBC25020">
      <w:start w:val="1"/>
      <w:numFmt w:val="bullet"/>
      <w:lvlText w:val="●"/>
      <w:lvlJc w:val="left"/>
      <w:pPr>
        <w:ind w:left="2880" w:hanging="360"/>
      </w:pPr>
    </w:lvl>
    <w:lvl w:ilvl="4" w:tplc="37FC2E26">
      <w:start w:val="1"/>
      <w:numFmt w:val="bullet"/>
      <w:lvlText w:val="○"/>
      <w:lvlJc w:val="left"/>
      <w:pPr>
        <w:ind w:left="3600" w:hanging="360"/>
      </w:pPr>
    </w:lvl>
    <w:lvl w:ilvl="5" w:tplc="E0AA68E4">
      <w:start w:val="1"/>
      <w:numFmt w:val="bullet"/>
      <w:lvlText w:val="■"/>
      <w:lvlJc w:val="left"/>
      <w:pPr>
        <w:ind w:left="4320" w:hanging="360"/>
      </w:pPr>
    </w:lvl>
    <w:lvl w:ilvl="6" w:tplc="4DC2656E">
      <w:start w:val="1"/>
      <w:numFmt w:val="bullet"/>
      <w:lvlText w:val="●"/>
      <w:lvlJc w:val="left"/>
      <w:pPr>
        <w:ind w:left="5040" w:hanging="360"/>
      </w:pPr>
    </w:lvl>
    <w:lvl w:ilvl="7" w:tplc="86B084C6">
      <w:start w:val="1"/>
      <w:numFmt w:val="bullet"/>
      <w:lvlText w:val="●"/>
      <w:lvlJc w:val="left"/>
      <w:pPr>
        <w:ind w:left="5760" w:hanging="360"/>
      </w:pPr>
    </w:lvl>
    <w:lvl w:ilvl="8" w:tplc="3EF83536">
      <w:start w:val="1"/>
      <w:numFmt w:val="bullet"/>
      <w:lvlText w:val="●"/>
      <w:lvlJc w:val="left"/>
      <w:pPr>
        <w:ind w:left="6480" w:hanging="360"/>
      </w:pPr>
    </w:lvl>
  </w:abstractNum>
  <w:num w:numId="1" w16cid:durableId="776757904">
    <w:abstractNumId w:val="1"/>
    <w:lvlOverride w:ilvl="0">
      <w:startOverride w:val="1"/>
    </w:lvlOverride>
  </w:num>
  <w:num w:numId="2" w16cid:durableId="19094203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D30"/>
    <w:rsid w:val="00496744"/>
    <w:rsid w:val="00AC7E9D"/>
    <w:rsid w:val="00B92014"/>
    <w:rsid w:val="00DA33EB"/>
    <w:rsid w:val="00E71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6C25E"/>
  <w15:docId w15:val="{0E0BBACD-0459-4D60-A64E-35E777C98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1A1A1A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80"/>
      <w:outlineLvl w:val="0"/>
    </w:pPr>
    <w:rPr>
      <w:b/>
      <w:bCs/>
      <w:color w:val="000000"/>
      <w:sz w:val="26"/>
      <w:szCs w:val="26"/>
    </w:rPr>
  </w:style>
  <w:style w:type="paragraph" w:styleId="Heading2">
    <w:name w:val="heading 2"/>
    <w:uiPriority w:val="9"/>
    <w:semiHidden/>
    <w:unhideWhenUsed/>
    <w:qFormat/>
    <w:pPr>
      <w:spacing w:before="140" w:after="60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3123</Words>
  <Characters>18708</Characters>
  <Application>Microsoft Office Word</Application>
  <DocSecurity>0</DocSecurity>
  <Lines>366</Lines>
  <Paragraphs>211</Paragraphs>
  <ScaleCrop>false</ScaleCrop>
  <Company/>
  <LinksUpToDate>false</LinksUpToDate>
  <CharactersWithSpaces>21620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Tiago Rodrigues</cp:lastModifiedBy>
  <cp:revision>3</cp:revision>
  <dcterms:created xsi:type="dcterms:W3CDTF">2026-05-11T00:29:00Z</dcterms:created>
  <dcterms:modified xsi:type="dcterms:W3CDTF">2026-05-11T00:39:00Z</dcterms:modified>
</cp:coreProperties>
</file>