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9362D"/>
    <w:p w14:paraId="686C18AE"/>
    <w:p w14:paraId="1D07BA3B"/>
    <w:p w14:paraId="028C2BC4"/>
    <w:p w14:paraId="1E326BFF">
      <w:pPr>
        <w:jc w:val="center"/>
      </w:pPr>
      <w:r>
        <w:rPr>
          <w:rFonts w:ascii="Times New Roman" w:hAnsi="Times New Roman" w:eastAsia="黑体"/>
          <w:b/>
          <w:color w:val="1F3A5F"/>
          <w:sz w:val="56"/>
        </w:rPr>
        <w:t>项 目 计 划 书</w:t>
      </w:r>
    </w:p>
    <w:p w14:paraId="45C364A5">
      <w:pPr>
        <w:spacing w:before="360"/>
        <w:jc w:val="center"/>
      </w:pPr>
      <w:r>
        <w:rPr>
          <w:rFonts w:ascii="Times New Roman" w:hAnsi="Times New Roman" w:eastAsia="黑体"/>
          <w:b/>
          <w:sz w:val="40"/>
        </w:rPr>
        <w:t>社会工作伦理困境智能模拟器</w:t>
      </w:r>
    </w:p>
    <w:p w14:paraId="4A9EB4D4">
      <w:pPr>
        <w:jc w:val="center"/>
      </w:pPr>
      <w:r>
        <w:rPr>
          <w:rFonts w:ascii="Times New Roman" w:hAnsi="Times New Roman" w:eastAsia="宋体"/>
          <w:b w:val="0"/>
          <w:sz w:val="28"/>
        </w:rPr>
        <w:t>Social Work Ethics Simulator</w:t>
      </w:r>
    </w:p>
    <w:p w14:paraId="0A8E81D0">
      <w:pPr>
        <w:spacing w:before="120"/>
        <w:jc w:val="center"/>
      </w:pPr>
      <w:r>
        <w:rPr>
          <w:rFonts w:ascii="Times New Roman" w:hAnsi="Times New Roman" w:eastAsia="宋体"/>
          <w:b w:val="0"/>
          <w:color w:val="555555"/>
          <w:sz w:val="24"/>
        </w:rPr>
        <w:t>—— Social Work AI Lab 的第一个原型与研究平台 ——</w:t>
      </w:r>
    </w:p>
    <w:p w14:paraId="5D0D324E"/>
    <w:p w14:paraId="1C97B01E"/>
    <w:p w14:paraId="7677D235"/>
    <w:p w14:paraId="16E3B24F"/>
    <w:p w14:paraId="6ACF7613"/>
    <w:p w14:paraId="397D9C46">
      <w:pPr>
        <w:jc w:val="center"/>
      </w:pPr>
      <w:r>
        <w:rPr>
          <w:rFonts w:hint="eastAsia"/>
          <w:b w:val="0"/>
          <w:sz w:val="24"/>
          <w:lang w:val="en-US" w:eastAsia="zh-CN"/>
        </w:rPr>
        <w:t>周静远  张智博</w:t>
      </w:r>
    </w:p>
    <w:p w14:paraId="0D40B843">
      <w:pPr>
        <w:jc w:val="center"/>
      </w:pPr>
      <w:r>
        <w:rPr>
          <w:rFonts w:ascii="Times New Roman" w:hAnsi="Times New Roman" w:eastAsia="宋体"/>
          <w:b w:val="0"/>
          <w:sz w:val="24"/>
        </w:rPr>
        <w:t>原型访问：https://ethics.a1sc.cn</w:t>
      </w:r>
    </w:p>
    <w:p w14:paraId="738A3399">
      <w:r>
        <w:br w:type="page"/>
      </w:r>
    </w:p>
    <w:p w14:paraId="44F7C755">
      <w:pPr>
        <w:keepNext/>
        <w:spacing w:before="280" w:after="80"/>
      </w:pPr>
      <w:r>
        <w:rPr>
          <w:rFonts w:ascii="Times New Roman" w:hAnsi="Times New Roman" w:eastAsia="黑体"/>
          <w:b/>
          <w:color w:val="1F3A5F"/>
          <w:sz w:val="30"/>
        </w:rPr>
        <w:t>一、项目摘要</w:t>
      </w:r>
    </w:p>
    <w:p w14:paraId="4CCE3982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本项目拟构建一个面向社会工作教育的“伦理困境智能模拟器”：学生扮演社会工作者，与由大语言模型驱动、带有状态与记忆的虚拟服务对象交流，在结构化的伦理情境中做出专业选择，系统据此动态推进情境，并呈现每个选择所保护与牺牲的价值，最终生成反思报告。</w:t>
      </w:r>
    </w:p>
    <w:p w14:paraId="608F1D67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项目的核心立场是：AI 不替社会工作者做决定，而是帮助其思考。系统不给出“标准答案”或道德评分，只展示不同选择背后的价值取向、可能后果与不确定性；涉及儿童保护、人身安全等议题时，AI 输出明确定位为反思材料，而非专业判断。</w:t>
      </w:r>
    </w:p>
    <w:p w14:paraId="4C49C6C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目前已完成可运行的最小可行性产品（MVP）并部署上线，包含一个完整的合成案例（未成年人家庭暴力情境中的保密与保护冲突）。本计划书说明 MVP 的现状与局限，并提出后续的研究设计：专家效度检验、学生试用研究、不同大语言模型的比较，以及相应的研究伦理与数据治理安排。</w:t>
      </w:r>
    </w:p>
    <w:p w14:paraId="1FA313A1">
      <w:pPr>
        <w:keepNext/>
        <w:spacing w:before="280" w:after="80"/>
      </w:pPr>
      <w:r>
        <w:rPr>
          <w:rFonts w:ascii="Times New Roman" w:hAnsi="Times New Roman" w:eastAsia="黑体"/>
          <w:b/>
          <w:color w:val="1F3A5F"/>
          <w:sz w:val="30"/>
        </w:rPr>
        <w:t>二、研究背景与问题</w:t>
      </w:r>
    </w:p>
    <w:p w14:paraId="684F52BE">
      <w:pPr>
        <w:keepNext/>
        <w:spacing w:before="160" w:after="80"/>
      </w:pPr>
      <w:r>
        <w:rPr>
          <w:rFonts w:ascii="Times New Roman" w:hAnsi="Times New Roman" w:eastAsia="黑体"/>
          <w:b/>
          <w:color w:val="222222"/>
          <w:sz w:val="25"/>
        </w:rPr>
        <w:t>2.1 现实问题</w:t>
      </w:r>
    </w:p>
    <w:p w14:paraId="258E5178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社会工作伦理教育面临一个长期难题：真实实务中的伦理困境往往没有唯一答案，且涉及高风险的服务对象，学生难以在真实情境中反复练习；课堂案例讨论多为静态文本，缺少“对方会如何回应”“选择之后会怎样”的动态反馈；角色扮演依赖教师与同学的时间，难以规模化，也难以留下可分析的过程记录。</w:t>
      </w:r>
    </w:p>
    <w:p w14:paraId="29A32C3D">
      <w:pPr>
        <w:keepNext/>
        <w:spacing w:before="160" w:after="80"/>
      </w:pPr>
      <w:r>
        <w:rPr>
          <w:rFonts w:ascii="Times New Roman" w:hAnsi="Times New Roman" w:eastAsia="黑体"/>
          <w:b/>
          <w:color w:val="222222"/>
          <w:sz w:val="25"/>
        </w:rPr>
        <w:t>2.2 技术机会与风险</w:t>
      </w:r>
    </w:p>
    <w:p w14:paraId="7CF888AD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大语言模型使“可对话、可扮演角色、可随情境变化”的模拟成为可能。但直接使用通用聊天机器人存在明显问题：回答缺乏可追溯的依据、可能编造规范与文献、倾向给出看似权威的单一结论、对高风险情境缺乏边界意识。因此，把大模型简单包装成聊天网站并不适合伦理教育，需要在结构化情境、可解释的状态机制、价值冲突呈现和人在回路等方面进行专门设计。</w:t>
      </w:r>
    </w:p>
    <w:p w14:paraId="4EBD4BC5">
      <w:pPr>
        <w:keepNext/>
        <w:spacing w:before="280" w:after="80"/>
      </w:pPr>
      <w:r>
        <w:rPr>
          <w:rFonts w:ascii="Times New Roman" w:hAnsi="Times New Roman" w:eastAsia="黑体"/>
          <w:b/>
          <w:color w:val="1F3A5F"/>
          <w:sz w:val="30"/>
        </w:rPr>
        <w:t>三、研究目的与研究问题</w:t>
      </w:r>
    </w:p>
    <w:p w14:paraId="786FA262">
      <w:pPr>
        <w:spacing w:after="80" w:line="360" w:lineRule="auto"/>
        <w:ind w:firstLine="420"/>
        <w:rPr>
          <w:rFonts w:ascii="Times New Roman" w:hAnsi="Times New Roman" w:eastAsia="宋体"/>
          <w:b w:val="0"/>
          <w:sz w:val="22"/>
        </w:rPr>
      </w:pPr>
      <w:r>
        <w:rPr>
          <w:rFonts w:ascii="Times New Roman" w:hAnsi="Times New Roman" w:eastAsia="宋体"/>
          <w:b w:val="0"/>
          <w:sz w:val="22"/>
        </w:rPr>
        <w:t>总体目的：开发并检验一个可解释、人在回路的社会工作伦理模拟系统，探索其作为伦理反思教学工具的可行性与教育价值，并形成可复用的研究基础设施。</w:t>
      </w:r>
    </w:p>
    <w:p w14:paraId="1E72C74A">
      <w:pPr>
        <w:spacing w:after="80" w:line="360" w:lineRule="auto"/>
        <w:ind w:firstLine="420"/>
        <w:rPr>
          <w:rFonts w:ascii="Times New Roman" w:hAnsi="Times New Roman" w:eastAsia="宋体"/>
          <w:b w:val="0"/>
          <w:sz w:val="22"/>
        </w:rPr>
      </w:pPr>
    </w:p>
    <w:p w14:paraId="355F5137">
      <w:pPr>
        <w:spacing w:after="80" w:line="360" w:lineRule="auto"/>
        <w:ind w:firstLine="420"/>
        <w:rPr>
          <w:rFonts w:ascii="Times New Roman" w:hAnsi="Times New Roman" w:eastAsia="宋体"/>
          <w:b w:val="0"/>
          <w:sz w:val="22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3515"/>
        <w:gridCol w:w="1701"/>
        <w:gridCol w:w="3061"/>
      </w:tblGrid>
      <w:tr w14:paraId="6536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DCE6F1"/>
          </w:tcPr>
          <w:p w14:paraId="22070961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w="3515" w:type="dxa"/>
            <w:shd w:val="clear" w:color="auto" w:fill="DCE6F1"/>
          </w:tcPr>
          <w:p w14:paraId="6D63CE45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研究问题</w:t>
            </w:r>
          </w:p>
        </w:tc>
        <w:tc>
          <w:tcPr>
            <w:tcW w:w="1701" w:type="dxa"/>
            <w:shd w:val="clear" w:color="auto" w:fill="DCE6F1"/>
          </w:tcPr>
          <w:p w14:paraId="3D182E63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对应工作</w:t>
            </w:r>
          </w:p>
        </w:tc>
        <w:tc>
          <w:tcPr>
            <w:tcW w:w="3061" w:type="dxa"/>
            <w:shd w:val="clear" w:color="auto" w:fill="DCE6F1"/>
          </w:tcPr>
          <w:p w14:paraId="39100B10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拟用方法</w:t>
            </w:r>
          </w:p>
        </w:tc>
      </w:tr>
      <w:tr w14:paraId="09E44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1B8F83D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RQ1</w:t>
            </w:r>
          </w:p>
        </w:tc>
        <w:tc>
          <w:tcPr>
            <w:tcW w:w="3515" w:type="dxa"/>
          </w:tcPr>
          <w:p w14:paraId="759B0FA2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AI 生成的伦理情境与服务对象互动，在专业上是否合理、是否具有教育价值？</w:t>
            </w:r>
          </w:p>
        </w:tc>
        <w:tc>
          <w:tcPr>
            <w:tcW w:w="1701" w:type="dxa"/>
          </w:tcPr>
          <w:p w14:paraId="3805FF41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专家效度检验</w:t>
            </w:r>
          </w:p>
        </w:tc>
        <w:tc>
          <w:tcPr>
            <w:tcW w:w="3061" w:type="dxa"/>
          </w:tcPr>
          <w:p w14:paraId="049EC5B4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专家评议（内容效度）、结构化评分表、质性意见</w:t>
            </w:r>
          </w:p>
        </w:tc>
      </w:tr>
      <w:tr w14:paraId="67707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F9CA9E9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RQ2</w:t>
            </w:r>
          </w:p>
        </w:tc>
        <w:tc>
          <w:tcPr>
            <w:tcW w:w="3515" w:type="dxa"/>
          </w:tcPr>
          <w:p w14:paraId="161C0363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学生使用模拟器后，其伦理敏感性与反思表达有何变化？</w:t>
            </w:r>
          </w:p>
        </w:tc>
        <w:tc>
          <w:tcPr>
            <w:tcW w:w="1701" w:type="dxa"/>
          </w:tcPr>
          <w:p w14:paraId="39FFC7D7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学生试用研究</w:t>
            </w:r>
          </w:p>
        </w:tc>
        <w:tc>
          <w:tcPr>
            <w:tcW w:w="3061" w:type="dxa"/>
          </w:tcPr>
          <w:p w14:paraId="74F2BAB6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前后测与访谈；混合方法（样本与量表待定）</w:t>
            </w:r>
          </w:p>
        </w:tc>
      </w:tr>
      <w:tr w14:paraId="417E0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195AED8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RQ3</w:t>
            </w:r>
          </w:p>
        </w:tc>
        <w:tc>
          <w:tcPr>
            <w:tcW w:w="3515" w:type="dxa"/>
          </w:tcPr>
          <w:p w14:paraId="70912DE5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不同大语言模型在同一情境下，扮演服务对象的一致性与伦理推理表现有何差异？</w:t>
            </w:r>
          </w:p>
        </w:tc>
        <w:tc>
          <w:tcPr>
            <w:tcW w:w="1701" w:type="dxa"/>
          </w:tcPr>
          <w:p w14:paraId="08566DE9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模型比较</w:t>
            </w:r>
          </w:p>
        </w:tc>
        <w:tc>
          <w:tcPr>
            <w:tcW w:w="3061" w:type="dxa"/>
          </w:tcPr>
          <w:p w14:paraId="37CF3AF9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固定情境与脚本化输入，专家盲评</w:t>
            </w:r>
          </w:p>
        </w:tc>
      </w:tr>
      <w:tr w14:paraId="0CA89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2EFA5BB0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RQ4</w:t>
            </w:r>
          </w:p>
        </w:tc>
        <w:tc>
          <w:tcPr>
            <w:tcW w:w="3515" w:type="dxa"/>
          </w:tcPr>
          <w:p w14:paraId="446BCC12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系统呈现价值冲突（而非对错判断）的方式，是否促进学生更多地从多角度思考？</w:t>
            </w:r>
          </w:p>
        </w:tc>
        <w:tc>
          <w:tcPr>
            <w:tcW w:w="1701" w:type="dxa"/>
          </w:tcPr>
          <w:p w14:paraId="488D58E3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反思材料分析</w:t>
            </w:r>
          </w:p>
        </w:tc>
        <w:tc>
          <w:tcPr>
            <w:tcW w:w="3061" w:type="dxa"/>
          </w:tcPr>
          <w:p w14:paraId="6BEA9603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对学生反思文本的内容分析</w:t>
            </w:r>
          </w:p>
        </w:tc>
      </w:tr>
    </w:tbl>
    <w:p w14:paraId="1258BC1E">
      <w:pPr>
        <w:spacing w:after="40"/>
      </w:pPr>
    </w:p>
    <w:p w14:paraId="5FB54BA1">
      <w:pPr>
        <w:spacing w:after="80" w:line="360" w:lineRule="auto"/>
      </w:pPr>
      <w:r>
        <w:rPr>
          <w:rFonts w:ascii="Times New Roman" w:hAnsi="Times New Roman" w:eastAsia="宋体"/>
          <w:b w:val="0"/>
          <w:sz w:val="22"/>
        </w:rPr>
        <w:t>说明：RQ2 的因果推断需要对照设计和足够样本，受限于课程条件，初期定位为探索性研究，不作疗效性结论。</w:t>
      </w:r>
    </w:p>
    <w:p w14:paraId="4330BB77">
      <w:pPr>
        <w:keepNext/>
        <w:spacing w:before="280" w:after="80"/>
      </w:pPr>
      <w:r>
        <w:rPr>
          <w:rFonts w:ascii="Times New Roman" w:hAnsi="Times New Roman" w:eastAsia="黑体"/>
          <w:b/>
          <w:color w:val="1F3A5F"/>
          <w:sz w:val="30"/>
        </w:rPr>
        <w:t>四、设计原则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608"/>
        <w:gridCol w:w="4762"/>
      </w:tblGrid>
      <w:tr w14:paraId="6C78E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6F1"/>
          </w:tcPr>
          <w:p w14:paraId="3B528420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原则</w:t>
            </w:r>
          </w:p>
        </w:tc>
        <w:tc>
          <w:tcPr>
            <w:tcW w:w="2608" w:type="dxa"/>
            <w:shd w:val="clear" w:color="auto" w:fill="DCE6F1"/>
          </w:tcPr>
          <w:p w14:paraId="0204EA6F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  <w:tc>
          <w:tcPr>
            <w:tcW w:w="4762" w:type="dxa"/>
            <w:shd w:val="clear" w:color="auto" w:fill="DCE6F1"/>
          </w:tcPr>
          <w:p w14:paraId="700E2847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在系统中的体现</w:t>
            </w:r>
          </w:p>
        </w:tc>
      </w:tr>
      <w:tr w14:paraId="5236B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6159A6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人在回路</w:t>
            </w:r>
          </w:p>
        </w:tc>
        <w:tc>
          <w:tcPr>
            <w:tcW w:w="2608" w:type="dxa"/>
          </w:tcPr>
          <w:p w14:paraId="71936BEA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AI 不是最终决策者</w:t>
            </w:r>
          </w:p>
        </w:tc>
        <w:tc>
          <w:tcPr>
            <w:tcW w:w="4762" w:type="dxa"/>
          </w:tcPr>
          <w:p w14:paraId="3A88D8AA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高风险情境下固定展示提示：AI 仅提供反思材料，最终判断由具备专业责任的人完成</w:t>
            </w:r>
          </w:p>
        </w:tc>
      </w:tr>
      <w:tr w14:paraId="13121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8BF118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增强而非替代</w:t>
            </w:r>
          </w:p>
        </w:tc>
        <w:tc>
          <w:tcPr>
            <w:tcW w:w="2608" w:type="dxa"/>
          </w:tcPr>
          <w:p w14:paraId="09244728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增强社工的专业能力</w:t>
            </w:r>
          </w:p>
        </w:tc>
        <w:tc>
          <w:tcPr>
            <w:tcW w:w="4762" w:type="dxa"/>
          </w:tcPr>
          <w:p w14:paraId="176ECFBB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只做模拟与反思，不输出处置建议或风险评定</w:t>
            </w:r>
          </w:p>
        </w:tc>
      </w:tr>
      <w:tr w14:paraId="307C5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C60D16B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不设唯一正确答案</w:t>
            </w:r>
          </w:p>
        </w:tc>
        <w:tc>
          <w:tcPr>
            <w:tcW w:w="2608" w:type="dxa"/>
          </w:tcPr>
          <w:p w14:paraId="1E4758AA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伦理冲突是价值之间的取舍</w:t>
            </w:r>
          </w:p>
        </w:tc>
        <w:tc>
          <w:tcPr>
            <w:tcW w:w="4762" w:type="dxa"/>
          </w:tcPr>
          <w:p w14:paraId="22044CEC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每个选项标注“保护了什么 / 牺牲了什么”，报告不打分</w:t>
            </w:r>
          </w:p>
        </w:tc>
      </w:tr>
      <w:tr w14:paraId="04292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ED5879A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可解释</w:t>
            </w:r>
          </w:p>
        </w:tc>
        <w:tc>
          <w:tcPr>
            <w:tcW w:w="2608" w:type="dxa"/>
          </w:tcPr>
          <w:p w14:paraId="50F2FE4E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判断须有依据与不确定性说明</w:t>
            </w:r>
          </w:p>
        </w:tc>
        <w:tc>
          <w:tcPr>
            <w:tcW w:w="4762" w:type="dxa"/>
          </w:tcPr>
          <w:p w14:paraId="33AD9CB6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状态变化均带理由；报告列出不确定性与多种伦理视角</w:t>
            </w:r>
          </w:p>
        </w:tc>
      </w:tr>
      <w:tr w14:paraId="0B9F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E51E346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知识与模型解耦</w:t>
            </w:r>
          </w:p>
        </w:tc>
        <w:tc>
          <w:tcPr>
            <w:tcW w:w="2608" w:type="dxa"/>
          </w:tcPr>
          <w:p w14:paraId="0BB6ADE3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不绑定某一家模型</w:t>
            </w:r>
          </w:p>
        </w:tc>
        <w:tc>
          <w:tcPr>
            <w:tcW w:w="4762" w:type="dxa"/>
          </w:tcPr>
          <w:p w14:paraId="7EF7F982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统一的 LLM Provider 接口，更换模型不改业务逻辑</w:t>
            </w:r>
          </w:p>
        </w:tc>
      </w:tr>
      <w:tr w14:paraId="0604A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8CA6B69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合成数据优先</w:t>
            </w:r>
          </w:p>
        </w:tc>
        <w:tc>
          <w:tcPr>
            <w:tcW w:w="2608" w:type="dxa"/>
          </w:tcPr>
          <w:p w14:paraId="0D31F10B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不使用真实服务对象信息</w:t>
            </w:r>
          </w:p>
        </w:tc>
        <w:tc>
          <w:tcPr>
            <w:tcW w:w="4762" w:type="dxa"/>
          </w:tcPr>
          <w:p w14:paraId="283EE3AA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案例与人物均为虚构，并在界面中标注</w:t>
            </w:r>
          </w:p>
        </w:tc>
      </w:tr>
      <w:tr w14:paraId="76D13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41B877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不虚构引用</w:t>
            </w:r>
          </w:p>
        </w:tc>
        <w:tc>
          <w:tcPr>
            <w:tcW w:w="2608" w:type="dxa"/>
          </w:tcPr>
          <w:p w14:paraId="35AB9090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避免模型编造规范与文献</w:t>
            </w:r>
          </w:p>
        </w:tc>
        <w:tc>
          <w:tcPr>
            <w:tcW w:w="4762" w:type="dxa"/>
          </w:tcPr>
          <w:p w14:paraId="1A26C7FD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案例中的规范来源默认标记为“未核对”，不作为权威引用展示</w:t>
            </w:r>
          </w:p>
        </w:tc>
      </w:tr>
    </w:tbl>
    <w:p w14:paraId="18B0CFA8">
      <w:pPr>
        <w:spacing w:after="40"/>
      </w:pPr>
    </w:p>
    <w:p w14:paraId="492E1A76">
      <w:pPr>
        <w:keepNext/>
        <w:spacing w:before="280" w:after="80"/>
      </w:pPr>
      <w:r>
        <w:rPr>
          <w:rFonts w:ascii="Times New Roman" w:hAnsi="Times New Roman" w:eastAsia="黑体"/>
          <w:b/>
          <w:color w:val="1F3A5F"/>
          <w:sz w:val="30"/>
        </w:rPr>
        <w:t>五、已完成工作：MVP 现状</w:t>
      </w:r>
    </w:p>
    <w:p w14:paraId="2706F331">
      <w:pPr>
        <w:keepNext/>
        <w:spacing w:before="160" w:after="80"/>
      </w:pPr>
      <w:r>
        <w:rPr>
          <w:rFonts w:ascii="Times New Roman" w:hAnsi="Times New Roman" w:eastAsia="黑体"/>
          <w:b/>
          <w:color w:val="222222"/>
          <w:sz w:val="25"/>
        </w:rPr>
        <w:t>5.1 产品体验</w:t>
      </w:r>
    </w:p>
    <w:p w14:paraId="0338EA1D">
      <w:pPr>
        <w:spacing w:after="80" w:line="360" w:lineRule="auto"/>
        <w:ind w:firstLine="420"/>
        <w:rPr>
          <w:rFonts w:ascii="Times New Roman" w:hAnsi="Times New Roman" w:eastAsia="宋体"/>
          <w:b w:val="0"/>
          <w:sz w:val="22"/>
        </w:rPr>
      </w:pPr>
      <w:r>
        <w:rPr>
          <w:rFonts w:ascii="Times New Roman" w:hAnsi="Times New Roman" w:eastAsia="宋体"/>
          <w:b w:val="0"/>
          <w:sz w:val="22"/>
        </w:rPr>
        <w:t>学生进入情境后，先与虚拟服务对象“小远”（化名，15 岁中学生）多轮交谈；交流达到一定轮数后出现决策节点，学生选择行动并可写下理由；系统展示该选择保护的价值、承担的代价、涉及的价值冲突与可能后果，并按所选分支推进下一阶段；全部节点完成后生成伦理反思报告。</w:t>
      </w:r>
    </w:p>
    <w:p w14:paraId="31023544">
      <w:pPr>
        <w:spacing w:after="80" w:line="360" w:lineRule="auto"/>
        <w:ind w:firstLine="420"/>
        <w:rPr>
          <w:rFonts w:ascii="Times New Roman" w:hAnsi="Times New Roman" w:eastAsia="宋体"/>
          <w:b w:val="0"/>
          <w:sz w:val="22"/>
        </w:rPr>
      </w:pPr>
    </w:p>
    <w:p w14:paraId="3D20DD65">
      <w:pPr>
        <w:spacing w:after="80" w:line="360" w:lineRule="auto"/>
        <w:ind w:firstLine="420"/>
        <w:rPr>
          <w:rFonts w:ascii="Times New Roman" w:hAnsi="Times New Roman" w:eastAsia="宋体"/>
          <w:b w:val="0"/>
          <w:sz w:val="22"/>
        </w:rPr>
      </w:pPr>
    </w:p>
    <w:p w14:paraId="29CB40F0">
      <w:pPr>
        <w:spacing w:after="80" w:line="360" w:lineRule="auto"/>
        <w:ind w:firstLine="420"/>
        <w:rPr>
          <w:rFonts w:ascii="Times New Roman" w:hAnsi="Times New Roman" w:eastAsia="宋体"/>
          <w:b w:val="0"/>
          <w:sz w:val="22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48DD2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1"/>
          </w:tcPr>
          <w:p w14:paraId="2BE0D92E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环节</w:t>
            </w:r>
          </w:p>
        </w:tc>
        <w:tc>
          <w:tcPr>
            <w:tcW w:w="7257" w:type="dxa"/>
            <w:shd w:val="clear" w:color="auto" w:fill="DCE6F1"/>
          </w:tcPr>
          <w:p w14:paraId="2CA7228D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已实现内容</w:t>
            </w:r>
          </w:p>
        </w:tc>
      </w:tr>
      <w:tr w14:paraId="0E87D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85C956D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情境</w:t>
            </w:r>
          </w:p>
        </w:tc>
        <w:tc>
          <w:tcPr>
            <w:tcW w:w="7257" w:type="dxa"/>
          </w:tcPr>
          <w:p w14:paraId="1F5CC70F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1 个结构化合成案例：未成年人家庭暴力情境中的保密、自主、安全、最小伤害、专业责任与家庭关系冲突；含 5 位利益相关者、机构约束、信息不完整设定</w:t>
            </w:r>
          </w:p>
        </w:tc>
      </w:tr>
      <w:tr w14:paraId="1889E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6168E15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服务对象 Agent</w:t>
            </w:r>
          </w:p>
        </w:tc>
        <w:tc>
          <w:tcPr>
            <w:tcW w:w="7257" w:type="dxa"/>
          </w:tcPr>
          <w:p w14:paraId="1D3FD67F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有人物设定、目标、恐惧、价值观、知识边界和行为策略；维护 7 项状态（信任、恐惧、愤怒、披露意愿、风险水平、依赖、关系质量）及对话记忆</w:t>
            </w:r>
          </w:p>
        </w:tc>
      </w:tr>
      <w:tr w14:paraId="15970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C258A5B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状态机制</w:t>
            </w:r>
          </w:p>
        </w:tc>
        <w:tc>
          <w:tcPr>
            <w:tcW w:w="7257" w:type="dxa"/>
          </w:tcPr>
          <w:p w14:paraId="639819F3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学生话语被归类为行为类型（如专业性共情、强迫式追问、虚假承诺等），按带理由的规则改变状态；数值为教学启发式假设</w:t>
            </w:r>
          </w:p>
        </w:tc>
      </w:tr>
      <w:tr w14:paraId="357AF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B7E2B55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决策节点</w:t>
            </w:r>
          </w:p>
        </w:tc>
        <w:tc>
          <w:tcPr>
            <w:tcW w:w="7257" w:type="dxa"/>
          </w:tcPr>
          <w:p w14:paraId="247B3BF7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2 个节点，每节点 3–4 个选项，不同选择导向不同叙事分支</w:t>
            </w:r>
          </w:p>
        </w:tc>
      </w:tr>
      <w:tr w14:paraId="1CB4F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A6E88C4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伦理分析</w:t>
            </w:r>
          </w:p>
        </w:tc>
        <w:tc>
          <w:tcPr>
            <w:tcW w:w="7257" w:type="dxa"/>
          </w:tcPr>
          <w:p w14:paraId="05BA7D09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每个选项以人工标注方式给出：保护的价值、牺牲的价值、多种可能后果、对状态的影响</w:t>
            </w:r>
          </w:p>
        </w:tc>
      </w:tr>
      <w:tr w14:paraId="02453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8EA5C31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反思报告</w:t>
            </w:r>
          </w:p>
        </w:tc>
        <w:tc>
          <w:tcPr>
            <w:tcW w:w="7257" w:type="dxa"/>
          </w:tcPr>
          <w:p w14:paraId="6D94B371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决策路径、价值取向分布、价值冲突、4 种伦理视角、不确定性、5 个留给学生的反思问题</w:t>
            </w:r>
          </w:p>
        </w:tc>
      </w:tr>
      <w:tr w14:paraId="1AFCF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335B90A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研究记录</w:t>
            </w:r>
          </w:p>
        </w:tc>
        <w:tc>
          <w:tcPr>
            <w:tcW w:w="7257" w:type="dxa"/>
          </w:tcPr>
          <w:p w14:paraId="03F400E3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记录会话开始、学生发言、Agent 回复、决策、反思生成事件，含模型、模型版本、提示词版本、案例版本、时间戳</w:t>
            </w:r>
          </w:p>
        </w:tc>
      </w:tr>
    </w:tbl>
    <w:p w14:paraId="5971D74D">
      <w:pPr>
        <w:spacing w:after="40"/>
      </w:pPr>
    </w:p>
    <w:p w14:paraId="69EF89D9">
      <w:pPr>
        <w:keepNext/>
        <w:spacing w:before="160" w:after="80"/>
      </w:pPr>
      <w:r>
        <w:rPr>
          <w:rFonts w:ascii="Times New Roman" w:hAnsi="Times New Roman" w:eastAsia="黑体"/>
          <w:b/>
          <w:color w:val="222222"/>
          <w:sz w:val="25"/>
        </w:rPr>
        <w:t>5.2 技术实现</w:t>
      </w:r>
    </w:p>
    <w:p w14:paraId="47F37E87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分层架构：Schema（案例 / Agent / 伦理 / 会话 / 反思 / 研究事件）、LLM 层、案例层、Agent 层、伦理层、模拟引擎、研究日志，核心逻辑与网页框架分离，可单独测试。</w:t>
      </w:r>
    </w:p>
    <w:p w14:paraId="4C1DF4EF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大模型接入：已实现统一的 LLM Provider 接口，并接入豆包（火山方舟）与 Claude 两种实现，另有离线模式；业务层不依赖任何一家模型，更换模型仅需改动模型接入层。</w:t>
      </w:r>
    </w:p>
    <w:p w14:paraId="71C3E96E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存储：会话与研究日志写入数据库（本地 SQLite），服务重启后数据保留；存储接口已抽象，后续可迁移至 PostgreSQL。</w:t>
      </w:r>
    </w:p>
    <w:p w14:paraId="3AD8CC9D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部署：已部署至中国香港云服务器，通过域名 https://ethics.a1sc.cn 访问，自动 HTTPS。</w:t>
      </w:r>
    </w:p>
    <w:p w14:paraId="1CB7C6BE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质量保障：已有自动化单元测试 7 项（状态机制、案例数据完整性、对话—决策—反思全流程），均通过；类型检查通过。</w:t>
      </w:r>
    </w:p>
    <w:p w14:paraId="2F327DC3">
      <w:pPr>
        <w:keepNext/>
        <w:spacing w:before="160" w:after="80"/>
      </w:pPr>
      <w:r>
        <w:rPr>
          <w:rFonts w:ascii="Times New Roman" w:hAnsi="Times New Roman" w:eastAsia="黑体"/>
          <w:b/>
          <w:color w:val="222222"/>
          <w:sz w:val="25"/>
        </w:rPr>
        <w:t>5.3 已验证与尚未验证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7B6D4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DCE6F1"/>
          </w:tcPr>
          <w:p w14:paraId="18DE8743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已验证</w:t>
            </w:r>
          </w:p>
        </w:tc>
        <w:tc>
          <w:tcPr>
            <w:tcW w:w="4535" w:type="dxa"/>
            <w:shd w:val="clear" w:color="auto" w:fill="DCE6F1"/>
          </w:tcPr>
          <w:p w14:paraId="33EFD1E4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尚未验证</w:t>
            </w:r>
          </w:p>
        </w:tc>
      </w:tr>
      <w:tr w14:paraId="09B34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3B37D484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全流程可运行，线上调用豆包生成服务对象回复；会话持久化与研究日志写入；作者实测在不开 VPN 时可访问</w:t>
            </w:r>
          </w:p>
        </w:tc>
        <w:tc>
          <w:tcPr>
            <w:tcW w:w="4535" w:type="dxa"/>
          </w:tcPr>
          <w:p w14:paraId="54D4FB89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专业合理性：尚无社会工作专家评议；服务对象回复在专业上是否真实、是否符合青少年特点未经检验</w:t>
            </w:r>
            <w:r>
              <w:rPr>
                <w:rFonts w:ascii="Times New Roman" w:hAnsi="Times New Roman" w:eastAsia="宋体"/>
                <w:b w:val="0"/>
                <w:sz w:val="20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0"/>
              </w:rPr>
              <w:t>教育效果：尚无学生使用数据</w:t>
            </w:r>
            <w:r>
              <w:rPr>
                <w:rFonts w:ascii="Times New Roman" w:hAnsi="Times New Roman" w:eastAsia="宋体"/>
                <w:b w:val="0"/>
                <w:sz w:val="20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0"/>
              </w:rPr>
              <w:t>状态数值与规则的合理性：为启发式假设，未经校准</w:t>
            </w:r>
            <w:r>
              <w:rPr>
                <w:rFonts w:ascii="Times New Roman" w:hAnsi="Times New Roman" w:eastAsia="宋体"/>
                <w:b w:val="0"/>
                <w:sz w:val="20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0"/>
              </w:rPr>
              <w:t>多用户并发与长期运行稳定性</w:t>
            </w:r>
          </w:p>
        </w:tc>
      </w:tr>
    </w:tbl>
    <w:p w14:paraId="6C4FA689">
      <w:pPr>
        <w:spacing w:after="40"/>
      </w:pPr>
    </w:p>
    <w:p w14:paraId="539012DC">
      <w:pPr>
        <w:keepNext/>
        <w:spacing w:before="160" w:after="80"/>
      </w:pPr>
      <w:r>
        <w:rPr>
          <w:rFonts w:ascii="Times New Roman" w:hAnsi="Times New Roman" w:eastAsia="黑体"/>
          <w:b/>
          <w:color w:val="222222"/>
          <w:sz w:val="25"/>
        </w:rPr>
        <w:t>5.4 现有局限</w:t>
      </w:r>
    </w:p>
    <w:p w14:paraId="29A46B0C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案例数量少（1 个），决策节点为预先编写的分支，尚非参数化生成。</w:t>
      </w:r>
    </w:p>
    <w:p w14:paraId="79C803D1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行为分类在未调用大模型时依赖关键词规则，较粗糙；调用大模型分类的效果尚未评估。</w:t>
      </w:r>
    </w:p>
    <w:p w14:paraId="04EFDC82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服务对象仅一个 Agent；家属、督导、机构等多 Agent 尚未实现。</w:t>
      </w:r>
    </w:p>
    <w:p w14:paraId="0FCDEAD7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知识检索（RAG）未实现；案例中的规范条目均标记为“未核对”，不能作为权威依据使用。</w:t>
      </w:r>
    </w:p>
    <w:p w14:paraId="53B0C32F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反思报告中的“伦理视角”为预设的四种立场，尚未经专家审定。</w:t>
      </w:r>
    </w:p>
    <w:p w14:paraId="02164CC9">
      <w:pPr>
        <w:keepNext/>
        <w:spacing w:before="280" w:after="80"/>
      </w:pPr>
      <w:r>
        <w:rPr>
          <w:rFonts w:ascii="Times New Roman" w:hAnsi="Times New Roman" w:eastAsia="黑体"/>
          <w:b/>
          <w:color w:val="1F3A5F"/>
          <w:sz w:val="30"/>
        </w:rPr>
        <w:t>六、研究设计与实施方案</w:t>
      </w:r>
    </w:p>
    <w:p w14:paraId="24CCA142">
      <w:pPr>
        <w:keepNext/>
        <w:spacing w:before="160" w:after="80"/>
      </w:pPr>
      <w:r>
        <w:rPr>
          <w:rFonts w:ascii="Times New Roman" w:hAnsi="Times New Roman" w:eastAsia="黑体"/>
          <w:b/>
          <w:color w:val="222222"/>
          <w:sz w:val="25"/>
        </w:rPr>
        <w:t>阶段一：专业效度检验（RQ1）</w:t>
      </w:r>
    </w:p>
    <w:p w14:paraId="2BBBAEC9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邀请若干名社会工作教师和有儿童保护 / 学校社工经验的实务者，对案例设定、选项标注（保护/牺牲的价值）、服务对象对话和反思报告进行评议。</w:t>
      </w:r>
    </w:p>
    <w:p w14:paraId="169FD920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采用结构化评分表（真实性、专业合理性、教育价值、风险与偏差）加开放式意见；专家人数与评分方法与导师确定。</w:t>
      </w:r>
    </w:p>
    <w:p w14:paraId="7E6EB5C1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产出：修订后的案例与评价标准；形成首批“人类专家评价”数据，为后续评价基准打基础。</w:t>
      </w:r>
    </w:p>
    <w:p w14:paraId="72BBB751">
      <w:pPr>
        <w:keepNext/>
        <w:spacing w:before="160" w:after="80"/>
      </w:pPr>
      <w:r>
        <w:rPr>
          <w:rFonts w:ascii="Times New Roman" w:hAnsi="Times New Roman" w:eastAsia="黑体"/>
          <w:b/>
          <w:color w:val="222222"/>
          <w:sz w:val="25"/>
        </w:rPr>
        <w:t>阶段二：学生试用研究（RQ2、RQ4）</w:t>
      </w:r>
    </w:p>
    <w:p w14:paraId="452F9804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对象：社会工作专业研究生（课程学生或自愿参与者），人数视课程条件而定，暂不做样本量推算，待导师确认研究定位后再确定。</w:t>
      </w:r>
    </w:p>
    <w:p w14:paraId="0B528AA1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流程：知情同意 → 前测 → 使用模拟器（可多次、选择不同路径）→ 后测与反思写作 → 访谈。</w:t>
      </w:r>
    </w:p>
    <w:p w14:paraId="2BD584B7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测量：伦理敏感性 / 反思表达的测量工具拟选用已有效验证的量表，具体量表待与导师确认；同时分析系统记录的决策路径与学生自述理由。</w:t>
      </w:r>
    </w:p>
    <w:p w14:paraId="151A243A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设计：初期为单组前后测的探索性研究；条件允许时增设对照组（如传统案例讨论）。</w:t>
      </w:r>
    </w:p>
    <w:p w14:paraId="4D799342">
      <w:pPr>
        <w:keepNext/>
        <w:spacing w:before="160" w:after="80"/>
      </w:pPr>
      <w:r>
        <w:rPr>
          <w:rFonts w:ascii="Times New Roman" w:hAnsi="Times New Roman" w:eastAsia="黑体"/>
          <w:b/>
          <w:color w:val="222222"/>
          <w:sz w:val="25"/>
        </w:rPr>
        <w:t>阶段三：模型比较（RQ3）</w:t>
      </w:r>
    </w:p>
    <w:p w14:paraId="2FB44E5E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固定同一情境与同一组脚本化学生话语，让不同模型扮演服务对象；记录一致性、对知识边界的遵守、对人设的保持。</w:t>
      </w:r>
    </w:p>
    <w:p w14:paraId="46EBCF29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由专家对匿名化输出进行盲评。系统已记录模型和提示词版本，便于复现。</w:t>
      </w:r>
    </w:p>
    <w:p w14:paraId="0227CD10">
      <w:pPr>
        <w:keepNext/>
        <w:spacing w:before="160" w:after="80"/>
      </w:pPr>
      <w:r>
        <w:rPr>
          <w:rFonts w:ascii="Times New Roman" w:hAnsi="Times New Roman" w:eastAsia="黑体"/>
          <w:b/>
          <w:color w:val="222222"/>
          <w:sz w:val="25"/>
        </w:rPr>
        <w:t>阶段四：扩展与总结</w:t>
      </w:r>
    </w:p>
    <w:p w14:paraId="4A0EF94E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视前三阶段结果，扩展参数化案例生成、加入家属 / 督导 / 机构 Agent，整理论文与开源材料。</w:t>
      </w:r>
    </w:p>
    <w:p w14:paraId="2FEEAC83">
      <w:pPr>
        <w:pStyle w:val="16"/>
        <w:numPr>
          <w:numId w:val="0"/>
        </w:numPr>
        <w:spacing w:after="40" w:line="336" w:lineRule="auto"/>
        <w:contextualSpacing/>
        <w:rPr>
          <w:rFonts w:ascii="Times New Roman" w:hAnsi="Times New Roman" w:eastAsia="宋体"/>
          <w:b w:val="0"/>
          <w:sz w:val="22"/>
        </w:rPr>
      </w:pPr>
    </w:p>
    <w:p w14:paraId="271CF7F8">
      <w:pPr>
        <w:pStyle w:val="16"/>
        <w:numPr>
          <w:numId w:val="0"/>
        </w:numPr>
        <w:spacing w:after="40" w:line="336" w:lineRule="auto"/>
        <w:contextualSpacing/>
        <w:rPr>
          <w:rFonts w:ascii="Times New Roman" w:hAnsi="Times New Roman" w:eastAsia="宋体"/>
          <w:b w:val="0"/>
          <w:sz w:val="22"/>
        </w:rPr>
      </w:pPr>
    </w:p>
    <w:p w14:paraId="5BB028F4">
      <w:pPr>
        <w:pStyle w:val="16"/>
        <w:numPr>
          <w:numId w:val="0"/>
        </w:numPr>
        <w:spacing w:after="40" w:line="336" w:lineRule="auto"/>
        <w:contextualSpacing/>
        <w:rPr>
          <w:rFonts w:ascii="Times New Roman" w:hAnsi="Times New Roman" w:eastAsia="宋体"/>
          <w:b w:val="0"/>
          <w:sz w:val="22"/>
        </w:rPr>
      </w:pPr>
    </w:p>
    <w:p w14:paraId="0438BF68">
      <w:pPr>
        <w:keepNext/>
        <w:spacing w:before="280" w:after="80"/>
      </w:pPr>
      <w:r>
        <w:rPr>
          <w:rFonts w:ascii="Times New Roman" w:hAnsi="Times New Roman" w:eastAsia="黑体"/>
          <w:b/>
          <w:color w:val="1F3A5F"/>
          <w:sz w:val="30"/>
        </w:rPr>
        <w:t>七、进度安排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535"/>
        <w:gridCol w:w="3061"/>
      </w:tblGrid>
      <w:tr w14:paraId="05D8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CE6F1"/>
          </w:tcPr>
          <w:p w14:paraId="5A6CD3D2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时间</w:t>
            </w:r>
          </w:p>
        </w:tc>
        <w:tc>
          <w:tcPr>
            <w:tcW w:w="4535" w:type="dxa"/>
            <w:shd w:val="clear" w:color="auto" w:fill="DCE6F1"/>
          </w:tcPr>
          <w:p w14:paraId="29FA981C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任务</w:t>
            </w:r>
          </w:p>
        </w:tc>
        <w:tc>
          <w:tcPr>
            <w:tcW w:w="3061" w:type="dxa"/>
            <w:shd w:val="clear" w:color="auto" w:fill="DCE6F1"/>
          </w:tcPr>
          <w:p w14:paraId="2BEB5531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产出</w:t>
            </w:r>
          </w:p>
        </w:tc>
      </w:tr>
      <w:tr w14:paraId="4C8BD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A66A654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第 1–2 月</w:t>
            </w:r>
          </w:p>
        </w:tc>
        <w:tc>
          <w:tcPr>
            <w:tcW w:w="4535" w:type="dxa"/>
          </w:tcPr>
          <w:p w14:paraId="2E0CCE13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文献综述；与导师确定研究定位、量表、专家与样本；提交伦理审查申请</w:t>
            </w:r>
          </w:p>
        </w:tc>
        <w:tc>
          <w:tcPr>
            <w:tcW w:w="3061" w:type="dxa"/>
          </w:tcPr>
          <w:p w14:paraId="0473EF19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文献综述初稿；伦理审查材料；研究方案定稿</w:t>
            </w:r>
          </w:p>
        </w:tc>
      </w:tr>
      <w:tr w14:paraId="7EB50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9891306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第 2–4 月</w:t>
            </w:r>
          </w:p>
        </w:tc>
        <w:tc>
          <w:tcPr>
            <w:tcW w:w="4535" w:type="dxa"/>
          </w:tcPr>
          <w:p w14:paraId="51659942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根据评议修订案例；新增 1–2 个案例；改进行为分类与状态机制</w:t>
            </w:r>
          </w:p>
        </w:tc>
        <w:tc>
          <w:tcPr>
            <w:tcW w:w="3061" w:type="dxa"/>
          </w:tcPr>
          <w:p w14:paraId="33C8F0C4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案例库 v0.2；系统 v0.2</w:t>
            </w:r>
          </w:p>
        </w:tc>
      </w:tr>
      <w:tr w14:paraId="3E53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5A66FAB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第 3–5 月</w:t>
            </w:r>
          </w:p>
        </w:tc>
        <w:tc>
          <w:tcPr>
            <w:tcW w:w="4535" w:type="dxa"/>
          </w:tcPr>
          <w:p w14:paraId="25926891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专家效度检验</w:t>
            </w:r>
          </w:p>
        </w:tc>
        <w:tc>
          <w:tcPr>
            <w:tcW w:w="3061" w:type="dxa"/>
          </w:tcPr>
          <w:p w14:paraId="4AE95F33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专家评议报告；修订后的评价标准</w:t>
            </w:r>
          </w:p>
        </w:tc>
      </w:tr>
      <w:tr w14:paraId="756B8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9FB5CDE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第 5–8 月</w:t>
            </w:r>
          </w:p>
        </w:tc>
        <w:tc>
          <w:tcPr>
            <w:tcW w:w="4535" w:type="dxa"/>
          </w:tcPr>
          <w:p w14:paraId="7F34BF2F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学生试用研究（预试 + 正式）</w:t>
            </w:r>
          </w:p>
        </w:tc>
        <w:tc>
          <w:tcPr>
            <w:tcW w:w="3061" w:type="dxa"/>
          </w:tcPr>
          <w:p w14:paraId="2093EC6F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前后测数据；访谈资料；系统使用日志</w:t>
            </w:r>
          </w:p>
        </w:tc>
      </w:tr>
      <w:tr w14:paraId="12650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7D00D56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第 8–10 月</w:t>
            </w:r>
          </w:p>
        </w:tc>
        <w:tc>
          <w:tcPr>
            <w:tcW w:w="4535" w:type="dxa"/>
          </w:tcPr>
          <w:p w14:paraId="4DBC118B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模型比较实验</w:t>
            </w:r>
          </w:p>
        </w:tc>
        <w:tc>
          <w:tcPr>
            <w:tcW w:w="3061" w:type="dxa"/>
          </w:tcPr>
          <w:p w14:paraId="024A102B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多模型对比数据与分析</w:t>
            </w:r>
          </w:p>
        </w:tc>
      </w:tr>
      <w:tr w14:paraId="111DE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ADF053C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第 10–12 月</w:t>
            </w:r>
          </w:p>
        </w:tc>
        <w:tc>
          <w:tcPr>
            <w:tcW w:w="4535" w:type="dxa"/>
          </w:tcPr>
          <w:p w14:paraId="0546FE02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数据分析；撰写论文；整理开源材料与使用手册</w:t>
            </w:r>
          </w:p>
        </w:tc>
        <w:tc>
          <w:tcPr>
            <w:tcW w:w="3061" w:type="dxa"/>
          </w:tcPr>
          <w:p w14:paraId="32FD384F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论文初稿；项目总结报告</w:t>
            </w:r>
          </w:p>
        </w:tc>
      </w:tr>
    </w:tbl>
    <w:p w14:paraId="0E64005C">
      <w:pPr>
        <w:spacing w:after="40"/>
      </w:pPr>
    </w:p>
    <w:p w14:paraId="50494945">
      <w:pPr>
        <w:keepNext/>
        <w:spacing w:before="280" w:after="80"/>
      </w:pPr>
      <w:r>
        <w:rPr>
          <w:rFonts w:ascii="Times New Roman" w:hAnsi="Times New Roman" w:eastAsia="黑体"/>
          <w:b/>
          <w:color w:val="1F3A5F"/>
          <w:sz w:val="30"/>
        </w:rPr>
        <w:t>八、研究伦理与数据治理</w:t>
      </w:r>
    </w:p>
    <w:p w14:paraId="2F342742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案例与服务对象均为虚构，不使用任何真实服务对象信息；任何真实个案数据在完成专门的伦理与数据治理设计前，一律不得进入系统。</w:t>
      </w:r>
    </w:p>
    <w:p w14:paraId="43396B49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本研究涉及人类参与者（学生），将按所在单位要求提交伦理审查，取得批准后再开展试用研究；参与自愿、可随时退出，不影响课程成绩。</w:t>
      </w:r>
    </w:p>
    <w:p w14:paraId="7C4F85AC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数据最小化：研究日志仅记录研究所需内容，不收集姓名、学号等直接身份信息；如需关联前后测，使用匿名编码。</w:t>
      </w:r>
    </w:p>
    <w:p w14:paraId="4BE3C7FD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第三方模型披露：学生输入的文字会被发送到所用大模型服务（目前为豆包，由火山方舟提供）以生成回复。须在知情同意书中如实说明，并提醒学生不要输入任何真实个案或可识别信息。</w:t>
      </w:r>
    </w:p>
    <w:p w14:paraId="6EA439EC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密钥与访问：模型密钥仅保存在服务器环境变量中，不进入代码仓库；对外访问可加访问口令，避免被无关人员使用。</w:t>
      </w:r>
    </w:p>
    <w:p w14:paraId="49C8B934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AI 边界声明：界面和报告均明示“AI 不是最终专业判断”；系统不提供风险评估、处置或法律意见。</w:t>
      </w:r>
    </w:p>
    <w:p w14:paraId="6A06B477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合规：面向公众提供生成式 AI 服务在我国有备案与安全评估要求。本项目当前定位为教学研究的小范围试用，不向社会公众开放；如拟扩大范围，须先向所在单位咨询并完成相应合规手续。</w:t>
      </w:r>
    </w:p>
    <w:p w14:paraId="7D1B3A7C">
      <w:pPr>
        <w:pStyle w:val="16"/>
        <w:numPr>
          <w:numId w:val="0"/>
        </w:numPr>
        <w:spacing w:after="40" w:line="336" w:lineRule="auto"/>
        <w:contextualSpacing/>
        <w:rPr>
          <w:rFonts w:ascii="Times New Roman" w:hAnsi="Times New Roman" w:eastAsia="宋体"/>
          <w:b w:val="0"/>
          <w:sz w:val="22"/>
        </w:rPr>
      </w:pPr>
    </w:p>
    <w:p w14:paraId="7193F412">
      <w:pPr>
        <w:pStyle w:val="16"/>
        <w:numPr>
          <w:numId w:val="0"/>
        </w:numPr>
        <w:spacing w:after="40" w:line="336" w:lineRule="auto"/>
        <w:contextualSpacing/>
        <w:rPr>
          <w:rFonts w:ascii="Times New Roman" w:hAnsi="Times New Roman" w:eastAsia="宋体"/>
          <w:b w:val="0"/>
          <w:sz w:val="22"/>
        </w:rPr>
      </w:pPr>
    </w:p>
    <w:p w14:paraId="475C227F">
      <w:pPr>
        <w:pStyle w:val="16"/>
        <w:numPr>
          <w:numId w:val="0"/>
        </w:numPr>
        <w:spacing w:after="40" w:line="336" w:lineRule="auto"/>
        <w:contextualSpacing/>
        <w:rPr>
          <w:rFonts w:ascii="Times New Roman" w:hAnsi="Times New Roman" w:eastAsia="宋体"/>
          <w:b w:val="0"/>
          <w:sz w:val="22"/>
        </w:rPr>
      </w:pPr>
    </w:p>
    <w:p w14:paraId="79EFE102">
      <w:pPr>
        <w:keepNext/>
        <w:spacing w:before="280" w:after="80"/>
      </w:pPr>
      <w:r>
        <w:rPr>
          <w:rFonts w:ascii="Times New Roman" w:hAnsi="Times New Roman" w:eastAsia="黑体"/>
          <w:b/>
          <w:color w:val="1F3A5F"/>
          <w:sz w:val="30"/>
        </w:rPr>
        <w:t>九、风险与应对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041"/>
        <w:gridCol w:w="4195"/>
      </w:tblGrid>
      <w:tr w14:paraId="2FB2E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CE6F1"/>
          </w:tcPr>
          <w:p w14:paraId="54C0E3A3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风险</w:t>
            </w:r>
          </w:p>
        </w:tc>
        <w:tc>
          <w:tcPr>
            <w:tcW w:w="2041" w:type="dxa"/>
            <w:shd w:val="clear" w:color="auto" w:fill="DCE6F1"/>
          </w:tcPr>
          <w:p w14:paraId="17DA0E23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影响</w:t>
            </w:r>
          </w:p>
        </w:tc>
        <w:tc>
          <w:tcPr>
            <w:tcW w:w="4195" w:type="dxa"/>
            <w:shd w:val="clear" w:color="auto" w:fill="DCE6F1"/>
          </w:tcPr>
          <w:p w14:paraId="3F5E9B09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应对</w:t>
            </w:r>
          </w:p>
        </w:tc>
      </w:tr>
      <w:tr w14:paraId="28F78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75EDC19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模型回复不真实或偏离设定（如过度配合、角色漂移）</w:t>
            </w:r>
          </w:p>
        </w:tc>
        <w:tc>
          <w:tcPr>
            <w:tcW w:w="2041" w:type="dxa"/>
          </w:tcPr>
          <w:p w14:paraId="42D60EBD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削弱教育价值，甚至误导</w:t>
            </w:r>
          </w:p>
        </w:tc>
        <w:tc>
          <w:tcPr>
            <w:tcW w:w="4195" w:type="dxa"/>
          </w:tcPr>
          <w:p w14:paraId="21BD286C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专家评议；固定提示词版本；设定知识边界；对比多个模型；保留完整日志以便复盘</w:t>
            </w:r>
          </w:p>
        </w:tc>
      </w:tr>
      <w:tr w14:paraId="68F9B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9308E10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模型生成不当内容，涉及自伤、暴力等敏感情境</w:t>
            </w:r>
          </w:p>
        </w:tc>
        <w:tc>
          <w:tcPr>
            <w:tcW w:w="2041" w:type="dxa"/>
          </w:tcPr>
          <w:p w14:paraId="3C83E68E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对学生造成不适</w:t>
            </w:r>
          </w:p>
        </w:tc>
        <w:tc>
          <w:tcPr>
            <w:tcW w:w="4195" w:type="dxa"/>
          </w:tcPr>
          <w:p w14:paraId="7EDEFF4C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知情同意中说明；试用时有教师在场；提供退出机制；后续加入安全审查层</w:t>
            </w:r>
          </w:p>
        </w:tc>
      </w:tr>
      <w:tr w14:paraId="609C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201E886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规则 / 数值缺乏实证依据</w:t>
            </w:r>
          </w:p>
        </w:tc>
        <w:tc>
          <w:tcPr>
            <w:tcW w:w="2041" w:type="dxa"/>
          </w:tcPr>
          <w:p w14:paraId="5561673F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结论被质疑</w:t>
            </w:r>
          </w:p>
        </w:tc>
        <w:tc>
          <w:tcPr>
            <w:tcW w:w="4195" w:type="dxa"/>
          </w:tcPr>
          <w:p w14:paraId="788CD964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明确标注为教学启发式；通过专家评议和试用数据逐步校准；不做测量性宣称</w:t>
            </w:r>
          </w:p>
        </w:tc>
      </w:tr>
      <w:tr w14:paraId="4799C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60C0FC7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样本小、无对照组</w:t>
            </w:r>
          </w:p>
        </w:tc>
        <w:tc>
          <w:tcPr>
            <w:tcW w:w="2041" w:type="dxa"/>
          </w:tcPr>
          <w:p w14:paraId="2344D004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无法推断因果</w:t>
            </w:r>
          </w:p>
        </w:tc>
        <w:tc>
          <w:tcPr>
            <w:tcW w:w="4195" w:type="dxa"/>
          </w:tcPr>
          <w:p w14:paraId="0429E2D5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定位为探索性研究；条件允许增设对照；以质性材料为主要证据</w:t>
            </w:r>
          </w:p>
        </w:tc>
      </w:tr>
      <w:tr w14:paraId="1308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74CE12E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把 AI 输出当作标准答案</w:t>
            </w:r>
          </w:p>
        </w:tc>
        <w:tc>
          <w:tcPr>
            <w:tcW w:w="2041" w:type="dxa"/>
          </w:tcPr>
          <w:p w14:paraId="4C0BD1E1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违背项目原则</w:t>
            </w:r>
          </w:p>
        </w:tc>
        <w:tc>
          <w:tcPr>
            <w:tcW w:w="4195" w:type="dxa"/>
          </w:tcPr>
          <w:p w14:paraId="2F608D12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界面持续提示；反思报告不打分；培训时强调定位</w:t>
            </w:r>
          </w:p>
        </w:tc>
      </w:tr>
      <w:tr w14:paraId="48389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65F2FF2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国内网络访问与模型服务稳定性</w:t>
            </w:r>
          </w:p>
        </w:tc>
        <w:tc>
          <w:tcPr>
            <w:tcW w:w="2041" w:type="dxa"/>
          </w:tcPr>
          <w:p w14:paraId="204F92C7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试用中断</w:t>
            </w:r>
          </w:p>
        </w:tc>
        <w:tc>
          <w:tcPr>
            <w:tcW w:w="4195" w:type="dxa"/>
          </w:tcPr>
          <w:p w14:paraId="52B33B47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服务器位于香港并经作者实测；模型服务异常时有备用模式；保留可切换的多个模型接口</w:t>
            </w:r>
          </w:p>
        </w:tc>
      </w:tr>
      <w:tr w14:paraId="598D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FFF940E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费用与合规变化</w:t>
            </w:r>
          </w:p>
        </w:tc>
        <w:tc>
          <w:tcPr>
            <w:tcW w:w="2041" w:type="dxa"/>
          </w:tcPr>
          <w:p w14:paraId="678C9FDE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项目中断</w:t>
            </w:r>
          </w:p>
        </w:tc>
        <w:tc>
          <w:tcPr>
            <w:tcW w:w="4195" w:type="dxa"/>
          </w:tcPr>
          <w:p w14:paraId="3E32C37B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成本低；关注所在单位及行业规定变化</w:t>
            </w:r>
          </w:p>
        </w:tc>
      </w:tr>
    </w:tbl>
    <w:p w14:paraId="2C75F028">
      <w:pPr>
        <w:spacing w:after="40"/>
      </w:pPr>
    </w:p>
    <w:p w14:paraId="2D1A9030">
      <w:pPr>
        <w:keepNext/>
        <w:spacing w:before="280" w:after="80"/>
      </w:pPr>
      <w:r>
        <w:rPr>
          <w:rFonts w:ascii="Times New Roman" w:hAnsi="Times New Roman" w:eastAsia="黑体"/>
          <w:b/>
          <w:color w:val="1F3A5F"/>
          <w:sz w:val="30"/>
        </w:rPr>
        <w:t>十、预期成果与创新点</w:t>
      </w:r>
    </w:p>
    <w:p w14:paraId="519AD15F">
      <w:pPr>
        <w:keepNext/>
        <w:spacing w:before="160" w:after="80"/>
      </w:pPr>
      <w:r>
        <w:rPr>
          <w:rFonts w:ascii="Times New Roman" w:hAnsi="Times New Roman" w:eastAsia="黑体"/>
          <w:b/>
          <w:color w:val="222222"/>
          <w:sz w:val="25"/>
        </w:rPr>
        <w:t>10.1 预期成果</w:t>
      </w:r>
    </w:p>
    <w:p w14:paraId="6C494D48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可公开演示的伦理模拟系统（含多个合成案例）及使用说明。</w:t>
      </w:r>
    </w:p>
    <w:p w14:paraId="1C3F8960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一套经专家评议的案例、选项价值标注和反思报告模板。</w:t>
      </w:r>
    </w:p>
    <w:p w14:paraId="39536D33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学生试用的探索性实证数据与分析报告。</w:t>
      </w:r>
    </w:p>
    <w:p w14:paraId="4965E92A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不同大语言模型在社会工作伦理情境中的比较数据（RQ3）。</w:t>
      </w:r>
    </w:p>
    <w:p w14:paraId="6CCDA742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研究论文 1–2 篇（拟投社会工作教育或教育技术类期刊 / 会议）；可复用的代码与研究日志规范。</w:t>
      </w:r>
    </w:p>
    <w:p w14:paraId="6EBC8BEC">
      <w:pPr>
        <w:keepNext/>
        <w:spacing w:before="160" w:after="80"/>
      </w:pPr>
      <w:r>
        <w:rPr>
          <w:rFonts w:ascii="Times New Roman" w:hAnsi="Times New Roman" w:eastAsia="黑体"/>
          <w:b/>
          <w:color w:val="222222"/>
          <w:sz w:val="25"/>
        </w:rPr>
        <w:t>10.2 创新点</w:t>
      </w:r>
    </w:p>
    <w:p w14:paraId="40959A9B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把“价值冲突呈现”作为核心机制：不判对错，只展示每个选择保护与牺牲的价值，贴合社会工作伦理的本质。</w:t>
      </w:r>
    </w:p>
    <w:p w14:paraId="79B41C62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有状态、可解释的服务对象 Agent：行为 → 状态变化均带理由，便于教学讨论与研究复盘。</w:t>
      </w:r>
    </w:p>
    <w:p w14:paraId="0FE776AE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研究友好的工程设计：模型、提示词、案例版本全程记录；模型可替换；为将来的评价基准与人类评价数据集预留基础。</w:t>
      </w:r>
    </w:p>
    <w:p w14:paraId="38BE7750">
      <w:pPr>
        <w:pStyle w:val="16"/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  <w:t>人在回路的边界设计：把 AI 的定位、不确定性和多元视角写进产品本身，而不仅是免责声明。</w:t>
      </w:r>
    </w:p>
    <w:p w14:paraId="68BB2967">
      <w:pPr>
        <w:keepNext/>
        <w:spacing w:before="280" w:after="80"/>
      </w:pPr>
      <w:r>
        <w:rPr>
          <w:rFonts w:ascii="Times New Roman" w:hAnsi="Times New Roman" w:eastAsia="黑体"/>
          <w:b/>
          <w:color w:val="1F3A5F"/>
          <w:sz w:val="30"/>
        </w:rPr>
        <w:t>十</w:t>
      </w:r>
      <w:r>
        <w:rPr>
          <w:rFonts w:hint="eastAsia" w:eastAsia="黑体"/>
          <w:b/>
          <w:color w:val="1F3A5F"/>
          <w:sz w:val="30"/>
          <w:lang w:val="en-US" w:eastAsia="zh-CN"/>
        </w:rPr>
        <w:t>一</w:t>
      </w:r>
      <w:r>
        <w:rPr>
          <w:rFonts w:ascii="Times New Roman" w:hAnsi="Times New Roman" w:eastAsia="黑体"/>
          <w:b/>
          <w:color w:val="1F3A5F"/>
          <w:sz w:val="30"/>
        </w:rPr>
        <w:t>、长期规划</w:t>
      </w:r>
    </w:p>
    <w:p w14:paraId="3181F1BE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本项目是 Social Work AI Lab 的第一个原型。未来在共享同一套底层（模型层、Agent 层、案例引擎、伦理引擎、知识引擎、评价引擎、研究基础设施）的前提下，可扩展出：AI 社会工作督导、实务助手、研究助手、模拟训练系统，以及面向社会工作伦理能力的大模型评价基准。第一阶段不追求一次实现这些产品，只把底层做对、把第一个原型做扎实。</w:t>
      </w:r>
    </w:p>
    <w:p w14:paraId="05B7AE6D">
      <w:pPr>
        <w:keepNext/>
        <w:spacing w:before="280" w:after="80"/>
      </w:pPr>
      <w:r>
        <w:rPr>
          <w:rFonts w:ascii="Times New Roman" w:hAnsi="Times New Roman" w:eastAsia="黑体"/>
          <w:b/>
          <w:color w:val="1F3A5F"/>
          <w:sz w:val="30"/>
        </w:rPr>
        <w:t>附录 A：当前案例概要（合成案例）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69116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CE6F1"/>
          </w:tcPr>
          <w:p w14:paraId="7145629A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CE6F1"/>
          </w:tcPr>
          <w:p w14:paraId="6825E336">
            <w:pPr>
              <w:spacing w:after="4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 w14:paraId="0501A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7EC717C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标题</w:t>
            </w:r>
          </w:p>
        </w:tc>
        <w:tc>
          <w:tcPr>
            <w:tcW w:w="6803" w:type="dxa"/>
          </w:tcPr>
          <w:p w14:paraId="6B32ED30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「请你别告诉任何人」</w:t>
            </w:r>
          </w:p>
        </w:tc>
      </w:tr>
      <w:tr w14:paraId="66C5A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5523289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情境</w:t>
            </w:r>
          </w:p>
        </w:tc>
        <w:tc>
          <w:tcPr>
            <w:tcW w:w="6803" w:type="dxa"/>
          </w:tcPr>
          <w:p w14:paraId="637779D1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学校社工站，初三学生小远（化名）第三次来访；近期成绩下滑、回避换衣服；逐步披露父亲饮酒后动手的情况，并请求社工保密</w:t>
            </w:r>
          </w:p>
        </w:tc>
      </w:tr>
      <w:tr w14:paraId="2C594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FC335C3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主要价值冲突</w:t>
            </w:r>
          </w:p>
        </w:tc>
        <w:tc>
          <w:tcPr>
            <w:tcW w:w="6803" w:type="dxa"/>
          </w:tcPr>
          <w:p w14:paraId="0D9EF16D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保密 ⇄ 安全；自主 ⇄ 最小伤害；家庭关系 ⇄ 安全</w:t>
            </w:r>
          </w:p>
        </w:tc>
      </w:tr>
      <w:tr w14:paraId="7B419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C46F97E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利益相关者</w:t>
            </w:r>
          </w:p>
        </w:tc>
        <w:tc>
          <w:tcPr>
            <w:tcW w:w="6803" w:type="dxa"/>
          </w:tcPr>
          <w:p w14:paraId="74124AE7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服务对象、父亲、母亲、班主任、机构督导</w:t>
            </w:r>
          </w:p>
        </w:tc>
      </w:tr>
      <w:tr w14:paraId="2B690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C60526E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决策节点 1（4 项选择）</w:t>
            </w:r>
          </w:p>
        </w:tc>
        <w:tc>
          <w:tcPr>
            <w:tcW w:w="6803" w:type="dxa"/>
          </w:tcPr>
          <w:p w14:paraId="0EFE8409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绝对保密 / 坦诚说明保密限度并共同商量 / 未告知即报告 / 联系父母</w:t>
            </w:r>
          </w:p>
        </w:tc>
      </w:tr>
      <w:tr w14:paraId="27198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DAFCD94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决策节点 2（3 项选择）</w:t>
            </w:r>
          </w:p>
        </w:tc>
        <w:tc>
          <w:tcPr>
            <w:tcW w:w="6803" w:type="dxa"/>
          </w:tcPr>
          <w:p w14:paraId="776290D0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与督导商议并共同制定安全计划 / 提前告知后依流程报告 / 继续观察等待证据</w:t>
            </w:r>
          </w:p>
        </w:tc>
      </w:tr>
      <w:tr w14:paraId="3EAFE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052FBB6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设计要点</w:t>
            </w:r>
          </w:p>
        </w:tc>
        <w:tc>
          <w:tcPr>
            <w:tcW w:w="6803" w:type="dxa"/>
          </w:tcPr>
          <w:p w14:paraId="2C8BD6AA">
            <w:pPr>
              <w:spacing w:after="4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无“正确选项”；每个选项展示保护与牺牲的价值、多种可能后果与不确定性；规范来源标记为“未核对”</w:t>
            </w:r>
          </w:p>
        </w:tc>
      </w:tr>
    </w:tbl>
    <w:p w14:paraId="0D59F4B1">
      <w:pPr>
        <w:spacing w:after="40"/>
      </w:pPr>
    </w:p>
    <w:p w14:paraId="5C653F1F">
      <w:pPr>
        <w:keepNext/>
        <w:spacing w:before="280" w:after="80"/>
      </w:pPr>
      <w:r>
        <w:rPr>
          <w:rFonts w:ascii="Times New Roman" w:hAnsi="Times New Roman" w:eastAsia="黑体"/>
          <w:b/>
          <w:color w:val="1F3A5F"/>
          <w:sz w:val="30"/>
        </w:rPr>
        <w:t>附录 B：系统架构示意（文字版）</w:t>
      </w:r>
    </w:p>
    <w:p w14:paraId="6569E714">
      <w:pPr>
        <w:spacing w:after="80" w:line="360" w:lineRule="auto"/>
      </w:pPr>
      <w:r>
        <w:rPr>
          <w:rFonts w:ascii="Times New Roman" w:hAnsi="Times New Roman" w:eastAsia="宋体"/>
          <w:b w:val="0"/>
          <w:sz w:val="22"/>
        </w:rPr>
        <w:t>应用层（网页界面） → 案例引擎 / Agent 引擎 / 伦理引擎 → 评价与研究记录 → 知识引擎（规划中） → 统一的大模型接口 → 豆包 / Claude / 其他模型（可替换）。</w:t>
      </w:r>
    </w:p>
    <w:p w14:paraId="44A9085F">
      <w:pPr>
        <w:spacing w:after="80" w:line="360" w:lineRule="auto"/>
      </w:pPr>
      <w:r>
        <w:rPr>
          <w:rFonts w:ascii="Times New Roman" w:hAnsi="Times New Roman" w:eastAsia="宋体"/>
          <w:b w:val="0"/>
          <w:sz w:val="22"/>
        </w:rPr>
        <w:t>数据流：学生话语 → 行为分类 → 服务对象状态更新（带理由）→ 服务对象回复（大模型</w:t>
      </w:r>
      <w:bookmarkStart w:id="0" w:name="_GoBack"/>
      <w:bookmarkEnd w:id="0"/>
      <w:r>
        <w:rPr>
          <w:rFonts w:ascii="Times New Roman" w:hAnsi="Times New Roman" w:eastAsia="宋体"/>
          <w:b w:val="0"/>
          <w:sz w:val="22"/>
        </w:rPr>
        <w:t>生成）→ 达到决策条件 → 学生选择 → 情境分支与价值分析 → 反思报告；全过程写入研究日志。</w:t>
      </w:r>
    </w:p>
    <w:sectPr>
      <w:pgSz w:w="12240" w:h="15840"/>
      <w:pgMar w:top="1361" w:right="1417" w:bottom="1361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6B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1811</Words>
  <Characters>1911</Characters>
  <Lines>0</Lines>
  <Paragraphs>0</Paragraphs>
  <TotalTime>4</TotalTime>
  <ScaleCrop>false</ScaleCrop>
  <LinksUpToDate>false</LinksUpToDate>
  <CharactersWithSpaces>1956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Windows</cp:lastModifiedBy>
  <dcterms:modified xsi:type="dcterms:W3CDTF">2026-10-03T06:31:43Z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eyJoZGlkIjoiYjViMzNlZTVlZTc0NTY2MzU0MmNjYTA5MjQ0YmJjY2EiLCJ1c2VySWQiOiIxODE2Nzk4NTQ4In0=</vt:lpwstr>
  </property>
  <property fmtid="{D5CDD505-2E9C-101B-9397-08002B2CF9AE}" pid="3" name="KSOProductBuildVer">
    <vt:lpwstr>2052-12.1.0.28505</vt:lpwstr>
  </property>
  <property fmtid="{D5CDD505-2E9C-101B-9397-08002B2CF9AE}" pid="4" name="ICV">
    <vt:lpwstr>540BEC9EAB924128AA4124F0D7BF3DE7_12</vt:lpwstr>
  </property>
</Properties>
</file>