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3B4471CD" w:rsidR="00B82FAB" w:rsidRDefault="00000000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64CF3">
        <w:rPr>
          <w:b/>
          <w:sz w:val="36"/>
          <w:szCs w:val="36"/>
        </w:rPr>
        <w:t>Gestión de cambios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E29CAB8" w:rsidR="00B82FAB" w:rsidRDefault="007514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 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FAC8A8F" w14:textId="77777777" w:rsidR="00B82FAB" w:rsidRDefault="00B82FAB">
      <w:pPr>
        <w:jc w:val="center"/>
        <w:rPr>
          <w:b/>
          <w:sz w:val="36"/>
          <w:szCs w:val="36"/>
        </w:rPr>
      </w:pPr>
    </w:p>
    <w:p w14:paraId="2073B722" w14:textId="16331F73" w:rsidR="00855FB6" w:rsidRPr="00855FB6" w:rsidRDefault="00864CF3" w:rsidP="00855FB6">
      <w:pPr>
        <w:pStyle w:val="Heading2"/>
        <w:rPr>
          <w:lang w:val="es-419"/>
        </w:rPr>
      </w:pPr>
      <w:r>
        <w:rPr>
          <w:lang w:val="es-419"/>
        </w:rPr>
        <w:lastRenderedPageBreak/>
        <w:t>Propósito</w:t>
      </w:r>
    </w:p>
    <w:p w14:paraId="15D9545E" w14:textId="19AA0357" w:rsidR="00F7776C" w:rsidRPr="00864CF3" w:rsidRDefault="00864CF3" w:rsidP="00864CF3">
      <w:pPr>
        <w:jc w:val="both"/>
      </w:pPr>
      <w:r>
        <w:t>Establecer un marco sistemático que permita maximizar el número de cambios exitosos en los servicios y productos de TI, garantizando que los riesgos asociados se identifiquen y evalúen adecuadamente, que los cambios reciban la autorización correspondiente antes de su ejecución y que todo el programa de cambios se administre de forma coherente y eficaz</w:t>
      </w:r>
      <w:r>
        <w:t>.</w:t>
      </w:r>
    </w:p>
    <w:p w14:paraId="0D087496" w14:textId="020144D8" w:rsidR="00F7776C" w:rsidRDefault="00864CF3" w:rsidP="00F7776C">
      <w:pPr>
        <w:pStyle w:val="Heading2"/>
        <w:rPr>
          <w:lang w:val="es-419"/>
        </w:rPr>
      </w:pPr>
      <w:r>
        <w:rPr>
          <w:lang w:val="es-419"/>
        </w:rPr>
        <w:t>Roles y responsabilidades</w:t>
      </w:r>
    </w:p>
    <w:p w14:paraId="2023CE80" w14:textId="76DB2F45" w:rsidR="00864CF3" w:rsidRDefault="00864CF3" w:rsidP="00864CF3">
      <w:r>
        <w:t xml:space="preserve">Solicitante: Inicia la </w:t>
      </w:r>
      <w:r>
        <w:t>solicitud de cambio</w:t>
      </w:r>
      <w:r>
        <w:t xml:space="preserve"> aportando la justificación, el alcance y los recursos necesarios.</w:t>
      </w:r>
    </w:p>
    <w:p w14:paraId="18B5C3F8" w14:textId="77777777" w:rsidR="00864CF3" w:rsidRDefault="00864CF3" w:rsidP="00864CF3">
      <w:r>
        <w:t>Equipo de Evaluación de Riesgos: Especialistas en seguridad, operaciones y arquitectura que identifican y valoran riesgos y beneficios.</w:t>
      </w:r>
    </w:p>
    <w:p w14:paraId="102BAECE" w14:textId="19383AB4" w:rsidR="00864CF3" w:rsidRDefault="00864CF3" w:rsidP="00864CF3">
      <w:r>
        <w:t xml:space="preserve">Autoridad de Cambio: Autoriza o rechaza la </w:t>
      </w:r>
      <w:r>
        <w:t>solicitud de cambio</w:t>
      </w:r>
      <w:r>
        <w:t xml:space="preserve"> según los resultados de la evaluación de riesgos y el impacto.</w:t>
      </w:r>
    </w:p>
    <w:p w14:paraId="76DDC0AA" w14:textId="77777777" w:rsidR="00864CF3" w:rsidRDefault="00864CF3" w:rsidP="00864CF3">
      <w:r>
        <w:t>Coordinador de Cambios: Gestiona el cronograma, comunica el plan y vela por la correcta documentación y cierre del cambio.</w:t>
      </w:r>
    </w:p>
    <w:p w14:paraId="343543ED" w14:textId="77777777" w:rsidR="00864CF3" w:rsidRDefault="00864CF3" w:rsidP="00864CF3">
      <w:r>
        <w:t>Equipo de Implementación: Ejecuta el cambio siguiendo el plan aprobado y documenta cualquier desviación.</w:t>
      </w:r>
    </w:p>
    <w:p w14:paraId="7A7BB2D6" w14:textId="015D9C8F" w:rsidR="00864CF3" w:rsidRDefault="00864CF3" w:rsidP="00864CF3">
      <w:r>
        <w:t xml:space="preserve">Revisor </w:t>
      </w:r>
      <w:proofErr w:type="spellStart"/>
      <w:r>
        <w:t>Post-implementación</w:t>
      </w:r>
      <w:proofErr w:type="spellEnd"/>
      <w:r>
        <w:t xml:space="preserve">: Verifica el logro de los objetivos, registra lecciones aprendidas y cierra la </w:t>
      </w:r>
      <w:r>
        <w:t>solicitud de cambio</w:t>
      </w:r>
      <w:r>
        <w:t>.</w:t>
      </w:r>
    </w:p>
    <w:p w14:paraId="7FBD66F5" w14:textId="26FC5A2B" w:rsidR="00864CF3" w:rsidRDefault="00864CF3" w:rsidP="00864CF3">
      <w:pPr>
        <w:pStyle w:val="Heading2"/>
      </w:pPr>
      <w:r>
        <w:t>Procedimiento</w:t>
      </w:r>
    </w:p>
    <w:p w14:paraId="407FFF0E" w14:textId="1B653AC1" w:rsidR="00864CF3" w:rsidRDefault="00864CF3" w:rsidP="00864CF3">
      <w:pPr>
        <w:pStyle w:val="Heading3"/>
      </w:pPr>
      <w:r>
        <w:t>Presentación y Registro</w:t>
      </w:r>
    </w:p>
    <w:p w14:paraId="750BAB93" w14:textId="75395740" w:rsidR="00864CF3" w:rsidRDefault="00864CF3" w:rsidP="00864CF3">
      <w:pPr>
        <w:pStyle w:val="ListParagraph"/>
        <w:numPr>
          <w:ilvl w:val="0"/>
          <w:numId w:val="41"/>
        </w:numPr>
      </w:pPr>
      <w:r>
        <w:t xml:space="preserve">El Solicitante completa una </w:t>
      </w:r>
      <w:r>
        <w:t>solicitud de cambio</w:t>
      </w:r>
      <w:r>
        <w:t xml:space="preserve"> que incluya descripción, justificación, alcance y recursos.</w:t>
      </w:r>
    </w:p>
    <w:p w14:paraId="096897A7" w14:textId="118805B9" w:rsidR="00864CF3" w:rsidRDefault="00864CF3" w:rsidP="00864CF3">
      <w:pPr>
        <w:pStyle w:val="ListParagraph"/>
        <w:numPr>
          <w:ilvl w:val="0"/>
          <w:numId w:val="41"/>
        </w:numPr>
      </w:pPr>
      <w:r>
        <w:t xml:space="preserve">El Coordinador de Cambios registra la </w:t>
      </w:r>
      <w:r>
        <w:t>solicitud de cambio</w:t>
      </w:r>
      <w:r>
        <w:t xml:space="preserve"> en la herramienta de gestión y asigna un identificador único.</w:t>
      </w:r>
    </w:p>
    <w:p w14:paraId="0C8E93CC" w14:textId="13784F34" w:rsidR="00864CF3" w:rsidRDefault="00864CF3" w:rsidP="00864CF3">
      <w:pPr>
        <w:pStyle w:val="Heading3"/>
      </w:pPr>
      <w:r>
        <w:t>Identificación y Evaluación de Riesgos</w:t>
      </w:r>
    </w:p>
    <w:p w14:paraId="65A35152" w14:textId="64D3C34D" w:rsidR="00864CF3" w:rsidRDefault="00864CF3" w:rsidP="00864CF3">
      <w:pPr>
        <w:pStyle w:val="ListParagraph"/>
        <w:numPr>
          <w:ilvl w:val="0"/>
          <w:numId w:val="42"/>
        </w:numPr>
      </w:pPr>
      <w:r>
        <w:t xml:space="preserve">El Equipo de Evaluación de Riesgos revisa la </w:t>
      </w:r>
      <w:r>
        <w:t>solicitud de cambio</w:t>
      </w:r>
      <w:r>
        <w:t xml:space="preserve"> para identificar riesgos técnicos, de seguridad, de negocio y de continuidad.</w:t>
      </w:r>
    </w:p>
    <w:p w14:paraId="54C8C071" w14:textId="53EDD222" w:rsidR="00864CF3" w:rsidRDefault="00864CF3" w:rsidP="00864CF3">
      <w:pPr>
        <w:pStyle w:val="ListParagraph"/>
        <w:numPr>
          <w:ilvl w:val="0"/>
          <w:numId w:val="42"/>
        </w:numPr>
      </w:pPr>
      <w:r>
        <w:t>Se asigna una calificación de riesgo (bajo, medio, alto) y se documentan las contramedidas recomendadas.</w:t>
      </w:r>
    </w:p>
    <w:p w14:paraId="348B85E5" w14:textId="7BCD8068" w:rsidR="00864CF3" w:rsidRDefault="00864CF3" w:rsidP="00864CF3">
      <w:pPr>
        <w:pStyle w:val="Heading3"/>
      </w:pPr>
      <w:r>
        <w:t>Revisión de Impacto</w:t>
      </w:r>
    </w:p>
    <w:p w14:paraId="18A9CF50" w14:textId="77777777" w:rsidR="00864CF3" w:rsidRDefault="00864CF3" w:rsidP="00864CF3">
      <w:pPr>
        <w:pStyle w:val="ListParagraph"/>
        <w:numPr>
          <w:ilvl w:val="0"/>
          <w:numId w:val="43"/>
        </w:numPr>
      </w:pPr>
      <w:r>
        <w:t>Se analiza el impacto potencial en disponibilidad de servicio, experiencia de usuario y otros elementos dependientes.</w:t>
      </w:r>
    </w:p>
    <w:p w14:paraId="679C69AC" w14:textId="44AF9796" w:rsidR="00864CF3" w:rsidRDefault="00864CF3" w:rsidP="00864CF3">
      <w:pPr>
        <w:pStyle w:val="ListParagraph"/>
        <w:numPr>
          <w:ilvl w:val="0"/>
          <w:numId w:val="43"/>
        </w:numPr>
      </w:pPr>
      <w:r>
        <w:t xml:space="preserve">Se actualiza la </w:t>
      </w:r>
      <w:r>
        <w:t>solicitud de cambio</w:t>
      </w:r>
      <w:r>
        <w:t xml:space="preserve"> con los resultados y se definen las ventanas de mantenimiento propuestas.</w:t>
      </w:r>
    </w:p>
    <w:p w14:paraId="768ED043" w14:textId="5A98E4C6" w:rsidR="00864CF3" w:rsidRDefault="00864CF3" w:rsidP="00864CF3">
      <w:pPr>
        <w:pStyle w:val="Heading3"/>
      </w:pPr>
      <w:r>
        <w:lastRenderedPageBreak/>
        <w:t>Aprobación</w:t>
      </w:r>
    </w:p>
    <w:p w14:paraId="48B27FA5" w14:textId="77777777" w:rsidR="00864CF3" w:rsidRDefault="00864CF3" w:rsidP="00864CF3">
      <w:r>
        <w:t>Según el tipo de cambio:</w:t>
      </w:r>
    </w:p>
    <w:p w14:paraId="50006944" w14:textId="77777777" w:rsidR="00864CF3" w:rsidRDefault="00864CF3" w:rsidP="00864CF3">
      <w:pPr>
        <w:pStyle w:val="ListParagraph"/>
        <w:numPr>
          <w:ilvl w:val="0"/>
          <w:numId w:val="44"/>
        </w:numPr>
      </w:pPr>
      <w:r>
        <w:t>Estándar: preaprobado y programable inmediatamente.</w:t>
      </w:r>
    </w:p>
    <w:p w14:paraId="55EFC79F" w14:textId="77777777" w:rsidR="00864CF3" w:rsidRDefault="00864CF3" w:rsidP="00864CF3">
      <w:pPr>
        <w:pStyle w:val="ListParagraph"/>
        <w:numPr>
          <w:ilvl w:val="0"/>
          <w:numId w:val="44"/>
        </w:numPr>
      </w:pPr>
      <w:r>
        <w:t>Normal: la Autoridad de Cambio revisa riesgos e impactos y decide.</w:t>
      </w:r>
    </w:p>
    <w:p w14:paraId="5FD87FF1" w14:textId="66F4BC7C" w:rsidR="00864CF3" w:rsidRDefault="00864CF3" w:rsidP="00864CF3">
      <w:pPr>
        <w:pStyle w:val="ListParagraph"/>
        <w:numPr>
          <w:ilvl w:val="0"/>
          <w:numId w:val="44"/>
        </w:numPr>
      </w:pPr>
      <w:r>
        <w:t>Emergencia: autorización acelerada por responsable designado.</w:t>
      </w:r>
    </w:p>
    <w:p w14:paraId="0FB12615" w14:textId="77777777" w:rsidR="00864CF3" w:rsidRDefault="00864CF3" w:rsidP="00864CF3">
      <w:r>
        <w:t>El Coordinador de Cambios notifica la decisión al equipo de implementación.</w:t>
      </w:r>
    </w:p>
    <w:p w14:paraId="1A0EABD4" w14:textId="0E1A7333" w:rsidR="00864CF3" w:rsidRDefault="00864CF3" w:rsidP="00864CF3">
      <w:pPr>
        <w:pStyle w:val="Heading3"/>
      </w:pPr>
      <w:r>
        <w:t>Programación y Comunicación</w:t>
      </w:r>
    </w:p>
    <w:p w14:paraId="4123A363" w14:textId="77777777" w:rsidR="00864CF3" w:rsidRDefault="00864CF3" w:rsidP="00864CF3">
      <w:pPr>
        <w:pStyle w:val="ListParagraph"/>
        <w:numPr>
          <w:ilvl w:val="0"/>
          <w:numId w:val="45"/>
        </w:numPr>
      </w:pPr>
      <w:r>
        <w:t>El Coordinador de Cambios inserta el cambio aprobado en el Cronograma de Cambios.</w:t>
      </w:r>
    </w:p>
    <w:p w14:paraId="3FE2A055" w14:textId="6CA2EB24" w:rsidR="00864CF3" w:rsidRDefault="00864CF3" w:rsidP="00864CF3">
      <w:pPr>
        <w:pStyle w:val="ListParagraph"/>
        <w:numPr>
          <w:ilvl w:val="0"/>
          <w:numId w:val="45"/>
        </w:numPr>
      </w:pPr>
      <w:r>
        <w:t xml:space="preserve">Se envía un comunicado a los </w:t>
      </w:r>
      <w:proofErr w:type="spellStart"/>
      <w:r>
        <w:t>stakeholders</w:t>
      </w:r>
      <w:proofErr w:type="spellEnd"/>
      <w:r>
        <w:t xml:space="preserve"> con fecha, hora, alcance y plan de contingencia.</w:t>
      </w:r>
    </w:p>
    <w:p w14:paraId="742DBF2F" w14:textId="2F6B934E" w:rsidR="00864CF3" w:rsidRDefault="00864CF3" w:rsidP="00864CF3">
      <w:pPr>
        <w:pStyle w:val="Heading3"/>
      </w:pPr>
      <w:r>
        <w:t>Implementación</w:t>
      </w:r>
    </w:p>
    <w:p w14:paraId="0FD1364C" w14:textId="77777777" w:rsidR="00864CF3" w:rsidRDefault="00864CF3" w:rsidP="00864CF3">
      <w:pPr>
        <w:pStyle w:val="ListParagraph"/>
        <w:numPr>
          <w:ilvl w:val="0"/>
          <w:numId w:val="46"/>
        </w:numPr>
      </w:pPr>
      <w:r>
        <w:t>El Equipo de Implementación ejecuta el cambio siguiendo el plan aprobado.</w:t>
      </w:r>
    </w:p>
    <w:p w14:paraId="1A0C53E8" w14:textId="571D0838" w:rsidR="00864CF3" w:rsidRDefault="00864CF3" w:rsidP="00864CF3">
      <w:pPr>
        <w:pStyle w:val="ListParagraph"/>
        <w:numPr>
          <w:ilvl w:val="0"/>
          <w:numId w:val="46"/>
        </w:numPr>
      </w:pPr>
      <w:r>
        <w:t>Se documentan incidencias, desviaciones y tiempos reales de ejecución.</w:t>
      </w:r>
    </w:p>
    <w:p w14:paraId="65FB990F" w14:textId="5A3812EB" w:rsidR="00864CF3" w:rsidRDefault="00864CF3" w:rsidP="00864CF3">
      <w:pPr>
        <w:pStyle w:val="Heading3"/>
      </w:pPr>
      <w:r>
        <w:t>Revisión Post-Implementación</w:t>
      </w:r>
    </w:p>
    <w:p w14:paraId="27B15DD8" w14:textId="77777777" w:rsidR="00864CF3" w:rsidRDefault="00864CF3" w:rsidP="00864CF3">
      <w:pPr>
        <w:pStyle w:val="ListParagraph"/>
        <w:numPr>
          <w:ilvl w:val="0"/>
          <w:numId w:val="40"/>
        </w:numPr>
      </w:pPr>
      <w:r>
        <w:t xml:space="preserve">El Revisor </w:t>
      </w:r>
      <w:proofErr w:type="spellStart"/>
      <w:r>
        <w:t>Post-implementación</w:t>
      </w:r>
      <w:proofErr w:type="spellEnd"/>
      <w:r>
        <w:t xml:space="preserve"> verifica el cumplimiento de objetivos y busca efectos adversos.</w:t>
      </w:r>
    </w:p>
    <w:p w14:paraId="002BD3FB" w14:textId="228F882F" w:rsidR="00864CF3" w:rsidRDefault="00864CF3" w:rsidP="00864CF3">
      <w:pPr>
        <w:pStyle w:val="ListParagraph"/>
        <w:numPr>
          <w:ilvl w:val="0"/>
          <w:numId w:val="40"/>
        </w:numPr>
      </w:pPr>
      <w:r>
        <w:t xml:space="preserve">Se registra un informe final con lecciones aprendidas y la </w:t>
      </w:r>
      <w:r>
        <w:t>solicitud de cambio</w:t>
      </w:r>
      <w:r>
        <w:t xml:space="preserve"> se cierra formalmente.</w:t>
      </w:r>
    </w:p>
    <w:p w14:paraId="59C423FE" w14:textId="69F5F7D3" w:rsidR="00864CF3" w:rsidRDefault="00864CF3" w:rsidP="00864CF3">
      <w:pPr>
        <w:pStyle w:val="Heading2"/>
      </w:pPr>
      <w:r>
        <w:t>Flujos de autoridad de cambio</w:t>
      </w:r>
    </w:p>
    <w:p w14:paraId="76948FD5" w14:textId="77777777" w:rsidR="00864CF3" w:rsidRDefault="00864CF3" w:rsidP="00864CF3">
      <w:r>
        <w:t>Cambios Estándar: Autorizados automáticamente bajo criterios predefinidos.</w:t>
      </w:r>
      <w:r>
        <w:br/>
        <w:t>Cambios Normales: Evaluación por Comité Técnico; autorización del Gerente de Operaciones.</w:t>
      </w:r>
      <w:r>
        <w:br/>
        <w:t>Cambios de Emergencia: Evaluación y autorización por el Equipo de Respuesta a Incidentes.</w:t>
      </w:r>
    </w:p>
    <w:p w14:paraId="73E98BDF" w14:textId="41E40E6D" w:rsidR="00864CF3" w:rsidRDefault="00864CF3" w:rsidP="00864CF3">
      <w:pPr>
        <w:pStyle w:val="Heading2"/>
      </w:pPr>
      <w:r>
        <w:t>Herramientas y documentación</w:t>
      </w:r>
    </w:p>
    <w:p w14:paraId="51F856A1" w14:textId="4FDDC32D" w:rsidR="00864CF3" w:rsidRDefault="00864CF3" w:rsidP="00864CF3">
      <w:r>
        <w:t xml:space="preserve">Se utilizan plataforma ITSM para seguimiento de </w:t>
      </w:r>
      <w:r>
        <w:t>la solicitud de cambio</w:t>
      </w:r>
      <w:r>
        <w:t>, plantillas de evaluación de riesgos e impactos, cronograma de cambios integrado y reportes de cierre con lecciones aprendidas.</w:t>
      </w:r>
    </w:p>
    <w:p w14:paraId="55BAAF7F" w14:textId="77777777" w:rsidR="00864CF3" w:rsidRPr="00864CF3" w:rsidRDefault="00864CF3" w:rsidP="00864CF3"/>
    <w:sectPr w:rsidR="00864CF3" w:rsidRPr="00864CF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84B8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E81B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655B"/>
    <w:multiLevelType w:val="hybridMultilevel"/>
    <w:tmpl w:val="1F88ED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B1F5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648F"/>
    <w:multiLevelType w:val="hybridMultilevel"/>
    <w:tmpl w:val="2124BC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F85049"/>
    <w:multiLevelType w:val="hybridMultilevel"/>
    <w:tmpl w:val="4D3660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11E70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79B5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7D22E94"/>
    <w:multiLevelType w:val="hybridMultilevel"/>
    <w:tmpl w:val="30CEC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C155F"/>
    <w:multiLevelType w:val="hybridMultilevel"/>
    <w:tmpl w:val="125CC72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D55F3"/>
    <w:multiLevelType w:val="hybridMultilevel"/>
    <w:tmpl w:val="252C5E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03BE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A2A550F"/>
    <w:multiLevelType w:val="hybridMultilevel"/>
    <w:tmpl w:val="8B3C03FC"/>
    <w:lvl w:ilvl="0" w:tplc="D00C033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9126E"/>
    <w:multiLevelType w:val="hybridMultilevel"/>
    <w:tmpl w:val="8E00F9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2A7E1"/>
    <w:multiLevelType w:val="hybridMultilevel"/>
    <w:tmpl w:val="A4C824AC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0876B7D"/>
    <w:multiLevelType w:val="hybridMultilevel"/>
    <w:tmpl w:val="F55419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20F1472"/>
    <w:multiLevelType w:val="hybridMultilevel"/>
    <w:tmpl w:val="9272886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5C176BE"/>
    <w:multiLevelType w:val="hybridMultilevel"/>
    <w:tmpl w:val="809ED1F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8D620B"/>
    <w:multiLevelType w:val="hybridMultilevel"/>
    <w:tmpl w:val="A5B49B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25"/>
  </w:num>
  <w:num w:numId="2" w16cid:durableId="1868331018">
    <w:abstractNumId w:val="45"/>
  </w:num>
  <w:num w:numId="3" w16cid:durableId="1329208403">
    <w:abstractNumId w:val="35"/>
  </w:num>
  <w:num w:numId="4" w16cid:durableId="1272665937">
    <w:abstractNumId w:val="8"/>
  </w:num>
  <w:num w:numId="5" w16cid:durableId="1841920852">
    <w:abstractNumId w:val="9"/>
  </w:num>
  <w:num w:numId="6" w16cid:durableId="736125578">
    <w:abstractNumId w:val="0"/>
  </w:num>
  <w:num w:numId="7" w16cid:durableId="1732733310">
    <w:abstractNumId w:val="44"/>
  </w:num>
  <w:num w:numId="8" w16cid:durableId="1499034546">
    <w:abstractNumId w:val="26"/>
  </w:num>
  <w:num w:numId="9" w16cid:durableId="1806580470">
    <w:abstractNumId w:val="2"/>
  </w:num>
  <w:num w:numId="10" w16cid:durableId="1911848454">
    <w:abstractNumId w:val="10"/>
  </w:num>
  <w:num w:numId="11" w16cid:durableId="45036819">
    <w:abstractNumId w:val="4"/>
  </w:num>
  <w:num w:numId="12" w16cid:durableId="1647205417">
    <w:abstractNumId w:val="1"/>
  </w:num>
  <w:num w:numId="13" w16cid:durableId="1246843527">
    <w:abstractNumId w:val="37"/>
  </w:num>
  <w:num w:numId="14" w16cid:durableId="469178302">
    <w:abstractNumId w:val="12"/>
  </w:num>
  <w:num w:numId="15" w16cid:durableId="1379161987">
    <w:abstractNumId w:val="31"/>
  </w:num>
  <w:num w:numId="16" w16cid:durableId="2040012895">
    <w:abstractNumId w:val="17"/>
  </w:num>
  <w:num w:numId="17" w16cid:durableId="295723822">
    <w:abstractNumId w:val="18"/>
  </w:num>
  <w:num w:numId="18" w16cid:durableId="1973556432">
    <w:abstractNumId w:val="14"/>
  </w:num>
  <w:num w:numId="19" w16cid:durableId="1449200891">
    <w:abstractNumId w:val="23"/>
  </w:num>
  <w:num w:numId="20" w16cid:durableId="77287827">
    <w:abstractNumId w:val="39"/>
  </w:num>
  <w:num w:numId="21" w16cid:durableId="1539004327">
    <w:abstractNumId w:val="42"/>
  </w:num>
  <w:num w:numId="22" w16cid:durableId="1327900666">
    <w:abstractNumId w:val="30"/>
  </w:num>
  <w:num w:numId="23" w16cid:durableId="1759860659">
    <w:abstractNumId w:val="15"/>
  </w:num>
  <w:num w:numId="24" w16cid:durableId="1961839648">
    <w:abstractNumId w:val="20"/>
  </w:num>
  <w:num w:numId="25" w16cid:durableId="1936478442">
    <w:abstractNumId w:val="43"/>
  </w:num>
  <w:num w:numId="26" w16cid:durableId="770589308">
    <w:abstractNumId w:val="27"/>
  </w:num>
  <w:num w:numId="27" w16cid:durableId="698438310">
    <w:abstractNumId w:val="6"/>
  </w:num>
  <w:num w:numId="28" w16cid:durableId="621111500">
    <w:abstractNumId w:val="5"/>
  </w:num>
  <w:num w:numId="29" w16cid:durableId="879704949">
    <w:abstractNumId w:val="22"/>
  </w:num>
  <w:num w:numId="30" w16cid:durableId="583153042">
    <w:abstractNumId w:val="11"/>
  </w:num>
  <w:num w:numId="31" w16cid:durableId="897058551">
    <w:abstractNumId w:val="36"/>
  </w:num>
  <w:num w:numId="32" w16cid:durableId="895823972">
    <w:abstractNumId w:val="3"/>
  </w:num>
  <w:num w:numId="33" w16cid:durableId="516970514">
    <w:abstractNumId w:val="7"/>
  </w:num>
  <w:num w:numId="34" w16cid:durableId="1318923015">
    <w:abstractNumId w:val="19"/>
  </w:num>
  <w:num w:numId="35" w16cid:durableId="1743983427">
    <w:abstractNumId w:val="13"/>
  </w:num>
  <w:num w:numId="36" w16cid:durableId="1215698321">
    <w:abstractNumId w:val="34"/>
  </w:num>
  <w:num w:numId="37" w16cid:durableId="505051888">
    <w:abstractNumId w:val="29"/>
  </w:num>
  <w:num w:numId="38" w16cid:durableId="251355327">
    <w:abstractNumId w:val="21"/>
  </w:num>
  <w:num w:numId="39" w16cid:durableId="872572853">
    <w:abstractNumId w:val="33"/>
  </w:num>
  <w:num w:numId="40" w16cid:durableId="1486118080">
    <w:abstractNumId w:val="24"/>
  </w:num>
  <w:num w:numId="41" w16cid:durableId="2003001714">
    <w:abstractNumId w:val="28"/>
  </w:num>
  <w:num w:numId="42" w16cid:durableId="2073966877">
    <w:abstractNumId w:val="38"/>
  </w:num>
  <w:num w:numId="43" w16cid:durableId="122895995">
    <w:abstractNumId w:val="40"/>
  </w:num>
  <w:num w:numId="44" w16cid:durableId="968828268">
    <w:abstractNumId w:val="32"/>
  </w:num>
  <w:num w:numId="45" w16cid:durableId="739211477">
    <w:abstractNumId w:val="41"/>
  </w:num>
  <w:num w:numId="46" w16cid:durableId="18454362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96E97"/>
    <w:rsid w:val="00190D49"/>
    <w:rsid w:val="005B51E6"/>
    <w:rsid w:val="00751419"/>
    <w:rsid w:val="00855FB6"/>
    <w:rsid w:val="00864CF3"/>
    <w:rsid w:val="0091238E"/>
    <w:rsid w:val="00A75FA0"/>
    <w:rsid w:val="00AE49CB"/>
    <w:rsid w:val="00B82FAB"/>
    <w:rsid w:val="00BF27D2"/>
    <w:rsid w:val="00DD3B5E"/>
    <w:rsid w:val="00EF57BA"/>
    <w:rsid w:val="00F7776C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777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F4EE81-DC58-4D95-BB11-E76883520E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3039</Characters>
  <Application>Microsoft Office Word</Application>
  <DocSecurity>0</DocSecurity>
  <Lines>88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2</cp:revision>
  <cp:lastPrinted>2025-05-10T03:15:00Z</cp:lastPrinted>
  <dcterms:created xsi:type="dcterms:W3CDTF">2025-05-10T20:04:00Z</dcterms:created>
  <dcterms:modified xsi:type="dcterms:W3CDTF">2025-05-10T20:04:00Z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