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0B3" w:rsidRDefault="00D820B3" w:rsidP="00D820B3">
      <w:pPr>
        <w:pStyle w:val="Pargrafodelista"/>
        <w:numPr>
          <w:ilvl w:val="0"/>
          <w:numId w:val="1"/>
        </w:numPr>
        <w:rPr>
          <w:b/>
        </w:rPr>
      </w:pPr>
      <w:r w:rsidRPr="00D820B3">
        <w:rPr>
          <w:b/>
        </w:rPr>
        <w:t xml:space="preserve">W3C </w:t>
      </w:r>
    </w:p>
    <w:p w:rsidR="00D820B3" w:rsidRPr="00D820B3" w:rsidRDefault="00D820B3" w:rsidP="00D820B3">
      <w:pPr>
        <w:pStyle w:val="Pargrafodelista"/>
      </w:pP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World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Wide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Web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Consortium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W3C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es un </w:t>
      </w:r>
      <w:r w:rsidRPr="00D820B3">
        <w:rPr>
          <w:rFonts w:ascii="Arial" w:hAnsi="Arial" w:cs="Arial"/>
          <w:sz w:val="21"/>
          <w:szCs w:val="21"/>
          <w:shd w:val="clear" w:color="auto" w:fill="FFFFFF"/>
        </w:rPr>
        <w:t>consorcio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internacional que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genera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recomendaciones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 </w:t>
      </w:r>
      <w:r w:rsidRPr="00D820B3">
        <w:rPr>
          <w:rFonts w:ascii="Arial" w:hAnsi="Arial" w:cs="Arial"/>
          <w:sz w:val="21"/>
          <w:szCs w:val="21"/>
          <w:shd w:val="clear" w:color="auto" w:fill="FFFFFF"/>
        </w:rPr>
        <w:t>estándares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que aseguran el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crecimiento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la </w:t>
      </w:r>
      <w:proofErr w:type="spellStart"/>
      <w:r w:rsidRPr="00D820B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World</w:t>
      </w:r>
      <w:proofErr w:type="spellEnd"/>
      <w:r w:rsidRPr="00D820B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D820B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Wide</w:t>
      </w:r>
      <w:proofErr w:type="spellEnd"/>
      <w:r w:rsidRPr="00D820B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D820B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 largo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plazo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D820B3" w:rsidRPr="00D820B3" w:rsidRDefault="00D820B3" w:rsidP="00D820B3">
      <w:pPr>
        <w:pStyle w:val="Pargrafodelista"/>
        <w:rPr>
          <w:b/>
        </w:rPr>
      </w:pPr>
    </w:p>
    <w:p w:rsidR="00D820B3" w:rsidRDefault="00D820B3" w:rsidP="00D820B3">
      <w:pPr>
        <w:pStyle w:val="Pargrafodelista"/>
        <w:numPr>
          <w:ilvl w:val="0"/>
          <w:numId w:val="1"/>
        </w:numPr>
        <w:rPr>
          <w:b/>
        </w:rPr>
      </w:pPr>
      <w:r w:rsidRPr="00D820B3">
        <w:rPr>
          <w:b/>
        </w:rPr>
        <w:t xml:space="preserve"> ¿QUE É WCAG? ¿CAL É A ÚLTIMA VERSIÓN E </w:t>
      </w:r>
      <w:r w:rsidR="00581E8E">
        <w:rPr>
          <w:b/>
        </w:rPr>
        <w:t>AS SÚAS PRINCIPAIS NOVIDADES?</w:t>
      </w:r>
    </w:p>
    <w:p w:rsidR="00581E8E" w:rsidRDefault="00581E8E" w:rsidP="00581E8E">
      <w:pPr>
        <w:pStyle w:val="Pargrafodelista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Son un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conjunto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directrices que especifican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cómo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hacer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contenido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más accesible, especialmente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personas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con </w:t>
      </w:r>
      <w:r w:rsidRPr="00581E8E">
        <w:rPr>
          <w:rFonts w:ascii="Arial" w:hAnsi="Arial" w:cs="Arial"/>
          <w:sz w:val="21"/>
          <w:szCs w:val="21"/>
          <w:shd w:val="clear" w:color="auto" w:fill="FFFFFF"/>
        </w:rPr>
        <w:t>discapacidades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pero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también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otros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agentes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como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aquellos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dispositivos con altas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limitaciones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como lo son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algunos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teléfonos celulares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581E8E" w:rsidRDefault="00581E8E" w:rsidP="00581E8E">
      <w:pPr>
        <w:pStyle w:val="Pargrafodelista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581E8E" w:rsidRPr="00581E8E" w:rsidRDefault="00581E8E" w:rsidP="00581E8E">
      <w:pPr>
        <w:pStyle w:val="Pargrafodelista"/>
      </w:pPr>
      <w:r>
        <w:t xml:space="preserve">La ultima versión es 2.1 </w:t>
      </w:r>
    </w:p>
    <w:p w:rsidR="00581E8E" w:rsidRPr="00D820B3" w:rsidRDefault="00581E8E" w:rsidP="00581E8E">
      <w:pPr>
        <w:pStyle w:val="Pargrafodelista"/>
        <w:rPr>
          <w:b/>
        </w:rPr>
      </w:pPr>
    </w:p>
    <w:p w:rsidR="00581E8E" w:rsidRDefault="00D820B3" w:rsidP="00D820B3">
      <w:pPr>
        <w:pStyle w:val="Pargrafodelista"/>
        <w:numPr>
          <w:ilvl w:val="0"/>
          <w:numId w:val="1"/>
        </w:numPr>
        <w:rPr>
          <w:b/>
        </w:rPr>
      </w:pPr>
      <w:r w:rsidRPr="00D820B3">
        <w:rPr>
          <w:b/>
        </w:rPr>
        <w:t xml:space="preserve"> WAI</w:t>
      </w:r>
    </w:p>
    <w:p w:rsidR="00581E8E" w:rsidRPr="00581E8E" w:rsidRDefault="00581E8E" w:rsidP="00581E8E">
      <w:pPr>
        <w:pStyle w:val="Pargrafodelista"/>
      </w:pPr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La Iniciativa de </w:t>
      </w:r>
      <w:proofErr w:type="spellStart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>Accesibilidad</w:t>
      </w:r>
      <w:proofErr w:type="spellEnd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>Web</w:t>
      </w:r>
      <w:proofErr w:type="spellEnd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del W3C (WAI (en Inglés)) </w:t>
      </w:r>
      <w:proofErr w:type="spellStart"/>
      <w:r w:rsidRPr="00581E8E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desarrolla</w:t>
      </w:r>
      <w:proofErr w:type="spellEnd"/>
      <w:r w:rsidRPr="00581E8E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1E8E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especificaciones</w:t>
      </w:r>
      <w:proofErr w:type="spellEnd"/>
      <w:r w:rsidRPr="00581E8E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 xml:space="preserve"> técnicas, pautas, técnicas y recursos que describen soluciones de </w:t>
      </w:r>
      <w:proofErr w:type="spellStart"/>
      <w:r w:rsidRPr="00581E8E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accesibilidad</w:t>
      </w:r>
      <w:proofErr w:type="spellEnd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</w:t>
      </w:r>
      <w:proofErr w:type="spellStart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>Estos</w:t>
      </w:r>
      <w:proofErr w:type="spellEnd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son considerados estándares </w:t>
      </w:r>
      <w:proofErr w:type="spellStart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>internacionales</w:t>
      </w:r>
      <w:proofErr w:type="spellEnd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para la </w:t>
      </w:r>
      <w:proofErr w:type="spellStart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>accesibilidad</w:t>
      </w:r>
      <w:proofErr w:type="spellEnd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>web</w:t>
      </w:r>
      <w:proofErr w:type="spellEnd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; por </w:t>
      </w:r>
      <w:proofErr w:type="spellStart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>ejemplo</w:t>
      </w:r>
      <w:proofErr w:type="spellEnd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WCAG 2.0 son </w:t>
      </w:r>
      <w:proofErr w:type="spellStart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>también</w:t>
      </w:r>
      <w:proofErr w:type="spellEnd"/>
      <w:r w:rsidRPr="00581E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estándar ISO : ISO/ IEC 40500</w:t>
      </w:r>
    </w:p>
    <w:p w:rsidR="00D820B3" w:rsidRPr="00D820B3" w:rsidRDefault="00D820B3" w:rsidP="00581E8E">
      <w:pPr>
        <w:pStyle w:val="Pargrafodelista"/>
        <w:rPr>
          <w:b/>
        </w:rPr>
      </w:pPr>
      <w:r w:rsidRPr="00D820B3">
        <w:rPr>
          <w:b/>
        </w:rPr>
        <w:t xml:space="preserve"> </w:t>
      </w:r>
    </w:p>
    <w:p w:rsidR="00D820B3" w:rsidRDefault="00D820B3" w:rsidP="00D820B3">
      <w:pPr>
        <w:pStyle w:val="Pargrafodelista"/>
        <w:numPr>
          <w:ilvl w:val="0"/>
          <w:numId w:val="1"/>
        </w:numPr>
        <w:rPr>
          <w:b/>
        </w:rPr>
      </w:pPr>
      <w:r w:rsidRPr="00D820B3">
        <w:rPr>
          <w:b/>
        </w:rPr>
        <w:t xml:space="preserve">ISO/IEC </w:t>
      </w:r>
    </w:p>
    <w:p w:rsidR="00581E8E" w:rsidRPr="00581E8E" w:rsidRDefault="00581E8E" w:rsidP="00581E8E">
      <w:pPr>
        <w:pStyle w:val="Pargrafodelista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Una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manera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demostrar que los servicios de TI están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cumpliendo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con las necesidades del negocio es implantar un Sistema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Gestión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Servicios de TI (SGSTI)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basado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en los requisitos de la norma ISO/IEC 20000. La certificación en esta norma internacional permite demostrar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manera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independiente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que los servicios ofrecidos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cumplen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con las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mejores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prácticas.</w:t>
      </w:r>
    </w:p>
    <w:p w:rsidR="00581E8E" w:rsidRPr="00D820B3" w:rsidRDefault="00581E8E" w:rsidP="00581E8E">
      <w:pPr>
        <w:pStyle w:val="Pargrafodelista"/>
        <w:rPr>
          <w:b/>
        </w:rPr>
      </w:pPr>
    </w:p>
    <w:p w:rsidR="00D820B3" w:rsidRDefault="00D820B3" w:rsidP="00D820B3">
      <w:pPr>
        <w:pStyle w:val="Pargrafodelista"/>
        <w:numPr>
          <w:ilvl w:val="0"/>
          <w:numId w:val="1"/>
        </w:numPr>
        <w:rPr>
          <w:b/>
        </w:rPr>
      </w:pPr>
      <w:r w:rsidRPr="00D820B3">
        <w:rPr>
          <w:b/>
        </w:rPr>
        <w:t xml:space="preserve"> AENOR </w:t>
      </w:r>
    </w:p>
    <w:p w:rsidR="00581E8E" w:rsidRPr="00581E8E" w:rsidRDefault="00581E8E" w:rsidP="00581E8E">
      <w:pPr>
        <w:pStyle w:val="Pargrafodelista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Asociación Española de Normalización y Certificación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AENOR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fue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desde 1986 hasta 2017 una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entidad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dedicada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desarrollo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la </w:t>
      </w:r>
      <w:r w:rsidRPr="00581E8E">
        <w:rPr>
          <w:rFonts w:ascii="Arial" w:hAnsi="Arial" w:cs="Arial"/>
          <w:sz w:val="21"/>
          <w:szCs w:val="21"/>
          <w:shd w:val="clear" w:color="auto" w:fill="FFFFFF"/>
        </w:rPr>
        <w:t>normalización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y la certificación (N+C) en todos los sectores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industrilaes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y de </w:t>
      </w:r>
      <w:r w:rsidRPr="00581E8E">
        <w:rPr>
          <w:rFonts w:ascii="Arial" w:hAnsi="Arial" w:cs="Arial"/>
          <w:sz w:val="21"/>
          <w:szCs w:val="21"/>
          <w:shd w:val="clear" w:color="auto" w:fill="FFFFFF"/>
        </w:rPr>
        <w:t>servicios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581E8E" w:rsidRPr="00D820B3" w:rsidRDefault="00581E8E" w:rsidP="00581E8E">
      <w:pPr>
        <w:pStyle w:val="Pargrafodelista"/>
        <w:rPr>
          <w:b/>
        </w:rPr>
      </w:pPr>
    </w:p>
    <w:p w:rsidR="00D820B3" w:rsidRDefault="00D820B3" w:rsidP="00D820B3">
      <w:pPr>
        <w:pStyle w:val="Pargrafodelista"/>
        <w:numPr>
          <w:ilvl w:val="0"/>
          <w:numId w:val="1"/>
        </w:numPr>
        <w:rPr>
          <w:b/>
        </w:rPr>
      </w:pPr>
      <w:r w:rsidRPr="00D820B3">
        <w:rPr>
          <w:b/>
        </w:rPr>
        <w:t xml:space="preserve">¿QUE É UNHA NORMA EN? </w:t>
      </w:r>
    </w:p>
    <w:p w:rsidR="00581E8E" w:rsidRPr="006C4CA1" w:rsidRDefault="00581E8E" w:rsidP="006C4CA1">
      <w:pPr>
        <w:ind w:left="720"/>
        <w:rPr>
          <w:rFonts w:ascii="Arial" w:hAnsi="Arial" w:cs="Arial"/>
          <w:sz w:val="21"/>
          <w:szCs w:val="21"/>
        </w:rPr>
      </w:pPr>
      <w:r w:rsidRPr="006C4CA1">
        <w:rPr>
          <w:rFonts w:ascii="Arial" w:hAnsi="Arial" w:cs="Arial"/>
          <w:sz w:val="21"/>
          <w:szCs w:val="21"/>
        </w:rPr>
        <w:t xml:space="preserve">Las normas EN son Normas Europeas, que elaboran, </w:t>
      </w:r>
      <w:proofErr w:type="spellStart"/>
      <w:r w:rsidRPr="006C4CA1">
        <w:rPr>
          <w:rFonts w:ascii="Arial" w:hAnsi="Arial" w:cs="Arial"/>
          <w:sz w:val="21"/>
          <w:szCs w:val="21"/>
        </w:rPr>
        <w:t>proponen</w:t>
      </w:r>
      <w:proofErr w:type="spellEnd"/>
      <w:r w:rsidRPr="006C4CA1">
        <w:rPr>
          <w:rFonts w:ascii="Arial" w:hAnsi="Arial" w:cs="Arial"/>
          <w:sz w:val="21"/>
          <w:szCs w:val="21"/>
        </w:rPr>
        <w:t xml:space="preserve"> y </w:t>
      </w:r>
      <w:proofErr w:type="spellStart"/>
      <w:r w:rsidRPr="006C4CA1">
        <w:rPr>
          <w:rFonts w:ascii="Arial" w:hAnsi="Arial" w:cs="Arial"/>
          <w:sz w:val="21"/>
          <w:szCs w:val="21"/>
        </w:rPr>
        <w:t>desarrollan</w:t>
      </w:r>
      <w:proofErr w:type="spellEnd"/>
      <w:r w:rsidRPr="006C4CA1">
        <w:rPr>
          <w:rFonts w:ascii="Arial" w:hAnsi="Arial" w:cs="Arial"/>
          <w:sz w:val="21"/>
          <w:szCs w:val="21"/>
        </w:rPr>
        <w:t xml:space="preserve"> los expertos de los diferentes Estados </w:t>
      </w:r>
      <w:proofErr w:type="spellStart"/>
      <w:r w:rsidRPr="006C4CA1">
        <w:rPr>
          <w:rFonts w:ascii="Arial" w:hAnsi="Arial" w:cs="Arial"/>
          <w:sz w:val="21"/>
          <w:szCs w:val="21"/>
        </w:rPr>
        <w:t>Miembros</w:t>
      </w:r>
      <w:proofErr w:type="spellEnd"/>
      <w:r w:rsidRPr="006C4CA1">
        <w:rPr>
          <w:rFonts w:ascii="Arial" w:hAnsi="Arial" w:cs="Arial"/>
          <w:sz w:val="21"/>
          <w:szCs w:val="21"/>
        </w:rPr>
        <w:t xml:space="preserve">, de los sectores </w:t>
      </w:r>
      <w:proofErr w:type="spellStart"/>
      <w:r w:rsidRPr="006C4CA1">
        <w:rPr>
          <w:rFonts w:ascii="Arial" w:hAnsi="Arial" w:cs="Arial"/>
          <w:sz w:val="21"/>
          <w:szCs w:val="21"/>
        </w:rPr>
        <w:t>industriales</w:t>
      </w:r>
      <w:proofErr w:type="spellEnd"/>
      <w:r w:rsidRPr="006C4CA1">
        <w:rPr>
          <w:rFonts w:ascii="Arial" w:hAnsi="Arial" w:cs="Arial"/>
          <w:sz w:val="21"/>
          <w:szCs w:val="21"/>
        </w:rPr>
        <w:t xml:space="preserve"> o </w:t>
      </w:r>
      <w:proofErr w:type="spellStart"/>
      <w:r w:rsidRPr="006C4CA1">
        <w:rPr>
          <w:rFonts w:ascii="Arial" w:hAnsi="Arial" w:cs="Arial"/>
          <w:sz w:val="21"/>
          <w:szCs w:val="21"/>
        </w:rPr>
        <w:t>tecnológicos</w:t>
      </w:r>
      <w:proofErr w:type="spellEnd"/>
      <w:r w:rsidRPr="006C4CA1">
        <w:rPr>
          <w:rFonts w:ascii="Arial" w:hAnsi="Arial" w:cs="Arial"/>
          <w:sz w:val="21"/>
          <w:szCs w:val="21"/>
        </w:rPr>
        <w:t xml:space="preserve"> dentro de la </w:t>
      </w:r>
      <w:proofErr w:type="spellStart"/>
      <w:r w:rsidRPr="006C4CA1">
        <w:rPr>
          <w:rFonts w:ascii="Arial" w:hAnsi="Arial" w:cs="Arial"/>
          <w:sz w:val="21"/>
          <w:szCs w:val="21"/>
        </w:rPr>
        <w:t>estructura</w:t>
      </w:r>
      <w:proofErr w:type="spellEnd"/>
      <w:r w:rsidRPr="006C4CA1">
        <w:rPr>
          <w:rFonts w:ascii="Arial" w:hAnsi="Arial" w:cs="Arial"/>
          <w:sz w:val="21"/>
          <w:szCs w:val="21"/>
        </w:rPr>
        <w:t xml:space="preserve"> de normalización del Comité Europeo de Normalización (CEN).</w:t>
      </w:r>
    </w:p>
    <w:p w:rsidR="00581E8E" w:rsidRPr="00D820B3" w:rsidRDefault="00581E8E" w:rsidP="00581E8E">
      <w:pPr>
        <w:pStyle w:val="Pargrafodelista"/>
        <w:rPr>
          <w:b/>
        </w:rPr>
      </w:pPr>
    </w:p>
    <w:p w:rsidR="00F95558" w:rsidRDefault="00D820B3" w:rsidP="00D820B3">
      <w:pPr>
        <w:pStyle w:val="Pargrafodelista"/>
        <w:numPr>
          <w:ilvl w:val="0"/>
          <w:numId w:val="1"/>
        </w:numPr>
        <w:rPr>
          <w:b/>
        </w:rPr>
      </w:pPr>
      <w:r w:rsidRPr="00D820B3">
        <w:rPr>
          <w:b/>
        </w:rPr>
        <w:t>¿QUE É UNHA NORMA UNE? COMO SE ELABORA?</w:t>
      </w:r>
    </w:p>
    <w:p w:rsidR="006C4CA1" w:rsidRPr="006C4CA1" w:rsidRDefault="006C4CA1" w:rsidP="006C4CA1">
      <w:pPr>
        <w:pStyle w:val="Pargrafodelista"/>
        <w:rPr>
          <w:rFonts w:ascii="Arial" w:hAnsi="Arial" w:cs="Arial"/>
          <w:sz w:val="21"/>
          <w:szCs w:val="21"/>
        </w:rPr>
      </w:pPr>
      <w:r w:rsidRPr="006C4CA1">
        <w:rPr>
          <w:rFonts w:ascii="Arial" w:hAnsi="Arial" w:cs="Arial"/>
          <w:sz w:val="21"/>
          <w:szCs w:val="21"/>
          <w:shd w:val="clear" w:color="auto" w:fill="FFFFFF"/>
        </w:rPr>
        <w:t xml:space="preserve">Son normas adoptadas y </w:t>
      </w:r>
      <w:proofErr w:type="spellStart"/>
      <w:r w:rsidRPr="006C4CA1">
        <w:rPr>
          <w:rFonts w:ascii="Arial" w:hAnsi="Arial" w:cs="Arial"/>
          <w:sz w:val="21"/>
          <w:szCs w:val="21"/>
          <w:shd w:val="clear" w:color="auto" w:fill="FFFFFF"/>
        </w:rPr>
        <w:t>armonizadas</w:t>
      </w:r>
      <w:proofErr w:type="spellEnd"/>
      <w:r w:rsidRPr="006C4CA1">
        <w:rPr>
          <w:rFonts w:ascii="Arial" w:hAnsi="Arial" w:cs="Arial"/>
          <w:sz w:val="21"/>
          <w:szCs w:val="21"/>
          <w:shd w:val="clear" w:color="auto" w:fill="FFFFFF"/>
        </w:rPr>
        <w:t xml:space="preserve"> tras la aprobación del órgano especifico dentro de la </w:t>
      </w:r>
      <w:proofErr w:type="spellStart"/>
      <w:r w:rsidRPr="006C4CA1">
        <w:rPr>
          <w:rFonts w:ascii="Arial" w:hAnsi="Arial" w:cs="Arial"/>
          <w:sz w:val="21"/>
          <w:szCs w:val="21"/>
          <w:shd w:val="clear" w:color="auto" w:fill="FFFFFF"/>
        </w:rPr>
        <w:t>estructura</w:t>
      </w:r>
      <w:proofErr w:type="spellEnd"/>
      <w:r w:rsidRPr="006C4CA1">
        <w:rPr>
          <w:rFonts w:ascii="Arial" w:hAnsi="Arial" w:cs="Arial"/>
          <w:sz w:val="21"/>
          <w:szCs w:val="21"/>
          <w:shd w:val="clear" w:color="auto" w:fill="FFFFFF"/>
        </w:rPr>
        <w:t xml:space="preserve"> de normalización nacional de AENOR.</w:t>
      </w:r>
    </w:p>
    <w:p w:rsidR="00581E8E" w:rsidRDefault="00581E8E" w:rsidP="00581E8E">
      <w:pPr>
        <w:pStyle w:val="Pargrafodelista"/>
        <w:rPr>
          <w:b/>
        </w:rPr>
      </w:pPr>
    </w:p>
    <w:p w:rsidR="00581E8E" w:rsidRDefault="006C4CA1" w:rsidP="006C4CA1">
      <w:pPr>
        <w:ind w:left="720"/>
        <w:rPr>
          <w:rFonts w:ascii="Arial" w:hAnsi="Arial" w:cs="Arial"/>
          <w:sz w:val="21"/>
          <w:szCs w:val="21"/>
        </w:rPr>
      </w:pPr>
      <w:r w:rsidRPr="006C4CA1">
        <w:rPr>
          <w:rFonts w:ascii="Arial" w:hAnsi="Arial" w:cs="Arial"/>
          <w:sz w:val="21"/>
          <w:szCs w:val="21"/>
        </w:rPr>
        <w:t xml:space="preserve">Se </w:t>
      </w:r>
      <w:proofErr w:type="spellStart"/>
      <w:r w:rsidRPr="006C4CA1">
        <w:rPr>
          <w:rFonts w:ascii="Arial" w:hAnsi="Arial" w:cs="Arial"/>
          <w:sz w:val="21"/>
          <w:szCs w:val="21"/>
        </w:rPr>
        <w:t>elaboan</w:t>
      </w:r>
      <w:proofErr w:type="spellEnd"/>
      <w:r w:rsidRPr="006C4CA1">
        <w:rPr>
          <w:rFonts w:ascii="Arial" w:hAnsi="Arial" w:cs="Arial"/>
          <w:sz w:val="21"/>
          <w:szCs w:val="21"/>
        </w:rPr>
        <w:t xml:space="preserve">  a través de los Comités Técnicos de Normalización (CTN) en los que están presentes todas las partes interesadas.</w:t>
      </w:r>
    </w:p>
    <w:p w:rsidR="00093EC9" w:rsidRDefault="00093EC9" w:rsidP="006C4CA1">
      <w:pPr>
        <w:ind w:left="720"/>
        <w:rPr>
          <w:rFonts w:ascii="Arial" w:hAnsi="Arial" w:cs="Arial"/>
          <w:sz w:val="21"/>
          <w:szCs w:val="21"/>
        </w:rPr>
      </w:pPr>
    </w:p>
    <w:p w:rsidR="00093EC9" w:rsidRDefault="00604CFA" w:rsidP="00604CFA">
      <w:pPr>
        <w:pStyle w:val="Pargrafodelista"/>
        <w:numPr>
          <w:ilvl w:val="0"/>
          <w:numId w:val="1"/>
        </w:numPr>
        <w:rPr>
          <w:rFonts w:ascii="Arial" w:hAnsi="Arial" w:cs="Arial"/>
          <w:b/>
          <w:sz w:val="21"/>
          <w:szCs w:val="21"/>
        </w:rPr>
      </w:pPr>
      <w:r w:rsidRPr="00604CFA">
        <w:rPr>
          <w:rFonts w:ascii="Arial" w:hAnsi="Arial" w:cs="Arial"/>
          <w:b/>
          <w:sz w:val="21"/>
          <w:szCs w:val="21"/>
        </w:rPr>
        <w:t xml:space="preserve">Decreto 1112 de 2018. </w:t>
      </w:r>
      <w:r w:rsidR="00B965B5">
        <w:rPr>
          <w:rFonts w:ascii="Arial" w:hAnsi="Arial" w:cs="Arial"/>
          <w:b/>
          <w:sz w:val="21"/>
          <w:szCs w:val="21"/>
        </w:rPr>
        <w:t xml:space="preserve">Cando entrou en </w:t>
      </w:r>
      <w:proofErr w:type="spellStart"/>
      <w:r w:rsidR="00B965B5">
        <w:rPr>
          <w:rFonts w:ascii="Arial" w:hAnsi="Arial" w:cs="Arial"/>
          <w:b/>
          <w:sz w:val="21"/>
          <w:szCs w:val="21"/>
        </w:rPr>
        <w:t>vigot</w:t>
      </w:r>
      <w:proofErr w:type="spellEnd"/>
      <w:r w:rsidR="00B965B5">
        <w:rPr>
          <w:rFonts w:ascii="Arial" w:hAnsi="Arial" w:cs="Arial"/>
          <w:b/>
          <w:sz w:val="21"/>
          <w:szCs w:val="21"/>
        </w:rPr>
        <w:t xml:space="preserve">? </w:t>
      </w:r>
      <w:r w:rsidRPr="00604CFA">
        <w:rPr>
          <w:rFonts w:ascii="Arial" w:hAnsi="Arial" w:cs="Arial"/>
          <w:b/>
          <w:sz w:val="21"/>
          <w:szCs w:val="21"/>
        </w:rPr>
        <w:t>A quen afecta?</w:t>
      </w:r>
    </w:p>
    <w:p w:rsidR="00604CFA" w:rsidRPr="00B965B5" w:rsidRDefault="00B965B5" w:rsidP="00604CFA">
      <w:pPr>
        <w:pStyle w:val="Pargrafodelista"/>
        <w:rPr>
          <w:rFonts w:ascii="Arial" w:hAnsi="Arial" w:cs="Arial"/>
          <w:sz w:val="21"/>
          <w:szCs w:val="21"/>
        </w:rPr>
      </w:pPr>
      <w:r w:rsidRPr="00B965B5">
        <w:rPr>
          <w:rFonts w:ascii="Arial" w:hAnsi="Arial" w:cs="Arial"/>
          <w:sz w:val="21"/>
          <w:szCs w:val="21"/>
        </w:rPr>
        <w:t>Entro</w:t>
      </w:r>
      <w:r>
        <w:rPr>
          <w:rFonts w:ascii="Arial" w:hAnsi="Arial" w:cs="Arial"/>
          <w:sz w:val="21"/>
          <w:szCs w:val="21"/>
        </w:rPr>
        <w:t>u</w:t>
      </w:r>
      <w:r w:rsidRPr="00B965B5">
        <w:rPr>
          <w:rFonts w:ascii="Arial" w:hAnsi="Arial" w:cs="Arial"/>
          <w:sz w:val="21"/>
          <w:szCs w:val="21"/>
        </w:rPr>
        <w:t xml:space="preserve"> en vigo</w:t>
      </w:r>
      <w:r>
        <w:rPr>
          <w:rFonts w:ascii="Arial" w:hAnsi="Arial" w:cs="Arial"/>
          <w:sz w:val="21"/>
          <w:szCs w:val="21"/>
        </w:rPr>
        <w:t xml:space="preserve">r 20 de </w:t>
      </w:r>
      <w:proofErr w:type="spellStart"/>
      <w:r>
        <w:rPr>
          <w:rFonts w:ascii="Arial" w:hAnsi="Arial" w:cs="Arial"/>
          <w:sz w:val="21"/>
          <w:szCs w:val="21"/>
        </w:rPr>
        <w:t>septembr</w:t>
      </w:r>
      <w:r w:rsidRPr="00B965B5">
        <w:rPr>
          <w:rFonts w:ascii="Arial" w:hAnsi="Arial" w:cs="Arial"/>
          <w:sz w:val="21"/>
          <w:szCs w:val="21"/>
        </w:rPr>
        <w:t>o</w:t>
      </w:r>
      <w:proofErr w:type="spellEnd"/>
      <w:r w:rsidRPr="00B965B5">
        <w:rPr>
          <w:rFonts w:ascii="Arial" w:hAnsi="Arial" w:cs="Arial"/>
          <w:sz w:val="21"/>
          <w:szCs w:val="21"/>
        </w:rPr>
        <w:t xml:space="preserve"> do 2018</w:t>
      </w:r>
      <w:r>
        <w:rPr>
          <w:rFonts w:ascii="Arial" w:hAnsi="Arial" w:cs="Arial"/>
          <w:sz w:val="21"/>
          <w:szCs w:val="21"/>
        </w:rPr>
        <w:t>.</w:t>
      </w:r>
    </w:p>
    <w:p w:rsidR="00604CFA" w:rsidRDefault="00B965B5" w:rsidP="00604CFA">
      <w:pPr>
        <w:pStyle w:val="Pargrafodelista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Afecta a:</w:t>
      </w:r>
    </w:p>
    <w:p w:rsidR="00B965B5" w:rsidRPr="00B965B5" w:rsidRDefault="00B965B5" w:rsidP="00B965B5">
      <w:pPr>
        <w:pStyle w:val="parrafo2"/>
        <w:numPr>
          <w:ilvl w:val="0"/>
          <w:numId w:val="2"/>
        </w:numPr>
        <w:shd w:val="clear" w:color="auto" w:fill="FFFFFF"/>
        <w:spacing w:before="360" w:beforeAutospacing="0" w:after="1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B965B5">
        <w:rPr>
          <w:rFonts w:ascii="Arial" w:hAnsi="Arial" w:cs="Arial"/>
          <w:color w:val="000000"/>
          <w:sz w:val="21"/>
          <w:szCs w:val="21"/>
        </w:rPr>
        <w:t xml:space="preserve">La </w:t>
      </w:r>
      <w:r w:rsidRPr="00B965B5">
        <w:rPr>
          <w:rFonts w:ascii="Arial" w:hAnsi="Arial" w:cs="Arial"/>
          <w:color w:val="000000"/>
          <w:sz w:val="21"/>
          <w:szCs w:val="21"/>
        </w:rPr>
        <w:t xml:space="preserve">Administración </w:t>
      </w:r>
      <w:proofErr w:type="spellStart"/>
      <w:r w:rsidRPr="00B965B5">
        <w:rPr>
          <w:rFonts w:ascii="Arial" w:hAnsi="Arial" w:cs="Arial"/>
          <w:color w:val="000000"/>
          <w:sz w:val="21"/>
          <w:szCs w:val="21"/>
        </w:rPr>
        <w:t>General</w:t>
      </w:r>
      <w:proofErr w:type="spellEnd"/>
      <w:r w:rsidRPr="00B965B5">
        <w:rPr>
          <w:rFonts w:ascii="Arial" w:hAnsi="Arial" w:cs="Arial"/>
          <w:color w:val="000000"/>
          <w:sz w:val="21"/>
          <w:szCs w:val="21"/>
        </w:rPr>
        <w:t xml:space="preserve"> del Estado.</w:t>
      </w:r>
    </w:p>
    <w:p w:rsidR="00B965B5" w:rsidRPr="00B965B5" w:rsidRDefault="00B965B5" w:rsidP="00B965B5">
      <w:pPr>
        <w:pStyle w:val="parrafo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B965B5">
        <w:rPr>
          <w:rFonts w:ascii="Arial" w:hAnsi="Arial" w:cs="Arial"/>
          <w:color w:val="000000"/>
          <w:sz w:val="21"/>
          <w:szCs w:val="21"/>
        </w:rPr>
        <w:t xml:space="preserve">Las </w:t>
      </w:r>
      <w:proofErr w:type="spellStart"/>
      <w:r w:rsidRPr="00B965B5">
        <w:rPr>
          <w:rFonts w:ascii="Arial" w:hAnsi="Arial" w:cs="Arial"/>
          <w:color w:val="000000"/>
          <w:sz w:val="21"/>
          <w:szCs w:val="21"/>
        </w:rPr>
        <w:t>Administraciones</w:t>
      </w:r>
      <w:proofErr w:type="spellEnd"/>
      <w:r w:rsidRPr="00B965B5">
        <w:rPr>
          <w:rFonts w:ascii="Arial" w:hAnsi="Arial" w:cs="Arial"/>
          <w:color w:val="000000"/>
          <w:sz w:val="21"/>
          <w:szCs w:val="21"/>
        </w:rPr>
        <w:t xml:space="preserve"> de las comunidades autónomas.</w:t>
      </w:r>
    </w:p>
    <w:p w:rsidR="00B965B5" w:rsidRPr="00B965B5" w:rsidRDefault="00B965B5" w:rsidP="00B965B5">
      <w:pPr>
        <w:pStyle w:val="parrafo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B965B5">
        <w:rPr>
          <w:rFonts w:ascii="Arial" w:hAnsi="Arial" w:cs="Arial"/>
          <w:color w:val="000000"/>
          <w:sz w:val="21"/>
          <w:szCs w:val="21"/>
        </w:rPr>
        <w:t>Las entidades que integran la Administración Local.</w:t>
      </w:r>
    </w:p>
    <w:p w:rsidR="00B965B5" w:rsidRDefault="00B965B5" w:rsidP="00B965B5">
      <w:pPr>
        <w:pStyle w:val="parrafo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B965B5">
        <w:rPr>
          <w:rFonts w:ascii="Arial" w:hAnsi="Arial" w:cs="Arial"/>
          <w:color w:val="000000"/>
          <w:sz w:val="21"/>
          <w:szCs w:val="21"/>
        </w:rPr>
        <w:t>El sector público institucional</w:t>
      </w:r>
    </w:p>
    <w:p w:rsidR="00B965B5" w:rsidRPr="00B965B5" w:rsidRDefault="00B965B5" w:rsidP="00B965B5">
      <w:pPr>
        <w:pStyle w:val="parrafo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B965B5">
        <w:rPr>
          <w:rFonts w:ascii="Arial" w:hAnsi="Arial" w:cs="Arial"/>
          <w:color w:val="000000"/>
          <w:sz w:val="21"/>
          <w:szCs w:val="21"/>
        </w:rPr>
        <w:t xml:space="preserve">Las </w:t>
      </w:r>
      <w:proofErr w:type="spellStart"/>
      <w:r w:rsidRPr="00B965B5">
        <w:rPr>
          <w:rFonts w:ascii="Arial" w:hAnsi="Arial" w:cs="Arial"/>
          <w:color w:val="000000"/>
          <w:sz w:val="21"/>
          <w:szCs w:val="21"/>
        </w:rPr>
        <w:t>asociaciones</w:t>
      </w:r>
      <w:proofErr w:type="spellEnd"/>
      <w:r w:rsidRPr="00B965B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965B5">
        <w:rPr>
          <w:rFonts w:ascii="Arial" w:hAnsi="Arial" w:cs="Arial"/>
          <w:color w:val="000000"/>
          <w:sz w:val="21"/>
          <w:szCs w:val="21"/>
        </w:rPr>
        <w:t>constituidas</w:t>
      </w:r>
      <w:proofErr w:type="spellEnd"/>
      <w:r w:rsidRPr="00B965B5">
        <w:rPr>
          <w:rFonts w:ascii="Arial" w:hAnsi="Arial" w:cs="Arial"/>
          <w:color w:val="000000"/>
          <w:sz w:val="21"/>
          <w:szCs w:val="21"/>
        </w:rPr>
        <w:t xml:space="preserve"> </w:t>
      </w:r>
      <w:bookmarkStart w:id="0" w:name="_GoBack"/>
      <w:bookmarkEnd w:id="0"/>
    </w:p>
    <w:p w:rsidR="00B965B5" w:rsidRPr="00604CFA" w:rsidRDefault="00B965B5" w:rsidP="00604CFA">
      <w:pPr>
        <w:pStyle w:val="Pargrafodelista"/>
        <w:rPr>
          <w:rFonts w:ascii="Arial" w:hAnsi="Arial" w:cs="Arial"/>
          <w:sz w:val="21"/>
          <w:szCs w:val="21"/>
        </w:rPr>
      </w:pPr>
    </w:p>
    <w:sectPr w:rsidR="00B965B5" w:rsidRPr="00604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C2CAE"/>
    <w:multiLevelType w:val="hybridMultilevel"/>
    <w:tmpl w:val="93BC0EA4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B62A6"/>
    <w:multiLevelType w:val="hybridMultilevel"/>
    <w:tmpl w:val="A14C8540"/>
    <w:lvl w:ilvl="0" w:tplc="045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0B3"/>
    <w:rsid w:val="00093EC9"/>
    <w:rsid w:val="0014431E"/>
    <w:rsid w:val="00581E8E"/>
    <w:rsid w:val="00604CFA"/>
    <w:rsid w:val="006C4CA1"/>
    <w:rsid w:val="00AA333F"/>
    <w:rsid w:val="00B965B5"/>
    <w:rsid w:val="00D8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Pargrafodelista">
    <w:name w:val="List Paragraph"/>
    <w:basedOn w:val="Normal"/>
    <w:uiPriority w:val="34"/>
    <w:qFormat/>
    <w:rsid w:val="00D820B3"/>
    <w:pPr>
      <w:ind w:left="720"/>
      <w:contextualSpacing/>
    </w:pPr>
  </w:style>
  <w:style w:type="character" w:styleId="Hiperligazn">
    <w:name w:val="Hyperlink"/>
    <w:basedOn w:val="Tipodeletrapredefinidodopargrafo"/>
    <w:uiPriority w:val="99"/>
    <w:semiHidden/>
    <w:unhideWhenUsed/>
    <w:rsid w:val="00D820B3"/>
    <w:rPr>
      <w:color w:val="0000FF"/>
      <w:u w:val="single"/>
    </w:rPr>
  </w:style>
  <w:style w:type="paragraph" w:customStyle="1" w:styleId="parrafo2">
    <w:name w:val="parrafo_2"/>
    <w:basedOn w:val="Normal"/>
    <w:rsid w:val="00B9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customStyle="1" w:styleId="parrafo">
    <w:name w:val="parrafo"/>
    <w:basedOn w:val="Normal"/>
    <w:rsid w:val="00B9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Pargrafodelista">
    <w:name w:val="List Paragraph"/>
    <w:basedOn w:val="Normal"/>
    <w:uiPriority w:val="34"/>
    <w:qFormat/>
    <w:rsid w:val="00D820B3"/>
    <w:pPr>
      <w:ind w:left="720"/>
      <w:contextualSpacing/>
    </w:pPr>
  </w:style>
  <w:style w:type="character" w:styleId="Hiperligazn">
    <w:name w:val="Hyperlink"/>
    <w:basedOn w:val="Tipodeletrapredefinidodopargrafo"/>
    <w:uiPriority w:val="99"/>
    <w:semiHidden/>
    <w:unhideWhenUsed/>
    <w:rsid w:val="00D820B3"/>
    <w:rPr>
      <w:color w:val="0000FF"/>
      <w:u w:val="single"/>
    </w:rPr>
  </w:style>
  <w:style w:type="paragraph" w:customStyle="1" w:styleId="parrafo2">
    <w:name w:val="parrafo_2"/>
    <w:basedOn w:val="Normal"/>
    <w:rsid w:val="00B9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customStyle="1" w:styleId="parrafo">
    <w:name w:val="parrafo"/>
    <w:basedOn w:val="Normal"/>
    <w:rsid w:val="00B9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daw2 - Lauroba Loureiro, Daniel</dc:creator>
  <cp:lastModifiedBy>daw2 - Lauroba Loureiro, Daniel</cp:lastModifiedBy>
  <cp:revision>3</cp:revision>
  <dcterms:created xsi:type="dcterms:W3CDTF">2022-10-05T07:48:00Z</dcterms:created>
  <dcterms:modified xsi:type="dcterms:W3CDTF">2022-10-05T09:03:00Z</dcterms:modified>
</cp:coreProperties>
</file>