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Kevin Lee</w:t>
      </w:r>
    </w:p>
    <w:p>
      <w:pPr>
        <w:jc w:val="center"/>
      </w:pPr>
      <w:r>
        <w:rPr>
          <w:sz w:val="20"/>
        </w:rPr>
        <w:t>kevin.lee.sec@example.com | 555-0116 | Seattle, WA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Information security expert with 6 years of experience in vulnerability management, incident response, and security auditing.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Security Engineer</w:t>
      </w:r>
      <w:r>
        <w:t xml:space="preserve"> | SecureSphere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Conduct regular security assessments and penetration testing of cloud infrastructure.</w:t>
      </w:r>
    </w:p>
    <w:p>
      <w:pPr>
        <w:pStyle w:val="ListBullet"/>
      </w:pPr>
      <w:r>
        <w:t>Implement and manage security tools, including SIEM, IDS/IPS, and endpoint protection.</w:t>
      </w:r>
    </w:p>
    <w:p>
      <w:pPr>
        <w:pStyle w:val="ListBullet"/>
      </w:pPr>
      <w:r>
        <w:t>Lead incident response efforts and conduct post-mortem investigations.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Information Security, Vulnerability Management, Incident Response, Network Security, Cloud Security (AWS), Compliance (SOC2, HIPAA)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Cybersecurity</w:t>
      </w:r>
      <w:r>
        <w:t>, University of Washington (2014 - 2018)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