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Methodology</w:t>
      </w:r>
    </w:p>
    <w:p>
      <w:pPr>
        <w:pStyle w:val="Heading2"/>
      </w:pPr>
      <w:r>
        <w:t>3.1 Research Design Overview</w:t>
      </w:r>
    </w:p>
    <w:p>
      <w:r>
        <w:t>This chapter documents the methodological framework for forecasting UK headline inflation using explainable hybrid machine learning models. The design integrates classical econometric baselines, tree-based regressors, and sequence models to produce direct multi-horizon forecasts at t+1, t+3, and t+5 months while ensuring traceability for policy stakeholders.</w:t>
      </w:r>
    </w:p>
    <w:p>
      <w:pPr>
        <w:pStyle w:val="Heading2"/>
      </w:pPr>
      <w:r>
        <w:t>3.2 Data Description and Exploratory Diagnostics</w:t>
      </w:r>
    </w:p>
    <w:p>
      <w:r>
        <w:t>Monthly macroeconomic indicators were aligned on the first day of each month. Exploratory plots highlighted distinct inflation regimes—post-2014 disinflation, pre-pandemic stability, and post-2020 volatility—necessitating models that handle structural shifts. Autocorrelation of CPI confirmed persistence beyond one year, motivating lag features, while cross-correlation across fuel prices, policy rates, exchange rates, activity growth, and unemployment supported a multivariate strategy.</w:t>
      </w:r>
    </w:p>
    <w:p>
      <w:pPr>
        <w:pStyle w:val="Heading2"/>
      </w:pPr>
      <w:r>
        <w:t>3.3 Data Preparation</w:t>
      </w:r>
    </w:p>
    <w:p>
      <w:r>
        <w:t>Raw CSVs were parsed with consistent numeric casting, timestamps standardised to YYYY-MM-01, and datasets inner-joined on date, retaining only complete cases. After constructing the future targets cpi_t1, cpi_t3, and cpi_t5, rows lacking future observations were removed. Lag features were created for CPI and macro predictors at 1, 3, 6, and 12 months (where relevant). MinMax scaling was fitted on the training set for sequence models, whereas tree models consumed unscaled tabular inputs.</w:t>
      </w:r>
    </w:p>
    <w:p>
      <w:pPr>
        <w:pStyle w:val="Heading2"/>
      </w:pPr>
      <w:r>
        <w:t>3.4 Train–Validation–Test Protocol</w:t>
      </w:r>
    </w:p>
    <w:p>
      <w:r>
        <w:t>Chronological integrity was preserved by allocating the earliest segment to training, the next block to validation, and the latest months to testing. Splits were defined before scaling to avoid leakage, and horizon targets were generated prior to partitioning so each subset contained aligned feature-target pairs.</w:t>
      </w:r>
    </w:p>
    <w:p>
      <w:pPr>
        <w:pStyle w:val="Heading2"/>
      </w:pPr>
      <w:r>
        <w:t>3.5 Forecasting Strategy</w:t>
      </w:r>
    </w:p>
    <w:p>
      <w:r>
        <w:t>A direct multi-step framework was employed: each horizon (1, 3, and 5 months ahead) was modelled explicitly rather than iteratively, mirroring the notebook implementation where cpi_t1, cpi_t3, and cpi_t5 serve as parallel outputs.</w:t>
      </w:r>
    </w:p>
    <w:p>
      <w:pPr>
        <w:pStyle w:val="Heading2"/>
      </w:pPr>
      <w:r>
        <w:t>3.6 Evaluation Metrics</w:t>
      </w:r>
    </w:p>
    <w:p>
      <w:r>
        <w:t>Model accuracy was assessed using MAE, RMSE, and MAPE across validation and test splits. MAE = (1/n) Σ|y_t - ŷ_t|, RMSE = sqrt((1/n) Σ(y_t - ŷ_t)^2), and MAPE = (100/n) Σ| (y_t - ŷ_t) / y_t |. These metrics provide absolute, squared, and percentage error perspectives respectively.</w:t>
      </w:r>
    </w:p>
    <w:p>
      <w:pPr>
        <w:pStyle w:val="Heading2"/>
      </w:pPr>
      <w:r>
        <w:t>3.7 Baseline Models</w:t>
      </w:r>
    </w:p>
    <w:p>
      <w:r>
        <w:t>ARIMA used only cpi_yoy, with differencing orders chosen via ADF/KPSS checks and (p,d,q) selected through AIC/BIC minimisation. Random Forest regressors consumed macro features and lags, training independent models per horizon with tuned hyperparameters (n_estimators=500, max_depth=12, min_samples_split=4, min_samples_leaf=2, max_features="sqrt", random_state=42).</w:t>
      </w:r>
    </w:p>
    <w:p>
      <w:pPr>
        <w:pStyle w:val="Heading2"/>
      </w:pPr>
      <w:r>
        <w:t>3.8 Hybrid Ensemble A – Averaging</w:t>
      </w:r>
    </w:p>
    <w:p>
      <w:r>
        <w:t>Hybrid A averages scaled predictions from a multivariate LSTM (sequence length 18, 64 hidden units, dropout 0.2, Adam learning_rate=0.001, early stopping patience 15) and horizon-specific XGBoost models (learning_rate=0.03, max_depth=5, n_estimators=400, subsample=0.9, colsample_bytree=0.9). Predictions are averaged in scaled space and inverse-transformed, and artifacts are saved under results/hybrid_a for downstream notebooks.</w:t>
      </w:r>
    </w:p>
    <w:p>
      <w:pPr>
        <w:pStyle w:val="Heading2"/>
      </w:pPr>
      <w:r>
        <w:t>3.9 Hybrid Ensemble B – LSTM + XGBoost Stacking</w:t>
      </w:r>
    </w:p>
    <w:p>
      <w:r>
        <w:t>Hybrid B stacks LSTM outputs with tabular features before training new horizon-specific XGBoost models (learning_rate=0.03, max_depth=6, n_estimators=500, subsample=0.9, colsample_bytree=0.9). The workflow is: scaled sequences → LSTM forecasts → concatenate with tabular features → XGBoost refinement → inverse scaling to CPI units. Artifacts are stored in results/hybrid_b.</w:t>
      </w:r>
    </w:p>
    <w:p>
      <w:pPr>
        <w:pStyle w:val="Heading2"/>
      </w:pPr>
      <w:r>
        <w:t>3.10 Explainability Framework</w:t>
      </w:r>
    </w:p>
    <w:p>
      <w:r>
        <w:t>SHAP analyses are applied to Random Forest and both hybrid XGBoost layers, yielding global importance bars, beeswarm distributions, dependence plots, and local force plots to justify individual forecasts. LIME is available as a surrogate option for policy briefings, ensuring transparency across models.</w:t>
      </w:r>
    </w:p>
    <w:p>
      <w:pPr>
        <w:pStyle w:val="Heading2"/>
      </w:pPr>
      <w:r>
        <w:t>3.11 Methodology Summary</w:t>
      </w:r>
    </w:p>
    <w:p>
      <w:r>
        <w:t>The pipeline cleans and aligns monthly macro data, engineers lag features, preserves chronological splits, and trains both statistical and hybrid models. Evaluation relies on MAE/RMSE/MAPE, artifacts are persisted for reproducibility, and SHAP provides interpretability for central-bank stakeholders.</w:t>
      </w:r>
    </w:p>
    <w:p>
      <w:r>
        <w:t>Table 3.1 Variables, definitions, frequency, and roles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Variable</w:t>
            </w:r>
          </w:p>
        </w:tc>
        <w:tc>
          <w:tcPr>
            <w:tcW w:type="dxa" w:w="1728"/>
          </w:tcPr>
          <w:p>
            <w:r>
              <w:t>Description</w:t>
            </w:r>
          </w:p>
        </w:tc>
        <w:tc>
          <w:tcPr>
            <w:tcW w:type="dxa" w:w="1728"/>
          </w:tcPr>
          <w:p>
            <w:r>
              <w:t>Frequency</w:t>
            </w:r>
          </w:p>
        </w:tc>
        <w:tc>
          <w:tcPr>
            <w:tcW w:type="dxa" w:w="1728"/>
          </w:tcPr>
          <w:p>
            <w:r>
              <w:t>Role</w:t>
            </w:r>
          </w:p>
        </w:tc>
        <w:tc>
          <w:tcPr>
            <w:tcW w:type="dxa" w:w="1728"/>
          </w:tcPr>
          <w:p>
            <w:r>
              <w:t>Notes</w:t>
            </w:r>
          </w:p>
        </w:tc>
      </w:tr>
      <w:tr>
        <w:tc>
          <w:tcPr>
            <w:tcW w:type="dxa" w:w="1728"/>
          </w:tcPr>
          <w:p>
            <w:r>
              <w:t>date</w:t>
            </w:r>
          </w:p>
        </w:tc>
        <w:tc>
          <w:tcPr>
            <w:tcW w:type="dxa" w:w="1728"/>
          </w:tcPr>
          <w:p>
            <w:r>
              <w:t>Calendar month (YYYY-MM-01)</w:t>
            </w:r>
          </w:p>
        </w:tc>
        <w:tc>
          <w:tcPr>
            <w:tcW w:type="dxa" w:w="1728"/>
          </w:tcPr>
          <w:p>
            <w:r>
              <w:t>Monthly</w:t>
            </w:r>
          </w:p>
        </w:tc>
        <w:tc>
          <w:tcPr>
            <w:tcW w:type="dxa" w:w="1728"/>
          </w:tcPr>
          <w:p>
            <w:r>
              <w:t>Index</w:t>
            </w:r>
          </w:p>
        </w:tc>
        <w:tc>
          <w:tcPr>
            <w:tcW w:type="dxa" w:w="1728"/>
          </w:tcPr>
          <w:p>
            <w:r>
              <w:t>Temporal key</w:t>
            </w:r>
          </w:p>
        </w:tc>
      </w:tr>
      <w:tr>
        <w:tc>
          <w:tcPr>
            <w:tcW w:type="dxa" w:w="1728"/>
          </w:tcPr>
          <w:p>
            <w:r>
              <w:t>cpi_yoy</w:t>
            </w:r>
          </w:p>
        </w:tc>
        <w:tc>
          <w:tcPr>
            <w:tcW w:type="dxa" w:w="1728"/>
          </w:tcPr>
          <w:p>
            <w:r>
              <w:t>Headline CPI YoY (%)</w:t>
            </w:r>
          </w:p>
        </w:tc>
        <w:tc>
          <w:tcPr>
            <w:tcW w:type="dxa" w:w="1728"/>
          </w:tcPr>
          <w:p>
            <w:r>
              <w:t>Monthly</w:t>
            </w:r>
          </w:p>
        </w:tc>
        <w:tc>
          <w:tcPr>
            <w:tcW w:type="dxa" w:w="1728"/>
          </w:tcPr>
          <w:p>
            <w:r>
              <w:t>Feature/Target</w:t>
            </w:r>
          </w:p>
        </w:tc>
        <w:tc>
          <w:tcPr>
            <w:tcW w:type="dxa" w:w="1728"/>
          </w:tcPr>
          <w:p>
            <w:r>
              <w:t>Feeds ARIMA, LSTM, lags</w:t>
            </w:r>
          </w:p>
        </w:tc>
      </w:tr>
      <w:tr>
        <w:tc>
          <w:tcPr>
            <w:tcW w:type="dxa" w:w="1728"/>
          </w:tcPr>
          <w:p>
            <w:r>
              <w:t>petrol_yoy</w:t>
            </w:r>
          </w:p>
        </w:tc>
        <w:tc>
          <w:tcPr>
            <w:tcW w:type="dxa" w:w="1728"/>
          </w:tcPr>
          <w:p>
            <w:r>
              <w:t>Petrol price inflation (%)</w:t>
            </w:r>
          </w:p>
        </w:tc>
        <w:tc>
          <w:tcPr>
            <w:tcW w:type="dxa" w:w="1728"/>
          </w:tcPr>
          <w:p>
            <w:r>
              <w:t>Monthly</w:t>
            </w:r>
          </w:p>
        </w:tc>
        <w:tc>
          <w:tcPr>
            <w:tcW w:type="dxa" w:w="1728"/>
          </w:tcPr>
          <w:p>
            <w:r>
              <w:t>Feature</w:t>
            </w:r>
          </w:p>
        </w:tc>
        <w:tc>
          <w:tcPr>
            <w:tcW w:type="dxa" w:w="1728"/>
          </w:tcPr>
          <w:p>
            <w:r>
              <w:t>Lags 1/3/6/12 months</w:t>
            </w:r>
          </w:p>
        </w:tc>
      </w:tr>
      <w:tr>
        <w:tc>
          <w:tcPr>
            <w:tcW w:type="dxa" w:w="1728"/>
          </w:tcPr>
          <w:p>
            <w:r>
              <w:t>bank_rate</w:t>
            </w:r>
          </w:p>
        </w:tc>
        <w:tc>
          <w:tcPr>
            <w:tcW w:type="dxa" w:w="1728"/>
          </w:tcPr>
          <w:p>
            <w:r>
              <w:t>Policy rate (%)</w:t>
            </w:r>
          </w:p>
        </w:tc>
        <w:tc>
          <w:tcPr>
            <w:tcW w:type="dxa" w:w="1728"/>
          </w:tcPr>
          <w:p>
            <w:r>
              <w:t>Monthly</w:t>
            </w:r>
          </w:p>
        </w:tc>
        <w:tc>
          <w:tcPr>
            <w:tcW w:type="dxa" w:w="1728"/>
          </w:tcPr>
          <w:p>
            <w:r>
              <w:t>Feature</w:t>
            </w:r>
          </w:p>
        </w:tc>
        <w:tc>
          <w:tcPr>
            <w:tcW w:type="dxa" w:w="1728"/>
          </w:tcPr>
          <w:p>
            <w:r>
              <w:t>Lags 1/3/6 months</w:t>
            </w:r>
          </w:p>
        </w:tc>
      </w:tr>
      <w:tr>
        <w:tc>
          <w:tcPr>
            <w:tcW w:type="dxa" w:w="1728"/>
          </w:tcPr>
          <w:p>
            <w:r>
              <w:t>fx_usd</w:t>
            </w:r>
          </w:p>
        </w:tc>
        <w:tc>
          <w:tcPr>
            <w:tcW w:type="dxa" w:w="1728"/>
          </w:tcPr>
          <w:p>
            <w:r>
              <w:t>GBP/USD exchange rate</w:t>
            </w:r>
          </w:p>
        </w:tc>
        <w:tc>
          <w:tcPr>
            <w:tcW w:type="dxa" w:w="1728"/>
          </w:tcPr>
          <w:p>
            <w:r>
              <w:t>Monthly</w:t>
            </w:r>
          </w:p>
        </w:tc>
        <w:tc>
          <w:tcPr>
            <w:tcW w:type="dxa" w:w="1728"/>
          </w:tcPr>
          <w:p>
            <w:r>
              <w:t>Feature</w:t>
            </w:r>
          </w:p>
        </w:tc>
        <w:tc>
          <w:tcPr>
            <w:tcW w:type="dxa" w:w="1728"/>
          </w:tcPr>
          <w:p>
            <w:r>
              <w:t>Lags 1/3 months</w:t>
            </w:r>
          </w:p>
        </w:tc>
      </w:tr>
      <w:tr>
        <w:tc>
          <w:tcPr>
            <w:tcW w:type="dxa" w:w="1728"/>
          </w:tcPr>
          <w:p>
            <w:r>
              <w:t>gva_growth</w:t>
            </w:r>
          </w:p>
        </w:tc>
        <w:tc>
          <w:tcPr>
            <w:tcW w:type="dxa" w:w="1728"/>
          </w:tcPr>
          <w:p>
            <w:r>
              <w:t>Gross Value Added growth (%)</w:t>
            </w:r>
          </w:p>
        </w:tc>
        <w:tc>
          <w:tcPr>
            <w:tcW w:type="dxa" w:w="1728"/>
          </w:tcPr>
          <w:p>
            <w:r>
              <w:t>Monthly</w:t>
            </w:r>
          </w:p>
        </w:tc>
        <w:tc>
          <w:tcPr>
            <w:tcW w:type="dxa" w:w="1728"/>
          </w:tcPr>
          <w:p>
            <w:r>
              <w:t>Feature</w:t>
            </w:r>
          </w:p>
        </w:tc>
        <w:tc>
          <w:tcPr>
            <w:tcW w:type="dxa" w:w="1728"/>
          </w:tcPr>
          <w:p>
            <w:r>
              <w:t>Lags 1/3/6 months</w:t>
            </w:r>
          </w:p>
        </w:tc>
      </w:tr>
      <w:tr>
        <w:tc>
          <w:tcPr>
            <w:tcW w:type="dxa" w:w="1728"/>
          </w:tcPr>
          <w:p>
            <w:r>
              <w:t>unemp_rate</w:t>
            </w:r>
          </w:p>
        </w:tc>
        <w:tc>
          <w:tcPr>
            <w:tcW w:type="dxa" w:w="1728"/>
          </w:tcPr>
          <w:p>
            <w:r>
              <w:t>Unemployment rate (%)</w:t>
            </w:r>
          </w:p>
        </w:tc>
        <w:tc>
          <w:tcPr>
            <w:tcW w:type="dxa" w:w="1728"/>
          </w:tcPr>
          <w:p>
            <w:r>
              <w:t>Monthly</w:t>
            </w:r>
          </w:p>
        </w:tc>
        <w:tc>
          <w:tcPr>
            <w:tcW w:type="dxa" w:w="1728"/>
          </w:tcPr>
          <w:p>
            <w:r>
              <w:t>Feature</w:t>
            </w:r>
          </w:p>
        </w:tc>
        <w:tc>
          <w:tcPr>
            <w:tcW w:type="dxa" w:w="1728"/>
          </w:tcPr>
          <w:p>
            <w:r>
              <w:t>Lags 1/3/6 months</w:t>
            </w:r>
          </w:p>
        </w:tc>
      </w:tr>
      <w:tr>
        <w:tc>
          <w:tcPr>
            <w:tcW w:type="dxa" w:w="1728"/>
          </w:tcPr>
          <w:p>
            <w:r>
              <w:t>cpi_t1</w:t>
            </w:r>
          </w:p>
        </w:tc>
        <w:tc>
          <w:tcPr>
            <w:tcW w:type="dxa" w:w="1728"/>
          </w:tcPr>
          <w:p>
            <w:r>
              <w:t>CPI target t+1</w:t>
            </w:r>
          </w:p>
        </w:tc>
        <w:tc>
          <w:tcPr>
            <w:tcW w:type="dxa" w:w="1728"/>
          </w:tcPr>
          <w:p>
            <w:r>
              <w:t>Monthly</w:t>
            </w:r>
          </w:p>
        </w:tc>
        <w:tc>
          <w:tcPr>
            <w:tcW w:type="dxa" w:w="1728"/>
          </w:tcPr>
          <w:p>
            <w:r>
              <w:t>Target</w:t>
            </w:r>
          </w:p>
        </w:tc>
        <w:tc>
          <w:tcPr>
            <w:tcW w:type="dxa" w:w="1728"/>
          </w:tcPr>
          <w:p>
            <w:r>
              <w:t>Shifted -1 month</w:t>
            </w:r>
          </w:p>
        </w:tc>
      </w:tr>
      <w:tr>
        <w:tc>
          <w:tcPr>
            <w:tcW w:type="dxa" w:w="1728"/>
          </w:tcPr>
          <w:p>
            <w:r>
              <w:t>cpi_t3</w:t>
            </w:r>
          </w:p>
        </w:tc>
        <w:tc>
          <w:tcPr>
            <w:tcW w:type="dxa" w:w="1728"/>
          </w:tcPr>
          <w:p>
            <w:r>
              <w:t>CPI target t+3</w:t>
            </w:r>
          </w:p>
        </w:tc>
        <w:tc>
          <w:tcPr>
            <w:tcW w:type="dxa" w:w="1728"/>
          </w:tcPr>
          <w:p>
            <w:r>
              <w:t>Monthly</w:t>
            </w:r>
          </w:p>
        </w:tc>
        <w:tc>
          <w:tcPr>
            <w:tcW w:type="dxa" w:w="1728"/>
          </w:tcPr>
          <w:p>
            <w:r>
              <w:t>Target</w:t>
            </w:r>
          </w:p>
        </w:tc>
        <w:tc>
          <w:tcPr>
            <w:tcW w:type="dxa" w:w="1728"/>
          </w:tcPr>
          <w:p>
            <w:r>
              <w:t>Shifted -3 months</w:t>
            </w:r>
          </w:p>
        </w:tc>
      </w:tr>
      <w:tr>
        <w:tc>
          <w:tcPr>
            <w:tcW w:type="dxa" w:w="1728"/>
          </w:tcPr>
          <w:p>
            <w:r>
              <w:t>cpi_t5</w:t>
            </w:r>
          </w:p>
        </w:tc>
        <w:tc>
          <w:tcPr>
            <w:tcW w:type="dxa" w:w="1728"/>
          </w:tcPr>
          <w:p>
            <w:r>
              <w:t>CPI target t+5</w:t>
            </w:r>
          </w:p>
        </w:tc>
        <w:tc>
          <w:tcPr>
            <w:tcW w:type="dxa" w:w="1728"/>
          </w:tcPr>
          <w:p>
            <w:r>
              <w:t>Monthly</w:t>
            </w:r>
          </w:p>
        </w:tc>
        <w:tc>
          <w:tcPr>
            <w:tcW w:type="dxa" w:w="1728"/>
          </w:tcPr>
          <w:p>
            <w:r>
              <w:t>Target</w:t>
            </w:r>
          </w:p>
        </w:tc>
        <w:tc>
          <w:tcPr>
            <w:tcW w:type="dxa" w:w="1728"/>
          </w:tcPr>
          <w:p>
            <w:r>
              <w:t>Shifted -5 months</w:t>
            </w:r>
          </w:p>
        </w:tc>
      </w:tr>
    </w:tbl>
    <w:p>
      <w:r>
        <w:t>Table 3.2 Model configurations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Inputs</w:t>
            </w:r>
          </w:p>
        </w:tc>
        <w:tc>
          <w:tcPr>
            <w:tcW w:type="dxa" w:w="1440"/>
          </w:tcPr>
          <w:p>
            <w:r>
              <w:t>Targets</w:t>
            </w:r>
          </w:p>
        </w:tc>
        <w:tc>
          <w:tcPr>
            <w:tcW w:type="dxa" w:w="1440"/>
          </w:tcPr>
          <w:p>
            <w:r>
              <w:t>Horizons</w:t>
            </w:r>
          </w:p>
        </w:tc>
        <w:tc>
          <w:tcPr>
            <w:tcW w:type="dxa" w:w="1440"/>
          </w:tcPr>
          <w:p>
            <w:r>
              <w:t>Key hyperparameters</w:t>
            </w:r>
          </w:p>
        </w:tc>
        <w:tc>
          <w:tcPr>
            <w:tcW w:type="dxa" w:w="1440"/>
          </w:tcPr>
          <w:p>
            <w:r>
              <w:t>Output</w:t>
            </w:r>
          </w:p>
        </w:tc>
      </w:tr>
      <w:tr>
        <w:tc>
          <w:tcPr>
            <w:tcW w:type="dxa" w:w="1440"/>
          </w:tcPr>
          <w:p>
            <w:r>
              <w:t>ARIMA</w:t>
            </w:r>
          </w:p>
        </w:tc>
        <w:tc>
          <w:tcPr>
            <w:tcW w:type="dxa" w:w="1440"/>
          </w:tcPr>
          <w:p>
            <w:r>
              <w:t>cpi_yoy history (univariate)</w:t>
            </w:r>
          </w:p>
        </w:tc>
        <w:tc>
          <w:tcPr>
            <w:tcW w:type="dxa" w:w="1440"/>
          </w:tcPr>
          <w:p>
            <w:r>
              <w:t>cpi_t1, cpi_t3, cpi_t5</w:t>
            </w:r>
          </w:p>
        </w:tc>
        <w:tc>
          <w:tcPr>
            <w:tcW w:type="dxa" w:w="1440"/>
          </w:tcPr>
          <w:p>
            <w:r>
              <w:t>1,3,5</w:t>
            </w:r>
          </w:p>
        </w:tc>
        <w:tc>
          <w:tcPr>
            <w:tcW w:type="dxa" w:w="1440"/>
          </w:tcPr>
          <w:p>
            <w:r>
              <w:t>(p,d,q) via AIC/BIC</w:t>
            </w:r>
          </w:p>
        </w:tc>
        <w:tc>
          <w:tcPr>
            <w:tcW w:type="dxa" w:w="1440"/>
          </w:tcPr>
          <w:p>
            <w:r>
              <w:t>Direct CPI forecast</w:t>
            </w:r>
          </w:p>
        </w:tc>
      </w:tr>
      <w:tr>
        <w:tc>
          <w:tcPr>
            <w:tcW w:type="dxa" w:w="1440"/>
          </w:tcPr>
          <w:p>
            <w:r>
              <w:t>Random Forest</w:t>
            </w:r>
          </w:p>
        </w:tc>
        <w:tc>
          <w:tcPr>
            <w:tcW w:type="dxa" w:w="1440"/>
          </w:tcPr>
          <w:p>
            <w:r>
              <w:t>Macro features + CPI lags</w:t>
            </w:r>
          </w:p>
        </w:tc>
        <w:tc>
          <w:tcPr>
            <w:tcW w:type="dxa" w:w="1440"/>
          </w:tcPr>
          <w:p>
            <w:r>
              <w:t>Separate horizon models</w:t>
            </w:r>
          </w:p>
        </w:tc>
        <w:tc>
          <w:tcPr>
            <w:tcW w:type="dxa" w:w="1440"/>
          </w:tcPr>
          <w:p>
            <w:r>
              <w:t>1,3,5</w:t>
            </w:r>
          </w:p>
        </w:tc>
        <w:tc>
          <w:tcPr>
            <w:tcW w:type="dxa" w:w="1440"/>
          </w:tcPr>
          <w:p>
            <w:r>
              <w:t>n_estimators=500, max_depth=12, min_samples_split=4, min_samples_leaf=2, max_features=sqrt</w:t>
            </w:r>
          </w:p>
        </w:tc>
        <w:tc>
          <w:tcPr>
            <w:tcW w:type="dxa" w:w="1440"/>
          </w:tcPr>
          <w:p>
            <w:r>
              <w:t>Direct CPI forecast</w:t>
            </w:r>
          </w:p>
        </w:tc>
      </w:tr>
      <w:tr>
        <w:tc>
          <w:tcPr>
            <w:tcW w:type="dxa" w:w="1440"/>
          </w:tcPr>
          <w:p>
            <w:r>
              <w:t>Hybrid A (Averaging)</w:t>
            </w:r>
          </w:p>
        </w:tc>
        <w:tc>
          <w:tcPr>
            <w:tcW w:type="dxa" w:w="1440"/>
          </w:tcPr>
          <w:p>
            <w:r>
              <w:t>LSTM outputs + tabular XGBoost</w:t>
            </w:r>
          </w:p>
        </w:tc>
        <w:tc>
          <w:tcPr>
            <w:tcW w:type="dxa" w:w="1440"/>
          </w:tcPr>
          <w:p>
            <w:r>
              <w:t>cpi_t1, cpi_t3, cpi_t5</w:t>
            </w:r>
          </w:p>
        </w:tc>
        <w:tc>
          <w:tcPr>
            <w:tcW w:type="dxa" w:w="1440"/>
          </w:tcPr>
          <w:p>
            <w:r>
              <w:t>1,3,5</w:t>
            </w:r>
          </w:p>
        </w:tc>
        <w:tc>
          <w:tcPr>
            <w:tcW w:type="dxa" w:w="1440"/>
          </w:tcPr>
          <w:p>
            <w:r>
              <w:t>LSTM seq_len=18, units=64; XGBoost lr=0.03, depth=5, estimators=400</w:t>
            </w:r>
          </w:p>
        </w:tc>
        <w:tc>
          <w:tcPr>
            <w:tcW w:type="dxa" w:w="1440"/>
          </w:tcPr>
          <w:p>
            <w:r>
              <w:t>Mean of scaled LSTM and XGB</w:t>
            </w:r>
          </w:p>
        </w:tc>
      </w:tr>
      <w:tr>
        <w:tc>
          <w:tcPr>
            <w:tcW w:type="dxa" w:w="1440"/>
          </w:tcPr>
          <w:p>
            <w:r>
              <w:t>Hybrid B (Stacking)</w:t>
            </w:r>
          </w:p>
        </w:tc>
        <w:tc>
          <w:tcPr>
            <w:tcW w:type="dxa" w:w="1440"/>
          </w:tcPr>
          <w:p>
            <w:r>
              <w:t>Tabular features + LSTM predictions</w:t>
            </w:r>
          </w:p>
        </w:tc>
        <w:tc>
          <w:tcPr>
            <w:tcW w:type="dxa" w:w="1440"/>
          </w:tcPr>
          <w:p>
            <w:r>
              <w:t>cpi_t1, cpi_t3, cpi_t5</w:t>
            </w:r>
          </w:p>
        </w:tc>
        <w:tc>
          <w:tcPr>
            <w:tcW w:type="dxa" w:w="1440"/>
          </w:tcPr>
          <w:p>
            <w:r>
              <w:t>1,3,5</w:t>
            </w:r>
          </w:p>
        </w:tc>
        <w:tc>
          <w:tcPr>
            <w:tcW w:type="dxa" w:w="1440"/>
          </w:tcPr>
          <w:p>
            <w:r>
              <w:t>LSTM as above; XGBoost lr=0.03, depth=6, estimators=500</w:t>
            </w:r>
          </w:p>
        </w:tc>
        <w:tc>
          <w:tcPr>
            <w:tcW w:type="dxa" w:w="1440"/>
          </w:tcPr>
          <w:p>
            <w:r>
              <w:t>Stacked XGBoost outputs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