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00"/>
      </w:pPr>
      <w:r>
        <w:t>家庭內部閱讀版</w:t>
      </w:r>
    </w:p>
    <w:p>
      <w:pPr>
        <w:pStyle w:val="Title"/>
      </w:pPr>
      <w:r>
        <w:t>活水AI系統家人版</w:t>
      </w:r>
    </w:p>
    <w:p>
      <w:pPr>
        <w:pStyle w:val="Title"/>
      </w:pPr>
      <w:r>
        <w:t>白皮書</w:t>
      </w:r>
    </w:p>
    <w:p>
      <w:pPr>
        <w:pStyle w:val="Subtitle"/>
      </w:pPr>
      <w:r>
        <w:t>從長期配置到每一次投入的決策依據</w:t>
      </w:r>
    </w:p>
    <w:p>
      <w:pPr>
        <w:widowControl/>
        <w:spacing w:before="360"/>
      </w:pPr>
      <w:r>
        <w:t>Loop 1 配置決策  ·  Loop 2 三層判斷</w:t>
      </w:r>
    </w:p>
    <w:p>
      <w:pPr>
        <w:widowControl/>
      </w:pPr>
      <w:r>
        <w:t>版本 1.0  ·  2026年10月28日</w:t>
      </w:r>
    </w:p>
    <w:p>
      <w:pPr>
        <w:widowControl/>
        <w:spacing w:before="560"/>
      </w:pPr>
      <w:r>
        <w:t>這本白皮書回答一個問題：當系統提出投資建議時，家人如何知道它用了什麼資料、遵循什麼規則，又有哪些地方還不能確定。</w:t>
      </w:r>
    </w:p>
    <w:p>
      <w:pPr>
        <w:widowControl/>
      </w:pPr>
      <w:r>
        <w:t>重點不是讓 AI 預言市場，而是把長期目標、標的差異、市場風險與可用資金，放進一個可以追問、重算和核對的決策程序。</w:t>
      </w:r>
    </w:p>
    <w:p>
      <w:pPr>
        <w:widowControl/>
      </w:pPr>
      <w:r>
        <w:t>V82 三層量化規則 v1.0 已核准實作；核准不等於所有程式已完成整合，也不代表已證明能獲利。文內分開說明規則、實作進度與驗證證據。</w:t>
      </w:r>
    </w:p>
    <w:p>
      <w:pPr>
        <w:widowControl/>
        <w:spacing w:before="560"/>
      </w:pPr>
      <w:r>
        <w:t>內含 MOU、Arthur、Lilian 的歷史資料案例，限家庭內部使用。這些案例不是即時行情、今日買賣指示或已實現績效。</w:t>
      </w:r>
    </w:p>
    <w:p>
      <w:bookmarkStart w:id="11" w:name="toc"/>
      <w:pPr>
        <w:pStyle w:val="Heading1"/>
        <w:pageBreakBefore/>
      </w:pPr>
      <w:r>
        <w:t>目錄</w:t>
      </w:r>
      <w:bookmarkEnd w:id="11"/>
    </w:p>
    <w:p>
      <w:pPr>
        <w:widowControl/>
      </w:pPr>
      <w:r>
        <w:t>點選章節即可跳至內容。頁碼依本版 PDF；Word 編輯後若改變分頁，需同步更新目錄。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summary">
        <w:r>
          <w:rPr>
            <w:color w:val="245D6B"/>
          </w:rPr>
          <w:t>先理解系統真正負責的事</w:t>
        </w:r>
      </w:hyperlink>
      <w:r>
        <w:tab/>
        <w:t>3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architecture">
        <w:r>
          <w:rPr>
            <w:color w:val="245D6B"/>
          </w:rPr>
          <w:t>整體架構與兩個決策迴圈</w:t>
        </w:r>
      </w:hyperlink>
      <w:r>
        <w:tab/>
        <w:t>4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system">
        <w:r>
          <w:rPr>
            <w:color w:val="245D6B"/>
          </w:rPr>
          <w:t>程式 資料與按需執行</w:t>
        </w:r>
      </w:hyperlink>
      <w:r>
        <w:tab/>
        <w:t>5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loop1">
        <w:r>
          <w:rPr>
            <w:color w:val="245D6B"/>
          </w:rPr>
          <w:t>Loop 1 從家庭需求建立配置</w:t>
        </w:r>
      </w:hyperlink>
      <w:r>
        <w:tab/>
        <w:t>6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layers">
        <w:r>
          <w:rPr>
            <w:color w:val="245D6B"/>
          </w:rPr>
          <w:t>Loop 2 的三層決策</w:t>
        </w:r>
      </w:hyperlink>
      <w:r>
        <w:tab/>
        <w:t>10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layer2">
        <w:r>
          <w:rPr>
            <w:color w:val="245D6B"/>
          </w:rPr>
          <w:t>第二層 選對估值方法</w:t>
        </w:r>
      </w:hyperlink>
      <w:r>
        <w:tab/>
        <w:t>12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layer3">
        <w:r>
          <w:rPr>
            <w:color w:val="245D6B"/>
          </w:rPr>
          <w:t>第三層 每一檔自己的真實資料</w:t>
        </w:r>
      </w:hyperlink>
      <w:r>
        <w:tab/>
        <w:t>16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qv">
        <w:r>
          <w:rPr>
            <w:color w:val="245D6B"/>
          </w:rPr>
          <w:t>qV 用自己的歷史判斷相對估值</w:t>
        </w:r>
      </w:hyperlink>
      <w:r>
        <w:tab/>
        <w:t>17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stages">
        <w:r>
          <w:rPr>
            <w:color w:val="245D6B"/>
          </w:rPr>
          <w:t>九階把證據轉成累積部署比例</w:t>
        </w:r>
      </w:hyperlink>
      <w:r>
        <w:tab/>
        <w:t>19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modes">
        <w:r>
          <w:rPr>
            <w:color w:val="245D6B"/>
          </w:rPr>
          <w:t>四種模式與風險優先順序</w:t>
        </w:r>
      </w:hyperlink>
      <w:r>
        <w:tab/>
        <w:t>21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cross_engines">
        <w:r>
          <w:rPr>
            <w:color w:val="245D6B"/>
          </w:rPr>
          <w:t>V70與V75如何和股票端合作</w:t>
        </w:r>
      </w:hyperlink>
      <w:r>
        <w:tab/>
        <w:t>23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money">
        <w:r>
          <w:rPr>
            <w:color w:val="245D6B"/>
          </w:rPr>
          <w:t>從長期目標走到本輪新增金額</w:t>
        </w:r>
      </w:hyperlink>
      <w:r>
        <w:tab/>
        <w:t>25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mou">
        <w:r>
          <w:rPr>
            <w:color w:val="245D6B"/>
          </w:rPr>
          <w:t>MOU 的兩次回報怎麼讀</w:t>
        </w:r>
      </w:hyperlink>
      <w:r>
        <w:tab/>
        <w:t>28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run">
        <w:r>
          <w:rPr>
            <w:color w:val="245D6B"/>
          </w:rPr>
          <w:t>一次完整分析應如何走完</w:t>
        </w:r>
      </w:hyperlink>
      <w:r>
        <w:tab/>
        <w:t>31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rationale">
        <w:r>
          <w:rPr>
            <w:color w:val="245D6B"/>
          </w:rPr>
          <w:t>規則為什麼這樣選</w:t>
        </w:r>
      </w:hyperlink>
      <w:r>
        <w:tab/>
        <w:t>32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risks">
        <w:r>
          <w:rPr>
            <w:color w:val="245D6B"/>
          </w:rPr>
          <w:t>真正需要防範的失真與風險</w:t>
        </w:r>
      </w:hyperlink>
      <w:r>
        <w:tab/>
        <w:t>34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glossary">
        <w:r>
          <w:rPr>
            <w:color w:val="245D6B"/>
          </w:rPr>
          <w:t>名詞對照</w:t>
        </w:r>
      </w:hyperlink>
      <w:r>
        <w:tab/>
        <w:t>36</w:t>
      </w:r>
    </w:p>
    <w:p>
      <w:pPr>
        <w:widowControl/>
        <w:tabs>
          <w:tab w:pos="9792" w:val="right"/>
        </w:tabs>
        <w:spacing w:after="120" w:line="340" w:lineRule="exact"/>
      </w:pPr>
      <w:r/>
      <w:hyperlink w:anchor="sources1">
        <w:r>
          <w:rPr>
            <w:color w:val="245D6B"/>
          </w:rPr>
          <w:t>來源與版本 一</w:t>
        </w:r>
      </w:hyperlink>
      <w:r>
        <w:tab/>
        <w:t>37</w:t>
      </w:r>
    </w:p>
    <w:p>
      <w:bookmarkStart w:id="12" w:name="summary"/>
      <w:pPr>
        <w:pStyle w:val="Heading1"/>
        <w:pageBreakBefore/>
      </w:pPr>
      <w:r>
        <w:t>先理解系統真正負責的事</w:t>
      </w:r>
      <w:bookmarkEnd w:id="12"/>
    </w:p>
    <w:p>
      <w:pPr>
        <w:widowControl/>
      </w:pPr>
      <w:r>
        <w:t>活水 AI 把兩種不同的決策分開。Loop 1 決定家庭長期希望持有什麼、各占多少；Loop 2 在這份正式目標之下，判斷現在是否適合投入、累積到哪個程度，以及本輪最多能新增多少。把兩者混在一起，很容易把短期跌價誤當成改變人生配置的理由。</w:t>
      </w:r>
    </w:p>
    <w:p>
      <w:pPr>
        <w:pStyle w:val="Heading2"/>
      </w:pPr>
      <w:r>
        <w:t>可以信任的首先是程序 不是獲利承諾</w:t>
      </w:r>
    </w:p>
    <w:p>
      <w:pPr>
        <w:widowControl/>
      </w:pPr>
      <w:r>
        <w:t>一份值得採用的分析，應讓家人看到資料日期、合法來源、估值方法、風險限制、長期目標與實際金額的關係。相同資料和相同規則應得到相同結論；資料改變，應說明是哪一個條件改變，而不是只換一句市場故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家人真正需要問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系統應回答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我的長期方向是什麼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已確認的 Final Target 與版本，不是暫存的建議配置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為什麼這檔被判便宜或昂貴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類別方法、該檔自己的可比歷史，以及適用的絕對區間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便宜就可以買嗎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不一定；仍須基本面、信用、安全與新增資格成立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今天要新增多少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先算累積目標和現有曝險，再受切片、現金與額度限制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不知道時會怎樣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指出缺哪個必要事實及影響哪個結論，不造零、不猜安全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建議是否已成交</w:t>
            </w:r>
          </w:p>
        </w:tc>
        <w:tc>
          <w:tcPr>
            <w:tcW w:type="dxa" w:w="69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沒有；分析、計畫、送單與成交是不同狀態</w:t>
            </w:r>
          </w:p>
        </w:tc>
      </w:tr>
    </w:tbl>
    <w:p>
      <w:pPr>
        <w:widowControl/>
        <w:spacing w:after="0"/>
      </w:pPr>
      <w:r/>
    </w:p>
    <w:p>
      <w:pPr>
        <w:widowControl/>
      </w:pPr>
      <w:r>
        <w:t>本白皮書把「已核准的設計」講完整，也把尚未完成的接線與驗證講清楚。完整規則可以先被理解與檢查；只有實際跑過相應版本、資料與情境的結果，才構成那一部分的實作證據。</w:t>
      </w:r>
    </w:p>
    <w:p>
      <w:pPr>
        <w:widowControl/>
        <w:spacing w:before="80"/>
      </w:pPr>
      <w:r>
        <w:rPr>
          <w:color w:val="4A4A4A"/>
          <w:sz w:val="18"/>
        </w:rPr>
        <w:t>依據 [1] 第1、5、6、8章；家庭案例來源 [5] 至 [7]。</w:t>
      </w:r>
    </w:p>
    <w:p>
      <w:bookmarkStart w:id="13" w:name="architecture"/>
      <w:pPr>
        <w:pStyle w:val="Heading1"/>
        <w:pageBreakBefore/>
      </w:pPr>
      <w:r>
        <w:t>整體架構與兩個決策迴圈</w:t>
      </w:r>
      <w:bookmarkEnd w:id="13"/>
    </w:p>
    <w:p>
      <w:pPr>
        <w:widowControl/>
      </w:pPr>
      <w:r>
        <w:t>兩個迴圈共享家人的真實資料，但回答不同問題。Loop 2 消費 Loop 1 已確認的 Final Target，不因今天某檔跌得多，就暗中把那檔長期比重提高。市場分析也不能自行動用家庭預留款。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30706"/>
            <wp:docPr id="1" name="Picture 1" descr="圖1 目標決定方向 專門引擎判斷部署 統一結果交給家人理解與決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</w:pPr>
      <w:r>
        <w:rPr>
          <w:sz w:val="18"/>
        </w:rPr>
        <w:t>圖1 目標決定方向 專門引擎判斷部署 統一結果交給家人理解與決定</w:t>
      </w:r>
    </w:p>
    <w:p>
      <w:pPr>
        <w:pStyle w:val="Heading2"/>
      </w:pPr>
      <w:r>
        <w:t>三套規則各有職責</w:t>
      </w:r>
    </w:p>
    <w:p>
      <w:pPr>
        <w:widowControl/>
      </w:pPr>
      <w:r>
        <w:t>V70 提供總經、信用、流動性與整體戰術額度；V82 處理股票及股票型 ETF 的估值、基本面、技術、風險與部署；V75 以債券的利率、信用、期限與產品品質處理債券端。統一層負責帳戶、資金與結果一致，Mentor 用白話解釋，不重新創造一套投資邏輯。</w:t>
      </w:r>
    </w:p>
    <w:p>
      <w:pPr>
        <w:widowControl/>
      </w:pPr>
      <w:r>
        <w:t>圖中是責任架構，不是所有箭頭都已在生產環境接通的宣稱。實際完成程度見後面的進度與證據章。</w:t>
      </w:r>
    </w:p>
    <w:p>
      <w:pPr>
        <w:widowControl/>
        <w:spacing w:before="80"/>
      </w:pPr>
      <w:r>
        <w:rPr>
          <w:color w:val="4A4A4A"/>
          <w:sz w:val="18"/>
        </w:rPr>
        <w:t>依據 [1] §1.4、CMR3、CMR9；[3] C引擎與跨引擎契約；[4] V75原始碼。</w:t>
      </w:r>
    </w:p>
    <w:p>
      <w:bookmarkStart w:id="14" w:name="system"/>
      <w:pPr>
        <w:pStyle w:val="Heading1"/>
        <w:pageBreakBefore/>
      </w:pPr>
      <w:r>
        <w:t>程式 資料與按需執行</w:t>
      </w:r>
      <w:bookmarkEnd w:id="14"/>
    </w:p>
    <w:p>
      <w:pPr>
        <w:pStyle w:val="Heading2"/>
      </w:pPr>
      <w:r>
        <w:t>GitHub 保存程式與規則版本</w:t>
      </w:r>
    </w:p>
    <w:p>
      <w:pPr>
        <w:widowControl/>
      </w:pPr>
      <w:r>
        <w:t>程式把批准的判斷條件變成可以重跑的步驟。GitHub 上的版本與提交紀錄用來回答：這次究竟用了哪份規則、哪段程式。檔案存在、測試通過、分支實作完成與主線正式部署，是不同層次，不能只看到「已提交」就當作全系統可用。</w:t>
      </w:r>
    </w:p>
    <w:p>
      <w:pPr>
        <w:pStyle w:val="Heading2"/>
      </w:pPr>
      <w:r>
        <w:t>Drive 資料庫保存家人的狀態與分析紀錄</w:t>
      </w:r>
    </w:p>
    <w:p>
      <w:pPr>
        <w:widowControl/>
      </w:pPr>
      <w:r>
        <w:t>持倉、現金、目標、資料時間、已保存分析與事件狀態，是系統每次重新理解家人現況的基礎。對話文字有助於說明需求，但不能取代資料庫中已核對的正式數字；舊報告也不能無標示地冒充即時行情。每位家人的資料與授權應保持分離。</w:t>
      </w:r>
    </w:p>
    <w:p>
      <w:pPr>
        <w:pStyle w:val="Heading2"/>
      </w:pPr>
      <w:r>
        <w:t>按需執行不是全天自動交易</w:t>
      </w:r>
    </w:p>
    <w:p>
      <w:pPr>
        <w:widowControl/>
      </w:pPr>
      <w:r>
        <w:t>家人要求分析時，系統讀取正式目標和已保存資料，確認哪些行情、估值、總經與事件需要更新，鎖定本輪快照，再運行相應引擎。結果可保存供下次接續。按需的好處，是讓每次分析有明確目的與資料基準；代價是兩次分析之間，市場仍可能改變。</w:t>
      </w:r>
    </w:p>
    <w:p>
      <w:pPr>
        <w:widowControl/>
      </w:pPr>
      <w:r>
        <w:t>同一輪應有可追溯的執行識別、資料快照與規則版本。報價日期、資訊發布日及實際取得日分開保存，避免把剛下載的多年歷史資料，誤認為當年就已可取得。</w:t>
      </w:r>
    </w:p>
    <w:p>
      <w:pPr>
        <w:pStyle w:val="Heading2"/>
      </w:pPr>
      <w:r>
        <w:t>AI 的角色與邊界</w:t>
      </w:r>
    </w:p>
    <w:p>
      <w:pPr>
        <w:widowControl/>
      </w:pPr>
      <w:r>
        <w:t>AI 可以協助讀懂需求、整理原始披露、提出可查核的事件摘要，以及把確定性輸出翻成家人看得懂的說明。它不能臨場選一組較漂亮的買點參數，不能用流暢文字填補缺失的現金或公司財務，也不能把一份建議當作券商已成交。</w:t>
      </w:r>
    </w:p>
    <w:p>
      <w:pPr>
        <w:widowControl/>
      </w:pPr>
      <w:r>
        <w:t>本書的寫作與查核不修改家庭資料庫或公開程式庫。文中的演算例另標為教學假設，不回寫成家人的真實資料。</w:t>
      </w:r>
    </w:p>
    <w:p>
      <w:pPr>
        <w:widowControl/>
        <w:spacing w:before="80"/>
      </w:pPr>
      <w:r>
        <w:rPr>
          <w:color w:val="4A4A4A"/>
          <w:sz w:val="18"/>
        </w:rPr>
        <w:t>依據 [1] §1.4、PV2.1、CMR5、CMR10；[3] 家人版運行與整合來源。</w:t>
      </w:r>
    </w:p>
    <w:p>
      <w:bookmarkStart w:id="15" w:name="loop1"/>
      <w:pPr>
        <w:pStyle w:val="Heading1"/>
        <w:pageBreakBefore/>
      </w:pPr>
      <w:r>
        <w:t>Loop 1 從家庭需求建立配置</w:t>
      </w:r>
      <w:bookmarkEnd w:id="15"/>
    </w:p>
    <w:p>
      <w:pPr>
        <w:widowControl/>
      </w:pPr>
      <w:r>
        <w:t>Loop 1 的第一步不是挑今天最會漲的標的，而是定義這筆錢要完成什麼任務。可能要長期累積資產，也可能要在特定時間支付生活、教育或其他需求。投資期限、收入穩定度、可承受損失與不願動用的資金，都會影響可以承擔的風險。</w:t>
      </w:r>
    </w:p>
    <w:p>
      <w:pPr>
        <w:pStyle w:val="Heading2"/>
      </w:pPr>
      <w:r>
        <w:t>先分清現況與意願</w:t>
      </w:r>
    </w:p>
    <w:p>
      <w:pPr>
        <w:widowControl/>
      </w:pPr>
      <w:r>
        <w:t>Current 是已經持有的資產與現金；Proposed 是待比較、待接受的配置提案；Final Target 是確認後供後續引擎使用的長期目標。把現況直接當成目標，可能延續既有集中風險；把提案直接當成 Final，則會跳過家人對取捨的決定。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480"/>
      </w:tblGrid>
      <w:tr>
        <w:trPr>
          <w:cantSplit/>
          <w:tblHeader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需要的資料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為什麼重要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持倉數量 成本 報價與日期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數量是事實；成本不等於今日市值；日期不同不能假裝同一截面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現金 幣別 可動用與預留部分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帳上有錢不等於全部可投資，也不等於已結算可下單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用錢時間與外部資金流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決定流動性需求；不能把還沒入帳的款項當成券商現金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風險偏好與既有承諾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讓股票 債券 現金和集中度限制有可解釋的基礎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偏好或需保留的部位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偏好應明示，而不是讓模型替家人假定全部可賣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配置評估不等於保證找到唯一最佳答案</w:t>
      </w:r>
    </w:p>
    <w:p>
      <w:pPr>
        <w:widowControl/>
      </w:pPr>
      <w:r>
        <w:t>一份配置可以從分散、風險暴露、資金需要與一致性比較優劣，但不可能單憑歷史數據證明它是未來唯一最佳方案。家人的選擇應被明確保存，例如要保留某個股、願意承擔多少單一市場曝險，以及何時重新檢視目標。</w:t>
      </w:r>
    </w:p>
    <w:p>
      <w:pPr>
        <w:widowControl/>
      </w:pPr>
      <w:r>
        <w:t>只更新行情，不應自動改變這些長期偏好；需求或限制有重大變化，才回到 Loop 1 重新評估。這是配置決策與市場擇時分離的原因。</w:t>
      </w:r>
    </w:p>
    <w:p>
      <w:pPr>
        <w:widowControl/>
        <w:spacing w:before="80"/>
      </w:pPr>
      <w:r>
        <w:rPr>
          <w:color w:val="4A4A4A"/>
          <w:sz w:val="18"/>
        </w:rPr>
        <w:t>依據 [3] C配置決策引擎；[5] 至 [7] 家人資料流程。</w:t>
      </w:r>
    </w:p>
    <w:p>
      <w:bookmarkStart w:id="16" w:name="loop1_compare"/>
      <w:pPr>
        <w:pStyle w:val="Heading1"/>
        <w:pageBreakBefore/>
      </w:pPr>
      <w:r>
        <w:t>Loop 1 如何比較與確認目標</w:t>
      </w:r>
      <w:bookmarkEnd w:id="16"/>
    </w:p>
    <w:p>
      <w:pPr>
        <w:pStyle w:val="Heading2"/>
      </w:pPr>
      <w:r>
        <w:t>C核心評估的是配置候選 不是憑空生成最優組合</w:t>
      </w:r>
    </w:p>
    <w:p>
      <w:pPr>
        <w:widowControl/>
      </w:pPr>
      <w:r>
        <w:t>已查閱的 C 配置核心，以 Current、Proposed 與 Final 的明確輸入評估組合及下游所需資訊。這種設計把「提出一個候選配置」與「有系統地評估它」分開。它能保留人提出的取捨，也讓不同提案用相同邏輯比較。</w:t>
      </w:r>
    </w:p>
    <w:p>
      <w:pPr>
        <w:widowControl/>
      </w:pPr>
      <w:r>
        <w:t>家人版 03 的操作意圖，是檢視與調整長期目標；但這個入口的初始 Proposed 自動產生器仍屬實作待補部分。因此不能宣稱：系統目前已能從零、全自動求出每位家人的最佳配置。已確認的目標可以作為正式輸入；新提案則應說清楚它從何而來。</w:t>
      </w:r>
    </w:p>
    <w:p>
      <w:pPr>
        <w:pStyle w:val="Heading2"/>
      </w:pPr>
      <w:r>
        <w:t>合理的比較要同時看數字與限制</w:t>
      </w:r>
    </w:p>
    <w:p>
      <w:pPr>
        <w:widowControl/>
      </w:pPr>
      <w:r>
        <w:t>例如從高集中台股配置，增加美國與其他已開發市場配置，可能改變區域與成分曝險；卻不保證在每一段期間都比較好。比較時應保留各方案相同的資產範圍、總額基準與資料日期，並分開標示既有持有、目標差距和交易成本。</w:t>
      </w:r>
    </w:p>
    <w:p>
      <w:pPr>
        <w:pStyle w:val="Heading2"/>
      </w:pPr>
      <w:r>
        <w:t>Final 是清楚的選擇 不是一張已完成的買單</w:t>
      </w:r>
    </w:p>
    <w:p>
      <w:pPr>
        <w:widowControl/>
      </w:pPr>
      <w:r>
        <w:t>確認 Final Target 後，應保存目標版本、生效時間、各標的比例或金額、比例分母及必要限制。若比例是占股票部位，要再轉換成整體投資組合的比例；若是占總資產，就不能再次乘上股票比例。</w:t>
      </w:r>
    </w:p>
    <w:p>
      <w:pPr>
        <w:widowControl/>
      </w:pPr>
      <w:r>
        <w:t>Loop 2 接收到 Final 後，決定如何逐步接近目標。它不把「現在有更多便宜訊號」解讀成可以把 Final 往上改，也不把現金不足解讀成長期目標不存在。當目標確實需調整，應建立新版本，而不是改寫前一次分析的基準。</w:t>
      </w:r>
    </w:p>
    <w:p>
      <w:pPr>
        <w:pStyle w:val="Heading2"/>
      </w:pPr>
      <w:r>
        <w:t>家人可以用一句話核對</w:t>
      </w:r>
    </w:p>
    <w:p>
      <w:pPr>
        <w:widowControl/>
      </w:pPr>
      <w:r>
        <w:t>「請把目前持倉、這次提案和已確認目標分開，告訴我差別、比例分母，以及下一步究竟是在改目標，還是在決定投入速度。」</w:t>
      </w:r>
    </w:p>
    <w:p>
      <w:pPr>
        <w:widowControl/>
        <w:spacing w:before="80"/>
      </w:pPr>
      <w:r>
        <w:rPr>
          <w:color w:val="4A4A4A"/>
          <w:sz w:val="18"/>
        </w:rPr>
        <w:t>依據 [3] C核心與 Family 03 接線查核；本章不宣稱自動 Proposed 產生器已完成。</w:t>
      </w:r>
    </w:p>
    <w:p>
      <w:bookmarkStart w:id="17" w:name="loop1_metrics"/>
      <w:pPr>
        <w:pStyle w:val="Heading1"/>
        <w:pageBreakBefore/>
      </w:pPr>
      <w:r>
        <w:t>Loop 1 如何衡量一個投資組合</w:t>
      </w:r>
      <w:bookmarkEnd w:id="17"/>
    </w:p>
    <w:p>
      <w:pPr>
        <w:widowControl/>
      </w:pPr>
      <w:r>
        <w:t>C配置引擎不是把每檔分數加起來就宣布最佳組合。已查閱程式先驗證配置輸入，再透過固定讀取器取得正式B基準資料，分別交給績效風險與成分穿透模組，最後整合資料品質、來源與可支持的結論。</w:t>
      </w:r>
    </w:p>
    <w:p>
      <w:pPr>
        <w:pStyle w:val="Heading2"/>
      </w:pPr>
      <w:r>
        <w:t>績效與規劃試算要有正確基礎</w:t>
      </w:r>
    </w:p>
    <w:p>
      <w:pPr>
        <w:widowControl/>
      </w:pPr>
      <w:r>
        <w:t>現有B讀取層提供逐檔摘要，不是已對齊的完整投組總報酬歷史。因此多資產組合的年化報酬、最大回撤、回復期間或Sharpe等，不能拿單檔摘要按權重平均，冒稱是這個組合實際經歷的歷史。缺相應共同時間序列，就應保留這個方法限制。</w:t>
      </w:r>
    </w:p>
    <w:p>
      <w:pPr>
        <w:widowControl/>
      </w:pPr>
      <w:r>
        <w:t>規劃投射可使用符合資格、同幣別基礎的單資產中心報酬，或明確可追溯的投組情境假設。保守、中心、較佳情境是有假設的規劃，不是未來收益保證；沒有假設來源，不能由AI補一個看起來合理的年化數字。</w:t>
      </w:r>
    </w:p>
    <w:p>
      <w:pPr>
        <w:pStyle w:val="Heading2"/>
      </w:pPr>
      <w:r>
        <w:t>穿透看的是底層曝險 不是基金名稱數量</w:t>
      </w:r>
    </w:p>
    <w:p>
      <w:pPr>
        <w:widowControl/>
      </w:pPr>
      <w:r>
        <w:t>同時持有全球ETF、美國ETF與科技ETF，可能重複持有相同公司。穿透模組把有來源的公司、國家、區域、產業，以及債券發行人、信用與期限等曝險放回投組權重，保留成分覆蓋率與未知。不能拿績效相近的基金替代真實持股，也不能猜缺少的主題、風格、規模或貨幣曝險。</w:t>
      </w:r>
    </w:p>
    <w:p>
      <w:pPr>
        <w:pStyle w:val="Heading2"/>
      </w:pPr>
      <w:r>
        <w:t>情境圖讓取捨可比較 不是替未來評勝率</w:t>
      </w:r>
    </w:p>
    <w:p>
      <w:pPr>
        <w:widowControl/>
      </w:pPr>
      <w:r>
        <w:t>調整迴圈的固定雷達展示涵蓋牛市初期、中期、末期、非衰退熊市或估值壓縮、景氣衰退熊市、金融或流動性危機六種情境，分目前與目標的進攻、防守四個視角。展示須沿實際來源與定義；本書不替家人虛構六軸分數。</w:t>
      </w:r>
    </w:p>
    <w:p>
      <w:pPr>
        <w:pStyle w:val="Heading2"/>
      </w:pPr>
      <w:r>
        <w:t>偏好調整也不能偷改大類風險</w:t>
      </w:r>
    </w:p>
    <w:p>
      <w:pPr>
        <w:widowControl/>
      </w:pPr>
      <w:r>
        <w:t>若家人要保留某個既有個股，調整流程保留其偏好證據，再處理同大類剩餘配置。若保留部位超出原大類框架，或資金期限、提款需求、人生階段與風險能力改變，應回V70重新處理，不由C核心硬塞一個合計100%的答案。確認後才形成Final，並保留Current與Final的偏離。</w:t>
      </w:r>
    </w:p>
    <w:p>
      <w:pPr>
        <w:widowControl/>
        <w:spacing w:before="80"/>
      </w:pPr>
      <w:r>
        <w:rPr>
          <w:color w:val="4A4A4A"/>
          <w:sz w:val="18"/>
        </w:rPr>
        <w:t>依據 [3] Work3績效風險、Work4穿透、Work5整合、Work6調整迴圈原始碼。此為已查閱程式的責任與方法邊界，不宣稱家人所有欄位已具完整實測資料。</w:t>
      </w:r>
    </w:p>
    <w:p>
      <w:bookmarkStart w:id="18" w:name="loop1_lilian"/>
      <w:pPr>
        <w:pStyle w:val="Heading1"/>
        <w:pageBreakBefore/>
      </w:pPr>
      <w:r>
        <w:t>Lilian 的目標配置實例</w:t>
      </w:r>
      <w:bookmarkEnd w:id="18"/>
    </w:p>
    <w:p>
      <w:pPr>
        <w:widowControl/>
      </w:pPr>
      <w:r>
        <w:t>Lilian 於 2026年10月27日的已保存資料摘要，記錄 V3 長期目標：0050 50%、VOO 25%、VEA 10%、BNDW 10%、現金 5%。這是一位家人的確認選擇，不是全家通用的標準答案。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008"/>
        <w:gridCol w:w="1008"/>
        <w:gridCol w:w="648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標的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V2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V3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配置意思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0050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60%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50%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降低原台灣股票目標比重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VOO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25%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25%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維持美國大型股票配置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VEA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0%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新增其他已開發市場股票配置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BNDW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維持債券配置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現金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5%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5%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維持現金目標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合計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100%</w:t>
            </w:r>
          </w:p>
        </w:tc>
        <w:tc>
          <w:tcPr>
            <w:tcW w:type="dxa" w:w="100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100%</w:t>
            </w:r>
          </w:p>
        </w:tc>
        <w:tc>
          <w:tcPr>
            <w:tcW w:type="dxa" w:w="64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V3 股票85% 債券10% 現金5%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這個變動屬於 Loop 1</w:t>
      </w:r>
    </w:p>
    <w:p>
      <w:pPr>
        <w:widowControl/>
      </w:pPr>
      <w:r>
        <w:t>0050 從60%降到50%，並新增 VEA 10%，是長期目標的變更。不能把它說成是 Loop 2 因今天某個技術指標轉弱而自動改的結果。Loop 2 必須以已確認的 V3 為基礎，再計算每檔適合的部署狀態。</w:t>
      </w:r>
    </w:p>
    <w:p>
      <w:pPr>
        <w:pStyle w:val="Heading2"/>
      </w:pPr>
      <w:r>
        <w:t>百分比需要一個明確分母</w:t>
      </w:r>
    </w:p>
    <w:p>
      <w:pPr>
        <w:widowControl/>
      </w:pPr>
      <w:r>
        <w:t>若只為教學，把同摘要的歷史金額合計 NT$950,000 固定當作計算基準，V3 對應的長期金額為：0050 475,000、VOO 237,500、VEA 95,000、BNDW 95,000、現金47,500元。這是比例換算，不是重新估值，也不是當日正式 Target。</w:t>
      </w:r>
    </w:p>
    <w:p>
      <w:pPr>
        <w:widowControl/>
      </w:pPr>
      <w:r>
        <w:t>實際投資資產的市值會變；目標究竟採固定金額還是隨總資產更新，必須沿已確認的目標政策處理。沒有這個政策，就不能任意選一個較有利的總額來製造缺口。</w:t>
      </w:r>
    </w:p>
    <w:p>
      <w:pPr>
        <w:widowControl/>
      </w:pPr>
      <w:r>
        <w:t>因此，正確的下一問是「依哪個日期、哪個目標版本與總額政策計算」，而不是直接把每檔目標金額減去歷史申報金額，就當成今天要下的單。</w:t>
      </w:r>
    </w:p>
    <w:p>
      <w:pPr>
        <w:widowControl/>
        <w:spacing w:before="80"/>
      </w:pPr>
      <w:r>
        <w:rPr>
          <w:color w:val="4A4A4A"/>
          <w:sz w:val="18"/>
        </w:rPr>
        <w:t>歷史事實 [7] Lilian 資料摘要，2026年10月27日；NT$950,000固定分母換算為本書教學演算。</w:t>
      </w:r>
    </w:p>
    <w:p>
      <w:bookmarkStart w:id="19" w:name="layers"/>
      <w:pPr>
        <w:pStyle w:val="Heading1"/>
        <w:pageBreakBefore/>
      </w:pPr>
      <w:r>
        <w:t>Loop 2 的三層決策</w:t>
      </w:r>
      <w:bookmarkEnd w:id="19"/>
    </w:p>
    <w:p>
      <w:pPr>
        <w:widowControl/>
      </w:pPr>
      <w:r>
        <w:t>三層不是三個互相投票的 AI，也不是把總經、基本面、技術各打十分後平均。它是一個由共同程序、類別方法與標的事實組成的架構：程序一致，方法適合資產，資料忠於每一檔自己。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30706"/>
            <wp:docPr id="2" name="Picture 2" descr="圖2 三層分工 第一層管裁決 第二層選尺 第三層提供這一檔的真實證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</w:pPr>
      <w:r>
        <w:rPr>
          <w:sz w:val="18"/>
        </w:rPr>
        <w:t>圖2 三層分工 第一層管裁決 第二層選尺 第三層提供這一檔的真實證據</w:t>
      </w:r>
    </w:p>
    <w:p>
      <w:pPr>
        <w:pStyle w:val="Heading2"/>
      </w:pPr>
      <w:r>
        <w:t>為什麼不能只留其中一層</w:t>
      </w:r>
    </w:p>
    <w:p>
      <w:pPr>
        <w:widowControl/>
      </w:pPr>
      <w:r>
        <w:t>只留共用引擎，容易把銀行股、半導體與全球 ETF 全套同一個本益比；只留類別模板，仍可能拿另一檔基金的歷史補自己的資料；只看單一標的，則可能每次依故事改標準。三層一起，才能同時保留一致性與差異。</w:t>
      </w:r>
    </w:p>
    <w:p>
      <w:pPr>
        <w:widowControl/>
      </w:pPr>
      <w:r>
        <w:t>十一類與三層的細則，是 V82 股票端的估值與部署架構；債券仍走 V75，不能把股票九階或股票 PE 門檻硬套到所有債券。</w:t>
      </w:r>
    </w:p>
    <w:p>
      <w:pPr>
        <w:widowControl/>
        <w:spacing w:before="80"/>
      </w:pPr>
      <w:r>
        <w:rPr>
          <w:color w:val="4A4A4A"/>
          <w:sz w:val="18"/>
        </w:rPr>
        <w:t>依據 [1] §1.1、PV1至PV4A；三層規則 v1.0 已核准實作。</w:t>
      </w:r>
    </w:p>
    <w:p>
      <w:bookmarkStart w:id="20" w:name="layer1"/>
      <w:pPr>
        <w:pStyle w:val="Heading1"/>
        <w:pageBreakBefore/>
      </w:pPr>
      <w:r>
        <w:t>第一層 共同引擎如何裁決</w:t>
      </w:r>
      <w:bookmarkEnd w:id="20"/>
    </w:p>
    <w:p>
      <w:pPr>
        <w:widowControl/>
      </w:pPr>
      <w:r>
        <w:t>第一層先問資料能不能用，再問風險允不允許，接著決定模式與階段，最後才碰資金。每一步都有輸入與輸出，後一步不能反過來替前一步製造理由。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320"/>
        <w:gridCol w:w="4752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1"/>
              </w:rPr>
              <w:t>順序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問題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形成的結果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這是誰的資產 哪一檔 哪個時間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資產身份 來源 快照與規則版本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方法適用嗎 必要事實可靠嗎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主估值 技術 基本面與風險證據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有沒有必須先處理的風險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安全狀態 正常新增是否允許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市場符合哪一種投入情境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Base Left Right 或 Trend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證據支持累積到哪一階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Stage與累積部署目標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距離目標尚差多少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扣持倉與有效掛單後的Final Gap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本輪可增加多少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切片 現金 總額度 費用與交易單位限制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三個結果不能混為一個</w:t>
      </w:r>
    </w:p>
    <w:p>
      <w:pPr>
        <w:widowControl/>
      </w:pPr>
      <w:r>
        <w:t>「模式」描述情境；「權限」判斷是否可新增；「缺口」描述距離目標多少。可以同時出現「右側確認成立、仍有正缺口，但因安全限制不新增」。保留這三個答案，比把所有欄位清成 WAIT 更有解釋力。</w:t>
      </w:r>
    </w:p>
    <w:p>
      <w:pPr>
        <w:pStyle w:val="Heading2"/>
      </w:pPr>
      <w:r>
        <w:t>不以結果倒推原因</w:t>
      </w:r>
    </w:p>
    <w:p>
      <w:pPr>
        <w:widowControl/>
      </w:pPr>
      <w:r>
        <w:t>如果先看到帳上有很多現金，再把 Stage 調高讓錢能買完，決策就變成循環。如果因缺口大就宣告強勢趨勢，也是在用投資人的持倉改寫市場事實。正式流程禁止 Stage → Target → Gap → Stage 的迴圈。</w:t>
      </w:r>
    </w:p>
    <w:p>
      <w:pPr>
        <w:widowControl/>
      </w:pPr>
      <w:r>
        <w:t>同樣地，估值便宜不能抵銷破產或已確認的重大結構問題；一個漂亮技術訊號不能補足缺失的公司論點；有額度也不代表有可交易現金。這些是共同引擎必須維持的不變原則。</w:t>
      </w:r>
    </w:p>
    <w:p>
      <w:pPr>
        <w:widowControl/>
        <w:spacing w:before="80"/>
      </w:pPr>
      <w:r>
        <w:rPr>
          <w:color w:val="4A4A4A"/>
          <w:sz w:val="18"/>
        </w:rPr>
        <w:t>依據 [1] §1.3至1.4、CMR7至CMR10。</w:t>
      </w:r>
    </w:p>
    <w:p>
      <w:bookmarkStart w:id="21" w:name="layer2"/>
      <w:pPr>
        <w:pStyle w:val="Heading1"/>
        <w:pageBreakBefore/>
      </w:pPr>
      <w:r>
        <w:t>第二層 選對估值方法</w:t>
      </w:r>
      <w:bookmarkEnd w:id="21"/>
    </w:p>
    <w:p>
      <w:pPr>
        <w:widowControl/>
      </w:pPr>
      <w:r>
        <w:t>第二層先把資產放入唯一合法的主估值類別，再按事先定義的順序選指標。這個順序稱為 Waterfall，意思是優先採用最適合且可靠的方法，只有已證實不可用或不可靠時，才往後走。不是哪個數字看起來最便宜，就挑哪個。</w:t>
      </w:r>
    </w:p>
    <w:p>
      <w:pPr>
        <w:pStyle w:val="Heading2"/>
      </w:pPr>
      <w:r>
        <w:t>常見指標各自在量什麼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312"/>
        <w:gridCol w:w="4320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名稱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白話意思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使用時的重要限制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價格相對預估盈餘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預測期間與來源需一致 負或無意義盈餘不能算便宜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Trailing PE／CAPE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相對過去盈餘／週期調整盈餘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不是Forward PE 不可把歷史欄位改名成預測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PB／P/TBV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價格相對淨值／有形淨值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帳面定義須可比 負淨值不是便宜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EV/EBITDA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企業價值相對特定營運盈餘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不是現金流 金融業不可硬套一般工業公司方法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EV/Sales／PS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企業價值或股價相對營收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沒有正且有意義的營收時不能使用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FCF Yield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自由現金流相對價值的收益率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方向與倍數相反 原始定義與聚合方法須可靠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ETF 不能只拿最大持股代表整檔</w:t>
      </w:r>
    </w:p>
    <w:p>
      <w:pPr>
        <w:widowControl/>
      </w:pPr>
      <w:r>
        <w:t>ETF 估值必須有可靠、同口徑的組合聚合。成分本益比的算術平均通常不能直接當基金本益比；把台積電的數字當0050、把最大科技公司的數字當整檔科技 ETF，也不合規則。</w:t>
      </w:r>
    </w:p>
    <w:p>
      <w:pPr>
        <w:pStyle w:val="Heading2"/>
      </w:pPr>
      <w:r>
        <w:t>切換方法時 連歷史也要一起換</w:t>
      </w:r>
    </w:p>
    <w:p>
      <w:pPr>
        <w:widowControl/>
      </w:pPr>
      <w:r>
        <w:t>若合法主估值由 PE 改為 PB，就必須用 PB 自己的歷史，不能接在 PE 的時間序列後，也不能沿用 PE 的絕對門檻。若當期 PE 合法、只是歷史不足，應保留 PE 並說分位未知，而不是為了得到漂亮分位偷偷改指標。</w:t>
      </w:r>
    </w:p>
    <w:p>
      <w:pPr>
        <w:widowControl/>
        <w:spacing w:before="80"/>
      </w:pPr>
      <w:r>
        <w:rPr>
          <w:color w:val="4A4A4A"/>
          <w:sz w:val="18"/>
        </w:rPr>
        <w:t>依據 [1] PV2.2、PV4、PV4A。下兩頁完整列出十一類，不把類別名稱當作方法。</w:t>
      </w:r>
    </w:p>
    <w:p>
      <w:bookmarkStart w:id="22" w:name="classes1"/>
      <w:pPr>
        <w:pStyle w:val="Heading1"/>
        <w:pageBreakBefore/>
      </w:pPr>
      <w:r>
        <w:t>十一類估值模板 一至六</w:t>
      </w:r>
      <w:bookmarkEnd w:id="22"/>
    </w:p>
    <w:p>
      <w:pPr>
        <w:widowControl/>
      </w:pPr>
      <w:r>
        <w:t>以下為已核准 v1.0 的主估值順序。箭頭表示合法的替代順序，不表示同時把所有指標平均。每類另需符合其適用性與資料品質條件。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888"/>
        <w:gridCol w:w="3816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類別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主估值順序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必須保留的差異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 全球股票ETF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 → Trailing PE → CAPE → PB → FCF Yield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國家 產業 集中度 費用 流動性；VT與VWRA各自取資料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2 美國大型核心ETF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 → CAPE → Trailing PE → FCF Yield → PB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注意成分集中與ROE EPS；指數估值僅作合法背景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3 科技 AI 高成長ETF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 → EV/EBITDA → EV/Sales → FCF Yield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EPS修訂 AI資本支出 實質利率；PEG只能補充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4 台灣大型權值ETF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 → PB → FCF Yield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台灣交易日 股息拆股 台積電集中與電子週期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5 製藥 醫療ETF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 → EV/EBITDA → FCF Yield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專利到期 藥價 政策 試驗；不同醫療子產業不能忽略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6 美國中小型ETF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PE排除負EPS → 獲利公司比例證據 → EV/EBITDA → PB → FCF Yield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比例是成分證據 不是估值主指標；不得送入qV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中小型 ETF 為什麼特別處理</w:t>
      </w:r>
    </w:p>
    <w:p>
      <w:pPr>
        <w:widowControl/>
      </w:pPr>
      <w:r>
        <w:t>只看仍有盈餘公司的 PE，可能忽略一大群虧損公司。規則因此保留獲利公司比例及未知成分，但不把「獲利公司越少」解釋成「越便宜」。當 Forward PE 不能合法使用時，比例節點提供背景證據，再繼續尋找下一個合法估值指標。</w:t>
      </w:r>
    </w:p>
    <w:p>
      <w:pPr>
        <w:widowControl/>
      </w:pPr>
      <w:r>
        <w:t>獲利家數比例與獲利權重比例不是同一件事；有未知成分時，應顯示範圍，而不是把未知自動歸類成獲利或虧損。這是資料忠實度，不是額外給分技巧。</w:t>
      </w:r>
    </w:p>
    <w:p>
      <w:pPr>
        <w:widowControl/>
        <w:spacing w:before="80"/>
      </w:pPr>
      <w:r>
        <w:rPr>
          <w:color w:val="4A4A4A"/>
          <w:sz w:val="18"/>
        </w:rPr>
        <w:t>依據 [1] PV4.1至PV4.6；特定PE區間只在產品與方法確定適用時使用。</w:t>
      </w:r>
    </w:p>
    <w:p>
      <w:bookmarkStart w:id="23" w:name="classes2"/>
      <w:pPr>
        <w:pStyle w:val="Heading1"/>
        <w:pageBreakBefore/>
      </w:pPr>
      <w:r>
        <w:t>十一類估值模板 七至十一</w:t>
      </w:r>
      <w:bookmarkEnd w:id="2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3816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類別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主估值順序或路由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必須保留的差異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7 半導體ETF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 → EV/EBITDA → EV/Sales → PS → FCF Yield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庫存 利用率 ASP 毛利 EPS修訂；Trailing PE不得獨立作核心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8 國防 軍工ETF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 → EV/EBITDA → FCF Yield → EV/Sales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預算 合約 backlog 交付 出口限制；訂單不等於已認列營收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9 產業 主題ETF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先找唯一合法產業專屬方法；沒有時才用已核准有限subtype路由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沒有一套通用PE順序；主題名稱不作分類證據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 大型成熟 高品質個股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依金融 獲利成長 EPS無意義 半導體 國防等subtype選路徑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公司財報及事前投資論點；高品質不自動推出估值或風險等級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11 高Beta 事件型個股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同樣依產業與財務subtype選路徑</w:t>
            </w:r>
          </w:p>
        </w:tc>
        <w:tc>
          <w:tcPr>
            <w:tcW w:type="dxa" w:w="38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融資 稀釋 現金續航 事件與停牌風險；高波動不是估值方法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半導體低 PE 為什麼不能只看一面</w:t>
      </w:r>
    </w:p>
    <w:p>
      <w:pPr>
        <w:widowControl/>
      </w:pPr>
      <w:r>
        <w:t>週期高點的盈餘可能很高，因此 PE 很低；這可以與「庫存變差、EPS 被下修」同時存在。系統應保留兩個事實，再讓正式風險規則處理，而不是為了配合故事換一個更合意的估值指標。只有分母無意義、口徑失效或方法確定不可靠，才合法往後替代。</w:t>
      </w:r>
    </w:p>
    <w:p>
      <w:pPr>
        <w:pStyle w:val="Heading2"/>
      </w:pPr>
      <w:r>
        <w:t>事件型公司為什麼不能只看跌幅</w:t>
      </w:r>
    </w:p>
    <w:p>
      <w:pPr>
        <w:widowControl/>
      </w:pPr>
      <w:r>
        <w:t>一家公司可能跌得比自己的歷史更深，卻同時面臨融資失敗或永久損害。qP 高只說明價格壓力，不代表低風險；qV 低也不能把失效的投資論點救回來。</w:t>
      </w:r>
    </w:p>
    <w:p>
      <w:pPr>
        <w:widowControl/>
      </w:pPr>
      <w:r>
        <w:t>十一類已核准使用共同標準化框架，不代表十一類都完成了真實資料校準、樣本外驗證，或所有可買的投資商品都在支援範圍。</w:t>
      </w:r>
    </w:p>
    <w:p>
      <w:pPr>
        <w:widowControl/>
        <w:spacing w:before="80"/>
      </w:pPr>
      <w:r>
        <w:rPr>
          <w:color w:val="4A4A4A"/>
          <w:sz w:val="18"/>
        </w:rPr>
        <w:t>依據 [1] PV4.7至PV4.11、PV1；這五類沒有本版統一固定PE區間。</w:t>
      </w:r>
    </w:p>
    <w:p>
      <w:bookmarkStart w:id="24" w:name="subtypes"/>
      <w:pPr>
        <w:pStyle w:val="Heading1"/>
        <w:pageBreakBefore/>
      </w:pPr>
      <w:r>
        <w:t>細分類讓同一大類保留差異</w:t>
      </w:r>
      <w:bookmarkEnd w:id="24"/>
    </w:p>
    <w:p>
      <w:pPr>
        <w:widowControl/>
      </w:pPr>
      <w:r>
        <w:t>大類只是第一個分流。大型成熟公司可能是銀行、物業公司或工業公司；若只因都叫高品質就套同一個 PE，仍會失真。已核准的有限 subtype 路由，補足原規則沒有通用方法的部分，但既有合法專屬規則優先。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888"/>
        <w:gridCol w:w="3744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細分類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固定方法順序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界線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金融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P/TBV → PB → Forward PE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不因EPS變負就改走工業公司的EV路徑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一般獲利非金融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 → EV/EBITDA → FCF Yield → EV/Sales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保存原產業背景 不宣稱各行業同質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醫療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 → EV/EBITDA → FCF Yield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個股EPS無意義時按正式分流 不由單一虧損成分改整檔ETF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營運型不動產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EV/EBITDA → PB → FCF Yield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mortgage-finance走金融；FFO AFFO NOI不得冒稱EBITDA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虧損或EPS無意義的非金融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EV/Sales → PS → 有經濟意義時FCF Yield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沒有營收時不發明便宜分數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跨產業股票ETF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Forward PE → Trailing PE → PB → FCF Yield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金融與工業混合時不硬套一般EV/EBITDA</w:t>
            </w:r>
          </w:p>
        </w:tc>
      </w:tr>
    </w:tbl>
    <w:p>
      <w:pPr>
        <w:widowControl/>
        <w:spacing w:after="0"/>
      </w:pPr>
      <w:r/>
    </w:p>
    <w:p>
      <w:pPr>
        <w:widowControl/>
      </w:pPr>
      <w:r>
        <w:t>非金融個股的獲利分流採最新當時已發布、同來源同口徑的稀釋每股盈餘 TTM；缺資料不是盈利。產業分類依可核實的官方或指數方法證據，不從新聞標題、代碼或最大持股猜。</w:t>
      </w:r>
    </w:p>
    <w:p>
      <w:pPr>
        <w:widowControl/>
      </w:pPr>
      <w:r>
        <w:t>若沒有唯一合法匹配，應明示路由未解或衝突；不採第一個碰巧匹配的類別。金融與物業身分不明、聚合方法不可靠或公司尚無可用經濟分母，都可能得到有理由的「目前無法估值」。</w:t>
      </w:r>
    </w:p>
    <w:p>
      <w:pPr>
        <w:widowControl/>
      </w:pPr>
      <w:r>
        <w:t>本支援域限可核實的上市普通股及未槓桿、非反向、非衍生品主導的股票 ETF；債券、商品、選擇權策略、槓桿與反向商品，不因名字含 ETF 就自動納入。</w:t>
      </w:r>
    </w:p>
    <w:p>
      <w:pPr>
        <w:widowControl/>
        <w:spacing w:before="80"/>
      </w:pPr>
      <w:r>
        <w:rPr>
          <w:color w:val="4A4A4A"/>
          <w:sz w:val="18"/>
        </w:rPr>
        <w:t>依據 [1] PV4A。歷史方法ID含candidate字樣只供相容追溯，不表示這批v1.0規則尚待批准。</w:t>
      </w:r>
    </w:p>
    <w:p>
      <w:bookmarkStart w:id="25" w:name="layer3"/>
      <w:pPr>
        <w:pStyle w:val="Heading1"/>
        <w:pageBreakBefore/>
      </w:pPr>
      <w:r>
        <w:t>第三層 每一檔自己的真實資料</w:t>
      </w:r>
      <w:bookmarkEnd w:id="25"/>
    </w:p>
    <w:p>
      <w:pPr>
        <w:widowControl/>
      </w:pPr>
      <w:r>
        <w:t>第三層決定這把尺量的究竟是不是同一個東西。法定基金、share class、上市市場、幣別、配息或累積型態，以及估值來源口徑，都會改變可比較的資料。兩檔追蹤相近市場，不等於可以互借價格與估值歷史。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520"/>
        <w:gridCol w:w="5184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例子</w:t>
            </w:r>
          </w:p>
        </w:tc>
        <w:tc>
          <w:tcPr>
            <w:tcW w:type="dxa" w:w="25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共同之處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仍必須分開核對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VT與VWRA</w:t>
            </w:r>
          </w:p>
        </w:tc>
        <w:tc>
          <w:tcPr>
            <w:tcW w:type="dxa" w:w="25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都可屬全球股票ETF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基金及share class 身分 上市史 配息或累積 價格 公司行動 估值來源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VOO與其他美國核心ETF</w:t>
            </w:r>
          </w:p>
        </w:tc>
        <w:tc>
          <w:tcPr>
            <w:tcW w:type="dxa" w:w="25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可能高度重疊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實際基金價格 費用 成分時點 聚合方法；指數不能假裝基金自身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0050與其他台股ETF</w:t>
            </w:r>
          </w:p>
        </w:tc>
        <w:tc>
          <w:tcPr>
            <w:tcW w:type="dxa" w:w="25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可能持有共同權值股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交易日 股息拆股 權重與集中度；不借另一檔填歷史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2454與半導體ETF</w:t>
            </w:r>
          </w:p>
        </w:tc>
        <w:tc>
          <w:tcPr>
            <w:tcW w:type="dxa" w:w="252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可能受到相近產業週期影響</w:t>
            </w:r>
          </w:p>
        </w:tc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公司財務 融資 事件與Thesis 不等於一籃子基金的風險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自身尺度不是逐檔調到最好看</w:t>
      </w:r>
    </w:p>
    <w:p>
      <w:pPr>
        <w:widowControl/>
      </w:pPr>
      <w:r>
        <w:t>每檔使用自己的可比歷史，表示同一個 PE 或跌幅，要放回這檔的情境看；不表示為每檔尋找一套回測最賺錢的門檻。共同切點保持固定，逐檔變的是合法事實、歷史分布與已登記方法。</w:t>
      </w:r>
    </w:p>
    <w:p>
      <w:pPr>
        <w:pStyle w:val="Heading2"/>
      </w:pPr>
      <w:r>
        <w:t>三個時間都重要</w:t>
      </w:r>
    </w:p>
    <w:p>
      <w:pPr>
        <w:widowControl/>
      </w:pPr>
      <w:r>
        <w:t>as_of 是數字描述的時間；available_at 是當時何時可取得；retrieved_at 是系統何時下載。今天拿到十年前的重編資料，不代表十年前的投資人已知道。歷史檢驗只能用當時可得版本，不能讓未來修訂值倒流。</w:t>
      </w:r>
    </w:p>
    <w:p>
      <w:pPr>
        <w:widowControl/>
      </w:pPr>
      <w:r>
        <w:t>當期數字有可靠來源，可以保留；歷史發布時間或方法不可證，則相應歷史分位仍未知。這不是把所有資料一起否定，而是把已知與不知道的部分精確分開。</w:t>
      </w:r>
    </w:p>
    <w:p>
      <w:pPr>
        <w:widowControl/>
        <w:spacing w:before="80"/>
      </w:pPr>
      <w:r>
        <w:rPr>
          <w:color w:val="4A4A4A"/>
          <w:sz w:val="18"/>
        </w:rPr>
        <w:t>依據 [1] PV2.1、PV2.3、PV4.1、第3章與第8章。例子只說資料差異，不提供本輪估值結論。</w:t>
      </w:r>
    </w:p>
    <w:p>
      <w:bookmarkStart w:id="26" w:name="qv"/>
      <w:pPr>
        <w:pStyle w:val="Heading1"/>
        <w:pageBreakBefore/>
      </w:pPr>
      <w:r>
        <w:t>qV 用自己的歷史判斷相對估值</w:t>
      </w:r>
      <w:bookmarkEnd w:id="26"/>
    </w:p>
    <w:p>
      <w:pPr>
        <w:widowControl/>
      </w:pPr>
      <w:r>
        <w:t>qV 是估值位置，不是報酬率或上漲機率。先選出合法主估值，再問目前數字在同一檔、同一指標、同一口徑的歷史中位於哪裡。qV 越低，表示相對自己的可比歷史越便宜。</w:t>
      </w:r>
    </w:p>
    <w:p>
      <w:pPr>
        <w:pStyle w:val="Heading2"/>
      </w:pPr>
      <w:r>
        <w:t>排名怎麼算</w:t>
      </w:r>
    </w:p>
    <w:p>
      <w:pPr>
        <w:spacing w:before="80" w:after="200" w:line="240" w:lineRule="auto"/>
      </w:pPr>
      <m:oMath>
        <m:r>
          <m:t>R = 100 × </m:t>
        </m:r>
        <m:f>
          <m:num>
            <m:sSub>
              <m:e>
                <m:r>
                  <m:t>n</m:t>
                </m:r>
              </m:e>
              <m:sub>
                <m:r>
                  <m:t>&lt;</m:t>
                </m:r>
              </m:sub>
            </m:sSub>
            <m:r>
              <m:t> + 0.5 × </m:t>
            </m:r>
            <m:sSub>
              <m:e>
                <m:r>
                  <m:t>n</m:t>
                </m:r>
              </m:e>
              <m:sub>
                <m:r>
                  <m:t>=</m:t>
                </m:r>
              </m:sub>
            </m:sSub>
          </m:num>
          <m:den>
            <m:r>
              <m:t>N</m:t>
            </m:r>
          </m:den>
        </m:f>
      </m:oMath>
    </w:p>
    <w:p>
      <w:pPr>
        <w:widowControl/>
      </w:pPr>
      <w:r>
        <w:t>R是原始分位；n&lt;與n=分別表示歷史中小於與等於當前值的筆數，N為有效筆數。對 PE、PB 等倍數，qV 就是原始分位；對合法 FCF Yield，qV 等於100減原始分位。因為倍數較低通常代表便宜，收益率較高才代表便宜，方向不能反過來。當前值不放回參考歷史，自我抬高或壓低排名。</w:t>
      </w:r>
    </w:p>
    <w:p>
      <w:pPr>
        <w:pStyle w:val="Heading2"/>
      </w:pPr>
      <w:r>
        <w:t>資料不能靠重複複製變多</w:t>
      </w:r>
    </w:p>
    <w:p>
      <w:pPr>
        <w:widowControl/>
      </w:pPr>
      <w:r>
        <w:t>日、週或月頻估值，每個完成曆月取當時已發布且合法的一筆；季頻每個完成季取一筆。不能將一個舊 PE 每天複製，假裝有幾千筆獨立資訊。不同指標不能接成一條歷史，歷史盈餘也不能冒稱預估盈餘。</w:t>
      </w:r>
    </w:p>
    <w:p>
      <w:pPr>
        <w:widowControl/>
      </w:pPr>
      <w:r>
        <w:t>歷史窗口依可靠10年、可靠5年、上市以來或事前核准可比制度期間的順序。v1.0 預設要求有效期數至少占應有期數90%、連續缺期不超過2期、可比期間至少2年；資料全同值、口徑混用或無法證明當時可得，qV 不成立。這些品質門檻已核准，但仍不是投資效力已驗證的證明。</w:t>
      </w:r>
    </w:p>
    <w:p>
      <w:pPr>
        <w:pStyle w:val="Heading2"/>
      </w:pPr>
      <w:r>
        <w:t>教學例子</w:t>
      </w:r>
    </w:p>
    <w:p>
      <w:pPr>
        <w:widowControl/>
      </w:pPr>
      <w:r>
        <w:t>假設某檔有100筆合法歷史 PE，20筆低於目前值、10筆等於目前值，原始分位為25，因此qV=25。它只表示相對歷史較低；若公司獲利正受永久破壞，不能因25就斷言值得買。若這100筆其實是同一個舊值重複抓取，整個推論不成立。</w:t>
      </w:r>
    </w:p>
    <w:p>
      <w:pPr>
        <w:widowControl/>
        <w:spacing w:before="80"/>
      </w:pPr>
      <w:r>
        <w:rPr>
          <w:color w:val="4A4A4A"/>
          <w:sz w:val="18"/>
        </w:rPr>
        <w:t>依據 [1] PV2.2至PV2.3；100筆例子為教學假設，不是任何家人標的的實際分位。</w:t>
      </w:r>
    </w:p>
    <w:p>
      <w:bookmarkStart w:id="27" w:name="qp"/>
      <w:pPr>
        <w:pStyle w:val="Heading1"/>
        <w:pageBreakBefore/>
      </w:pPr>
      <w:r>
        <w:t>qP 把跌幅放回自己的波動尺度</w:t>
      </w:r>
      <w:bookmarkEnd w:id="27"/>
    </w:p>
    <w:p>
      <w:pPr>
        <w:widowControl/>
      </w:pPr>
      <w:r>
        <w:t>同樣下跌10%，對平常穩定的廣泛市場基金，與平常就大幅波動的事件型個股，意義可能不同。qP 不只問跌了多少，而是先處理股息和拆股，再把距離高點的壓力放回這檔自己的波動與歷史分布。</w:t>
      </w:r>
    </w:p>
    <w:p>
      <w:pPr>
        <w:pStyle w:val="Heading2"/>
      </w:pPr>
      <w:r>
        <w:t>先建立同資產總報酬序列 W</w:t>
      </w:r>
    </w:p>
    <w:p>
      <w:pPr>
        <w:spacing w:before="80" w:after="200" w:line="240" w:lineRule="auto"/>
      </w:pPr>
      <m:oMath>
        <m:sSub>
          <m:e>
            <m:r>
              <m:t>W</m:t>
            </m:r>
          </m:e>
          <m:sub>
            <m:r>
              <m:t>t</m:t>
            </m:r>
          </m:sub>
        </m:sSub>
        <m:r>
          <m:t> = </m:t>
        </m:r>
        <m:sSub>
          <m:e>
            <m:r>
              <m:t>W</m:t>
            </m:r>
          </m:e>
          <m:sub>
            <m:r>
              <m:t>p</m:t>
            </m:r>
          </m:sub>
        </m:sSub>
        <m:r>
          <m:t> × </m:t>
        </m:r>
        <m:f>
          <m:num>
            <m:sSub>
              <m:e>
                <m:r>
                  <m:t>k</m:t>
                </m:r>
              </m:e>
              <m:sub>
                <m:r>
                  <m:t>t</m:t>
                </m:r>
              </m:sub>
            </m:sSub>
            <m:r>
              <m:t> × 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  <m:r>
              <m:t> + </m:t>
            </m:r>
            <m:sSub>
              <m:e>
                <m:r>
                  <m:t>d</m:t>
                </m:r>
              </m:e>
              <m:sub>
                <m:r>
                  <m:t>old,t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den>
        </m:f>
      </m:oMath>
    </w:p>
    <w:p>
      <w:pPr>
        <w:widowControl/>
      </w:pPr>
      <w:r>
        <w:t>W以100起算；C為原始收盤、k為新股／舊股倍率、d為每舊股現金，t與p代表本日與前日。這是統計特徵方法：假設在除息日收盤再投資，不等於帳戶已收到可花的股息。已調整的價格不能再加一次股息或拆股。只有核實的簡單現金分派與純拆併股受本方法支援；複雜權利、重整或事件資料不完整，必須明確處理斷鏈。</w:t>
      </w:r>
    </w:p>
    <w:p>
      <w:pPr>
        <w:pStyle w:val="Heading2"/>
      </w:pPr>
      <w:r>
        <w:t>再看高點 壓力與排名</w:t>
      </w:r>
    </w:p>
    <w:p>
      <w:pPr>
        <w:widowControl/>
      </w:pPr>
      <w:r>
        <w:t>H 是最近252個完成交易日的 W 最高值；同高取最後一日。以該高點當時可得的63個日對數報酬，計算樣本標準差σ並凍結在高點日h，避免股價跌後波動變大，反而把同一跌幅算得較不嚴重。</w:t>
      </w:r>
    </w:p>
    <w:p>
      <w:pPr>
        <w:spacing w:before="80" w:after="200" w:line="240" w:lineRule="auto"/>
      </w:pPr>
      <m:oMath>
        <m:r>
          <m:t>D = max（0，ln（H ÷ W））</m:t>
        </m:r>
      </m:oMath>
    </w:p>
    <w:p>
      <w:pPr>
        <w:spacing w:before="80" w:after="200" w:line="240" w:lineRule="auto"/>
      </w:pPr>
      <m:oMath>
        <m:r>
          <m:t>Z = </m:t>
        </m:r>
        <m:f>
          <m:num>
            <m:r>
              <m:t>D</m:t>
            </m:r>
          </m:num>
          <m:den>
            <m:sSub>
              <m:e>
                <m:r>
                  <m:t>σ</m:t>
                </m:r>
              </m:e>
              <m:sub>
                <m:r>
                  <m:t>h</m:t>
                </m:r>
              </m:sub>
            </m:sSub>
            <m:r>
              <m:t> × </m:t>
            </m:r>
            <m:rad>
              <m:radPr>
                <m:degHide m:val="1"/>
              </m:radPr>
              <m:deg/>
              <m:e>
                <m:r>
                  <m:t>252</m:t>
                </m:r>
              </m:e>
            </m:rad>
          </m:den>
        </m:f>
      </m:oMath>
    </w:p>
    <w:p>
      <w:pPr>
        <w:widowControl/>
      </w:pPr>
      <w:r>
        <w:t>每個歷史月末都依當時資料獨立計算 Z，再用與 qV 同樣的中位排名法求 qP。qP 越高，表示當前價格壓力相對自身歷史越罕見；不是未來反彈機率。</w:t>
      </w:r>
    </w:p>
    <w:p>
      <w:pPr>
        <w:pStyle w:val="Heading2"/>
      </w:pPr>
      <w:r>
        <w:t>為什麼不能填補漂亮曲線</w:t>
      </w:r>
    </w:p>
    <w:p>
      <w:pPr>
        <w:widowControl/>
      </w:pPr>
      <w:r>
        <w:t>缺預期交易日、公司行動證據或交易日曆時，不以前值填滿，也不跨斷鏈延續高點與波動。高點自然退出252日視窗要註明，不把分母改變當成復甦。沒有可靠歷史就保留未知，不能借別檔基金來補。</w:t>
      </w:r>
    </w:p>
    <w:p>
      <w:pPr>
        <w:widowControl/>
        <w:spacing w:before="80"/>
      </w:pPr>
      <w:r>
        <w:rPr>
          <w:color w:val="4A4A4A"/>
          <w:sz w:val="18"/>
        </w:rPr>
        <w:t>依據 [1] PV2.4與第3章；252、63與方法均已核准，不代表已驗證適用所有制度與尾部事件。</w:t>
      </w:r>
    </w:p>
    <w:p>
      <w:bookmarkStart w:id="28" w:name="stages"/>
      <w:pPr>
        <w:pStyle w:val="Heading1"/>
        <w:pageBreakBefore/>
      </w:pPr>
      <w:r>
        <w:t>九階把證據轉成累積部署比例</w:t>
      </w:r>
      <w:bookmarkEnd w:id="28"/>
    </w:p>
    <w:p>
      <w:pPr>
        <w:widowControl/>
      </w:pPr>
      <w:r>
        <w:t>九階的分母只有這一檔已確認的長期目標金額。Stage 5 的60%，不是整個家庭資產的60%，也不是今天再加碼60%。Base 參考S1，Left使用S2至S7，Right參考S8，Trend最高S9。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152"/>
        <w:gridCol w:w="7848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1"/>
              </w:rPr>
              <w:t>階段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累積率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價格與估值深度條件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S1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Base參考階 仍須合法目標與相應必要條件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S2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20%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B2＝正式左側至少一項價格條件 AND 合法當前主估值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S3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30%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B2 且D&gt;0 且qP≥75 且qV&lt;60 且A_normal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S4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45%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B2 且D&gt;0 且qP≥75 且qV&lt;40 且A_normal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S5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60%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B2 且D&gt;0 且qP≥90 且qV&lt;40 且A_normal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S6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75%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B2 且D&gt;0 且qP≥90 且qV&lt;20 且A_cheap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S7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85%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B2 且D&gt;0 且qP≥97.5 且qV&lt;20 且A_cheap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S8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95%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Right參考；或符合Trend但全目標估值證據FALSE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>S9</w:t>
            </w:r>
          </w:p>
        </w:tc>
        <w:tc>
          <w:tcPr>
            <w:tcW w:type="dxa" w:w="11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100%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Trend成立且qV&lt;60與A_normal成立 仍受具名正式限制</w:t>
            </w:r>
          </w:p>
        </w:tc>
      </w:tr>
    </w:tbl>
    <w:p>
      <w:pPr>
        <w:widowControl/>
        <w:spacing w:after="0"/>
      </w:pPr>
      <w:r/>
    </w:p>
    <w:p>
      <w:pPr>
        <w:widowControl/>
      </w:pPr>
      <w:r>
        <w:t>這張表是階段規則，不是完整買進資格。S2沒有新增qP、qV或固定PE門票；S3至S7才增加價格壓力與估值深度。Left本身還要長期可持有與安全條件，不得只看本表選一階就直接新增。</w:t>
      </w:r>
    </w:p>
    <w:p>
      <w:pPr>
        <w:pStyle w:val="Heading2"/>
      </w:pPr>
      <w:r>
        <w:t>絕對估值條件只用在確定適用的Forward 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2304"/>
        <w:gridCol w:w="2304"/>
      </w:tblGrid>
      <w:tr>
        <w:trPr>
          <w:cantSplit/>
          <w:tblHeader/>
        </w:trPr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290" w:lineRule="exact"/>
            </w:pPr>
            <w:r>
              <w:rPr>
                <w:b/>
                <w:sz w:val="20"/>
              </w:rPr>
              <w:t>適用產品類型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290" w:lineRule="exact"/>
            </w:pPr>
            <w:r>
              <w:rPr>
                <w:b/>
                <w:sz w:val="20"/>
              </w:rPr>
              <w:t>A_normal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290" w:lineRule="exact"/>
            </w:pPr>
            <w:r>
              <w:rPr>
                <w:b/>
                <w:sz w:val="20"/>
              </w:rPr>
              <w:t>A_cheap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全球股票ETF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18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14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美國大型核心ETF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20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16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科技 AI 高成長ETF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24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18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台灣大型權值ETF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19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14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製藥 醫療ETF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19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14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美國中小型ETF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18</w:t>
            </w:r>
          </w:p>
        </w:tc>
        <w:tc>
          <w:tcPr>
            <w:tcW w:type="dxa" w:w="230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290" w:lineRule="exact"/>
            </w:pPr>
            <w:r>
              <w:rPr>
                <w:b w:val="0"/>
                <w:sz w:val="20"/>
              </w:rPr>
              <w:t>PE &lt; 13</w:t>
            </w:r>
          </w:p>
        </w:tc>
      </w:tr>
    </w:tbl>
    <w:p>
      <w:pPr>
        <w:widowControl/>
        <w:spacing w:after="0"/>
      </w:pPr>
      <w:r/>
    </w:p>
    <w:p>
      <w:pPr>
        <w:widowControl/>
      </w:pPr>
      <w:r>
        <w:t>非Forward PE不套這兩個PE條件；已證實無適用固定區間時可明示不適用。是否適用還不知道，不能當作不適用。其餘五類沒有本版統一PE區間，不能借用以上數字。</w:t>
      </w:r>
    </w:p>
    <w:p>
      <w:pPr>
        <w:widowControl/>
        <w:spacing w:before="80"/>
      </w:pPr>
      <w:r>
        <w:rPr>
          <w:color w:val="4A4A4A"/>
          <w:sz w:val="18"/>
        </w:rPr>
        <w:t>依據 [1] PV3、PV4、CMR7.4；等號嚴格依≥與&lt;，顯示四捨五入不參與比較。</w:t>
      </w:r>
    </w:p>
    <w:p>
      <w:bookmarkStart w:id="29" w:name="stage_example"/>
      <w:pPr>
        <w:pStyle w:val="Heading1"/>
        <w:pageBreakBefore/>
      </w:pPr>
      <w:r>
        <w:t>如何選出唯一階段</w:t>
      </w:r>
      <w:bookmarkEnd w:id="29"/>
    </w:p>
    <w:p>
      <w:pPr>
        <w:pStyle w:val="Heading2"/>
      </w:pPr>
      <w:r>
        <w:t>一個能算清楚的教學例子</w:t>
      </w:r>
    </w:p>
    <w:p>
      <w:pPr>
        <w:widowControl/>
      </w:pPr>
      <w:r>
        <w:t>假設一檔適用全球股票 ETF 方法的資產：合法 Forward PE=16、qV=32、qP=90、D&gt;0，B2成立，其他正式必要限制可裁決，且已確認這組PE區間適用。這些全部是假設資料，不是VT或VWRA本輪實際結果。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728"/>
        <w:gridCol w:w="6768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階段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檢查結果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S2至S4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TRUE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基線成立 qP達75 qV低於40 PE低於18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S5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TRUE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qP恰等於90 包含在≥90裡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S6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FALSE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qV32並未低於20 PE16也未低於14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S7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FALSE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qP90未達97.5 且更深估值條件未成立</w:t>
            </w:r>
          </w:p>
        </w:tc>
      </w:tr>
    </w:tbl>
    <w:p>
      <w:pPr>
        <w:widowControl/>
        <w:spacing w:after="0"/>
      </w:pPr>
      <w:r/>
    </w:p>
    <w:p>
      <w:pPr>
        <w:widowControl/>
      </w:pPr>
      <w:r>
        <w:t>因此價格估值模組唯一支持S5，累積率60%。若正式模式、安全與其他階段依賴也合法，才能形成完整Stage。若長期目標10萬元，累積參考目標是6萬元；已持有4萬元，尚有2萬元缺口，但這2萬元還不是今日建議全額。</w:t>
      </w:r>
    </w:p>
    <w:p>
      <w:pPr>
        <w:pStyle w:val="Heading2"/>
      </w:pPr>
      <w:r>
        <w:t>邊界不是大約差不多</w:t>
      </w:r>
    </w:p>
    <w:p>
      <w:pPr>
        <w:widowControl/>
      </w:pPr>
      <w:r>
        <w:t>qV恰好40，不符合qV&lt;40；PE恰好18，不符合全球型A_normal的PE&lt;18。qP恰好90，符合qP≥90。不能因畫面只顯示整數，就把內部39.96與40.04當成同一個結果。</w:t>
      </w:r>
    </w:p>
    <w:p>
      <w:pPr>
        <w:pStyle w:val="Heading2"/>
      </w:pPr>
      <w:r>
        <w:t>未知不必拖垮全部 但不能被藏掉</w:t>
      </w:r>
    </w:p>
    <w:p>
      <w:pPr>
        <w:widowControl/>
      </w:pPr>
      <w:r>
        <w:t>若qP只有70，即使qV未知，S3至S7仍因價格條件FALSE而確定不成立；這種已知否定可以短路。反過來，若qP99、PE13但qV未知，S2已成立而S3至S7仍可能改變答案，唯一階段就是未知，不能偷偷執行S2下界。</w:t>
      </w:r>
    </w:p>
    <w:p>
      <w:pPr>
        <w:widowControl/>
      </w:pPr>
      <w:r>
        <w:t>規則採TRUE、FALSE、UNKNOWN三值：FALSE AND UNKNOWN為FALSE；TRUE AND UNKNOWN為UNKNOWN。能回答的照樣回答；真正會改變最終結論的未知，必須留下。</w:t>
      </w:r>
    </w:p>
    <w:p>
      <w:pPr>
        <w:widowControl/>
      </w:pPr>
      <w:r>
        <w:t>若深階成立、理應包含的淺階卻不成立，表示輸入或巢狀邏輯矛盾，應查錯而不是挑較高階。階段下降本身也不自動建立賣出權。</w:t>
      </w:r>
    </w:p>
    <w:p>
      <w:pPr>
        <w:widowControl/>
        <w:spacing w:before="80"/>
      </w:pPr>
      <w:r>
        <w:rPr>
          <w:color w:val="4A4A4A"/>
          <w:sz w:val="18"/>
        </w:rPr>
        <w:t>依據 [1] §1.3、PV3。全部數字為教學fixture，不是市場實測或家人買賣建議。</w:t>
      </w:r>
    </w:p>
    <w:p>
      <w:bookmarkStart w:id="30" w:name="modes"/>
      <w:pPr>
        <w:pStyle w:val="Heading1"/>
        <w:pageBreakBefore/>
      </w:pPr>
      <w:r>
        <w:t>四種模式與風險優先順序</w:t>
      </w:r>
      <w:bookmarkEnd w:id="30"/>
    </w:p>
    <w:p>
      <w:pPr>
        <w:widowControl/>
      </w:pPr>
      <w:r>
        <w:t>模式回答目前是哪一種部署情境，不是投資人的個性標籤。相同家人在不同時間，可能處於不同模式；模式改變也不等於長期Final Target已改變。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176"/>
        <w:gridCol w:w="3744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模式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核心意義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不能誤讀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Base 基礎部署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其他較高模式均確定不成立時的正常模式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不是缺資料時的自動安全答案 也不是所有技術都要轉多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Left 左側承接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至少一項正式價格條件 長期可持有 安全否定不存在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不是越跌越買；技術成熟主要調速度 不必作第一筆入場門票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Right 右側確認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離開最低點 去重確認≥3 並具基本面 信用 估值及必要事件確認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不是看到任意三個指標就一定買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Trend 趨勢延伸</w:t>
            </w:r>
          </w:p>
        </w:tc>
        <w:tc>
          <w:tcPr>
            <w:tcW w:type="dxa" w:w="41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Runaway Up價格結構≥1 強勢確認≥3 且MA20結構要求成立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最高可到S9 不是成立即無條件滿配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先處理風險 再選正常模式</w:t>
      </w:r>
    </w:p>
    <w:p>
      <w:pPr>
        <w:widowControl/>
      </w:pPr>
      <w:r>
        <w:t>Emergency、真正降低風險、Runaway Down與正式技術減碼的執行優先於正常投入。Runaway Down由至少1項結構破壞與至少2項空方加速構成，會暫停正常新增；但它自己不等於已獲賣出指示。若同輪同時出現Up與Down矛盾，先安全處理並核對時間與資料，不讓Trend把矛盾蓋掉。</w:t>
      </w:r>
    </w:p>
    <w:p>
      <w:pPr>
        <w:widowControl/>
      </w:pPr>
      <w:r>
        <w:t>正常模式依序為Trend → Right → Left → Base。上層為UNKNOWN且可能改答案，就不能跳過它選下層；只有上層確定FALSE才往下。三個上層全FALSE，模式名稱回Base，但其目標與新增資格仍要另外成立。</w:t>
      </w:r>
    </w:p>
    <w:p>
      <w:pPr>
        <w:pStyle w:val="Heading2"/>
      </w:pPr>
      <w:r>
        <w:t>安全限制不必抹掉所有分析</w:t>
      </w:r>
    </w:p>
    <w:p>
      <w:pPr>
        <w:widowControl/>
      </w:pPr>
      <w:r>
        <w:t>Hard Gate觸發會讓Left安全條件失敗。Right若本輪自身依賴仍合法，可保留Right、Stage、Target與Gap的分析，只關閉新增權限。必要安全資料不足時，也應說是資料不足，不能偽稱市場危機已確認。</w:t>
      </w:r>
    </w:p>
    <w:p>
      <w:pPr>
        <w:widowControl/>
        <w:spacing w:before="80"/>
      </w:pPr>
      <w:r>
        <w:rPr>
          <w:color w:val="4A4A4A"/>
          <w:sz w:val="18"/>
        </w:rPr>
        <w:t>依據 [1] CMR4.3、CMR7.1至7.4；模式順位與安全順位分開。</w:t>
      </w:r>
    </w:p>
    <w:p>
      <w:bookmarkStart w:id="31" w:name="technical"/>
      <w:pPr>
        <w:pStyle w:val="Heading1"/>
        <w:pageBreakBefore/>
      </w:pPr>
      <w:r>
        <w:t>技術訊號決定確認與節奏</w:t>
      </w:r>
      <w:bookmarkEnd w:id="31"/>
    </w:p>
    <w:p>
      <w:pPr>
        <w:widowControl/>
      </w:pPr>
      <w:r>
        <w:t>技術訊號在這套系統不是占卜工具。它把已發生的價格、成交量與結構轉成可重算的描述，用於確認情境、觀察風險或調整補足速度；不能單獨證明公司價值，也不能替代資料缺失。</w:t>
      </w:r>
    </w:p>
    <w:p>
      <w:pPr>
        <w:pStyle w:val="Heading2"/>
      </w:pPr>
      <w:r>
        <w:t>先有原生事實 再有具名條件</w:t>
      </w:r>
    </w:p>
    <w:p>
      <w:pPr>
        <w:widowControl/>
      </w:pPr>
      <w:r>
        <w:t>均線、KD、MACD、RSI、EMV、TD計數及Swing結構，都要固定公式、種子、完成交易日、資料窗口與事件壽命。日線、週線、月線分開；未完成的本週或本月不能冒充完成週月訊號。不同公式名稱相近，也不能互換。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訊號用途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規則角色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Right確認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10個具名槽位中去重確認至少3項；UNKNOWN不算假票或真票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Runaway Up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3個價格結構槽位至少1項 8個強勢槽位至少3項 另須MA20條件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Runaway Down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3個結構破壞槽位至少1項 8個空方加速槽位至少2項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左側成熟度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8個具名槽位的至少3項成立 用於正常速度 不新增安全分數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技術減碼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依正式減碼分類與權限處理 不因某一技術條件成立就自動賣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重複訊號不能灌票</w:t>
      </w:r>
    </w:p>
    <w:p>
      <w:pPr>
        <w:widowControl/>
      </w:pPr>
      <w:r>
        <w:t>同一個MACD條件用中英文別名出現兩次，只能算一票。兩個已登記不同槽位可各自計算，卻不因此被宣稱具有統計獨立性。Right若已有3項確定成立，其他2項未知不妨礙「至少3項」成立；若2項成立、1項未知，則仍可能差那一票。</w:t>
      </w:r>
    </w:p>
    <w:p>
      <w:pPr>
        <w:pStyle w:val="Heading2"/>
      </w:pPr>
      <w:r>
        <w:t>規則已清楚 不等於資料已齊</w:t>
      </w:r>
    </w:p>
    <w:p>
      <w:pPr>
        <w:widowControl/>
      </w:pPr>
      <w:r>
        <w:t>例如v1.0已核准「MA20結構未明顯跌破」使用完成收盤價≥0.99×MA20，且MA20&gt;0；這不是尚待批准的模糊形容詞。若來源、交易日或所需歷史不足，才是本輪不能計算的原因。不能把程式尚未接好與公式不存在混為一談。</w:t>
      </w:r>
    </w:p>
    <w:p>
      <w:pPr>
        <w:widowControl/>
      </w:pPr>
      <w:r>
        <w:t>左側成熟的八槽包含低TD成熟、KD止跌或交叉、MACD空方柱縮短、DIF上彎、EMV改善、RSI回升、三根價格不破低、價跌量縮或止跌K。它們提供節奏證據，沒有保證最低點已到。</w:t>
      </w:r>
    </w:p>
    <w:p>
      <w:pPr>
        <w:widowControl/>
        <w:spacing w:before="80"/>
      </w:pPr>
      <w:r>
        <w:rPr>
          <w:color w:val="4A4A4A"/>
          <w:sz w:val="18"/>
        </w:rPr>
        <w:t>依據 [1] TECH1至TECH8、CMR8；本書只摘要角色，完整公式沿v1.0。</w:t>
      </w:r>
    </w:p>
    <w:p>
      <w:bookmarkStart w:id="32" w:name="cross_engines"/>
      <w:pPr>
        <w:pStyle w:val="Heading1"/>
        <w:pageBreakBefore/>
      </w:pPr>
      <w:r>
        <w:t>V70與V75如何和股票端合作</w:t>
      </w:r>
      <w:bookmarkEnd w:id="32"/>
    </w:p>
    <w:p>
      <w:pPr>
        <w:pStyle w:val="Heading2"/>
      </w:pPr>
      <w:r>
        <w:t>V70 管環境與總額度 不替每檔下結論</w:t>
      </w:r>
    </w:p>
    <w:p>
      <w:pPr>
        <w:widowControl/>
      </w:pPr>
      <w:r>
        <w:t>V70的總經框架涵蓋波動、信用、通膨、利率曲線、流動性、景氣與估值等群組，並保留原始數字與安全覆蓋。它回答市場環境及整體可部署額度；不是把一個市場分數直接轉成每檔股票買點。股票與債券必須共用同輪快照，避免兩邊拿不同日期的經濟數字各說各話。</w:t>
      </w:r>
    </w:p>
    <w:p>
      <w:pPr>
        <w:widowControl/>
      </w:pPr>
      <w:r>
        <w:t>長期股票／債券基準S0/B0的規則權責屬V70；已查閱正式白皮書明確區分：既有流程由Mentor或人工蒐集需求、形成建議並取得確認，V70消費已核准基準，再做戰術微調。不能把這項權責設計誤說成已證明完整自動推導演算法部署。</w:t>
      </w:r>
    </w:p>
    <w:p>
      <w:pPr>
        <w:pStyle w:val="Heading2"/>
      </w:pPr>
      <w:r>
        <w:t>信用壓力看水位 也看惡化速度與市場功能</w:t>
      </w:r>
    </w:p>
    <w:p>
      <w:pPr>
        <w:widowControl/>
      </w:pPr>
      <w:r>
        <w:t>V82沿正式規則看HY利差、VIX、MOVE與國債及資金市場功能。v1.0另把快速擴大、利率變動及市場功能惡化寫成固定操作條件。單一PPI偏高、單一VIX高值或一則恐慌標題，不能自行升格成全面賣出理由。信用Level2對不同資產與模式的限制也不同，不是所有核心ETF永久停買。</w:t>
      </w:r>
    </w:p>
    <w:p>
      <w:pPr>
        <w:pStyle w:val="Heading2"/>
      </w:pPr>
      <w:r>
        <w:t>V75 不把債券當成不會跌的現金</w:t>
      </w:r>
    </w:p>
    <w:p>
      <w:pPr>
        <w:widowControl/>
      </w:pPr>
      <w:r>
        <w:t>已查閱的V75決策程式分國債、公司債與混合信用類型，並按有效久期分組；十項訊號涵蓋政策利率、鷹派重定價、殖利率速度、信用、MOVE、通膨、流動性、收益吸引力、技術與ETF品質。先處理直接否決與上限，再決定合法部署程度。</w:t>
      </w:r>
    </w:p>
    <w:p>
      <w:pPr>
        <w:widowControl/>
      </w:pPr>
      <w:r>
        <w:t>V75的0／25／50／75／100%部署比例作用於其剩餘目標缺口，不是V82九階的同一個分母。既有債券是否減碼又有獨立規則；不能因本輪不新增就推論必須全賣。多檔需求超過同帳戶預算時，程式按比例縮減。</w:t>
      </w:r>
    </w:p>
    <w:p>
      <w:pPr>
        <w:widowControl/>
      </w:pPr>
      <w:r>
        <w:t>V70有債券額度，不等於長天期公司債今天可以買滿；V75有正向判斷，也不能越過共同資金邊界。</w:t>
      </w:r>
    </w:p>
    <w:p>
      <w:pPr>
        <w:widowControl/>
        <w:spacing w:before="80"/>
      </w:pPr>
      <w:r>
        <w:rPr>
          <w:color w:val="4A4A4A"/>
          <w:sz w:val="18"/>
        </w:rPr>
        <w:t>依據 [2] V70白皮書權責與§14A；[4] V75 work4.py；[1] CMR3至4。不同V70版本的數值公式須以本輪固定版本為準。</w:t>
      </w:r>
    </w:p>
    <w:p>
      <w:bookmarkStart w:id="33" w:name="fundamental"/>
      <w:pPr>
        <w:pStyle w:val="Heading1"/>
        <w:pageBreakBefore/>
      </w:pPr>
      <w:r>
        <w:t>基本面與事件不能被低估值抵銷</w:t>
      </w:r>
      <w:bookmarkEnd w:id="33"/>
    </w:p>
    <w:p>
      <w:pPr>
        <w:pStyle w:val="Heading2"/>
      </w:pPr>
      <w:r>
        <w:t>個股先有可檢驗的投資論點</w:t>
      </w:r>
    </w:p>
    <w:p>
      <w:pPr>
        <w:widowControl/>
      </w:pPr>
      <w:r>
        <w:t>個股原則上有3至7項核心投資論點，預設5項但不湊數。每項事前定義正常、惡化、失敗的條件，證據來源、持續期間、是否關鍵，以及可否恢復。這些不是跌價以後才補寫的理由，也不是對所有公司硬套「EPS跌20%就是失敗」。</w:t>
      </w:r>
    </w:p>
    <w:p>
      <w:pPr>
        <w:widowControl/>
      </w:pPr>
      <w:r>
        <w:t>公司公告可以證明公司發布了某項財測；不等於能證明監管機關已排除舞弊。法院、公司、基金、監管與一般新聞各自能證明的事實不同，來源名氣或AI信心分數不能取代權責與原文查核。</w:t>
      </w:r>
    </w:p>
    <w:p>
      <w:pPr>
        <w:pStyle w:val="Heading2"/>
      </w:pPr>
      <w:r>
        <w:t>重大結構破壞要多項條件共同成立</w:t>
      </w:r>
    </w:p>
    <w:p>
      <w:pPr>
        <w:widowControl/>
      </w:pPr>
      <w:r>
        <w:t>正式Structural Break需要至少2項獨立重大證據、跨至少2個基本面領域、至少1項事前論點依證據與持續規則確認失效，並完成公司、產業或同業以及可信公告等交叉查驗。未確認前，不能只數FAILED幾項就產生正式減碼上限或賣出結論。Emergency也要符合具名事件與確認規則，傳聞不等於確認。</w:t>
      </w:r>
    </w:p>
    <w:p>
      <w:pPr>
        <w:pStyle w:val="Heading2"/>
      </w:pPr>
      <w:r>
        <w:t>ETF 要看基金存續與成分穿透</w:t>
      </w:r>
    </w:p>
    <w:p>
      <w:pPr>
        <w:widowControl/>
      </w:pPr>
      <w:r>
        <w:t>ETF不直接套個股論點的R1/R2/R3減碼表。它要核對基金法定運作、投資任務是否仍在客戶允許範圍、NAV與申贖功能、終止或永久失格事件，以及成分穿透是否超過原先限制。未知成分不能重新攤回已知成分，假裝查了100%。</w:t>
      </w:r>
    </w:p>
    <w:p>
      <w:pPr>
        <w:pStyle w:val="Heading2"/>
      </w:pPr>
      <w:r>
        <w:t>新聞篇數不等於獨立證據</w:t>
      </w:r>
    </w:p>
    <w:p>
      <w:pPr>
        <w:widowControl/>
      </w:pPr>
      <w:r>
        <w:t>十家網站轉載同一公告，仍可能只有一個原始事實。事件更新應是法律狀態、量值、期間、範圍、論點條件或解除條件真正改變，不是換標題。搜尋失敗不能存成「零風險」；最近沒有新聞也不代表舊事件已解除。</w:t>
      </w:r>
    </w:p>
    <w:p>
      <w:pPr>
        <w:widowControl/>
      </w:pPr>
      <w:r>
        <w:t>v1.0的增量重疊7天與首次一般搜尋365天，是攝取窗口，不是事件失效日期。已知仍有效事件要逐一刷新；只有可追溯的解除條件成立，才能解除原風險狀態。</w:t>
      </w:r>
    </w:p>
    <w:p>
      <w:pPr>
        <w:widowControl/>
        <w:spacing w:before="80"/>
      </w:pPr>
      <w:r>
        <w:rPr>
          <w:color w:val="4A4A4A"/>
          <w:sz w:val="18"/>
        </w:rPr>
        <w:t>依據 [1] CMR5至CMR6；論點與客戶暴露限制是事前必要事實，不能由AI虛構。</w:t>
      </w:r>
    </w:p>
    <w:p>
      <w:bookmarkStart w:id="34" w:name="money"/>
      <w:pPr>
        <w:pStyle w:val="Heading1"/>
        <w:pageBreakBefore/>
      </w:pPr>
      <w:r>
        <w:t>從長期目標走到本輪新增金額</w:t>
      </w:r>
      <w:bookmarkEnd w:id="34"/>
    </w:p>
    <w:p>
      <w:pPr>
        <w:widowControl/>
      </w:pPr>
      <w:r>
        <w:t>最容易造成誤解的，不是指標太多，而是三個不同百分比與金額被寫在一起。讀報告時應依序分開長期標的目標、策略累積部署目標、扣現有曝險後缺口，以及本輪新增建議。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72200" cy="3630706"/>
            <wp:docPr id="3" name="Picture 3" descr="圖3 同一個長期目標 可以有不同累積部署程度 也可以暫時沒有新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e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3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</w:pPr>
      <w:r>
        <w:rPr>
          <w:sz w:val="18"/>
        </w:rPr>
        <w:t>圖3 同一個長期目標 可以有不同累積部署程度 也可以暫時沒有新增</w:t>
      </w:r>
    </w:p>
    <w:p>
      <w:pPr>
        <w:widowControl/>
      </w:pPr>
      <w:r>
        <w:t>圖中10萬元、60%、4萬元與5千元全為教學假設。既有部位若已超過累積目標，缺口可能為負；Stage下降或負缺口本身不自動要求賣出。賣出仍須相應風險或調整規則與家人的選擇。</w:t>
      </w:r>
    </w:p>
    <w:p>
      <w:pPr>
        <w:widowControl/>
      </w:pPr>
      <w:r>
        <w:t>系統定位是建議，不是券商自動下單。理解金額不需要接上IB或其他券商；家人提供的持倉、現金與手動掛單紀錄，可以作為核對依據。</w:t>
      </w:r>
    </w:p>
    <w:p>
      <w:pPr>
        <w:widowControl/>
        <w:spacing w:before="80"/>
      </w:pPr>
      <w:r>
        <w:rPr>
          <w:color w:val="4A4A4A"/>
          <w:sz w:val="18"/>
        </w:rPr>
        <w:t>依據 [1] CMR7.4、CMR8至9；建議模式依家人版使用邊界，不連動券商交易。</w:t>
      </w:r>
    </w:p>
    <w:p>
      <w:bookmarkStart w:id="35" w:name="slices"/>
      <w:pPr>
        <w:pStyle w:val="Heading1"/>
        <w:pageBreakBefore/>
      </w:pPr>
      <w:r>
        <w:t>正常投入速度與每日切片</w:t>
      </w:r>
      <w:bookmarkEnd w:id="35"/>
    </w:p>
    <w:p>
      <w:pPr>
        <w:widowControl/>
      </w:pPr>
      <w:r>
        <w:t>即使目標差2萬元，也不表示今天一次補完。v1.0已核准把「速度」量化成正缺口的每日切片，再加信用、總經與適用估值乘數。這是明確的固定政策，尚未證明優於等額分期或其他策略。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模式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技術未成熟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技術成熟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Base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正缺口的10%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正缺口的20%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Left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正缺口的15%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正缺口的25%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Right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正缺口的25%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正缺口的25%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Trend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正缺口的20%</w:t>
            </w:r>
          </w:p>
        </w:tc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正缺口的20%</w:t>
            </w:r>
          </w:p>
        </w:tc>
      </w:tr>
    </w:tbl>
    <w:p>
      <w:pPr>
        <w:widowControl/>
        <w:spacing w:after="0"/>
      </w:pPr>
      <w:r/>
    </w:p>
    <w:p>
      <w:pPr>
        <w:widowControl/>
      </w:pPr>
      <w:r>
        <w:t>成熟度來自前述8個槽位的至少3項成立。Right與Trend兩欄相同，所以成熟度未知不需要造成無意義的速度未知；Base或Left則不能擅自把未知當作未成熟。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4752"/>
      </w:tblGrid>
      <w:tr>
        <w:trPr>
          <w:cantSplit/>
          <w:tblHeader/>
        </w:trPr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條件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速度作用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信用Level0／Level1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乘1／乘0.75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Level2且合法核心慢速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乘0.5；其他禁止新增條件仍優先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正式宏觀壓力成立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乘0.75；沒有壓力乘1</w:t>
            </w:r>
          </w:p>
        </w:tc>
      </w:tr>
      <w:tr>
        <w:trPr>
          <w:cantSplit/>
        </w:trPr>
        <w:tc>
          <w:tcPr>
            <w:tcW w:type="dxa" w:w="518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Base或Trend適用極端估值旗標成立</w:t>
            </w:r>
          </w:p>
        </w:tc>
        <w:tc>
          <w:tcPr>
            <w:tcW w:type="dxa" w:w="475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乘0.5；不是單憑旗標全面禁買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金額教學例</w:t>
      </w:r>
    </w:p>
    <w:p>
      <w:pPr>
        <w:widowControl/>
      </w:pPr>
      <w:r>
        <w:t>假設Left已成熟、正缺口20,000元、信用Level1、宏觀壓力成立，且其餘依賴與新增資格合法：當日初始切片為20,000×25%×0.75×0.75＝2,812.50元，之後仍受現金與總額度等上限。這不是任何家人的真實建議。</w:t>
      </w:r>
    </w:p>
    <w:p>
      <w:pPr>
        <w:pStyle w:val="Heading2"/>
      </w:pPr>
      <w:r>
        <w:t>重跑不應變成重複加碼</w:t>
      </w:r>
    </w:p>
    <w:p>
      <w:pPr>
        <w:widowControl/>
      </w:pPr>
      <w:r>
        <w:t>每日切片以同一資產、交易日與版本建立週期。假設初始缺口100、切片25，已完成10且無其他承諾，剩餘是15，不是重新用剩下90再算25%。同日再跑不能重置額度；條件轉弱可降額，轉強不能自行突破原日額度。</w:t>
      </w:r>
    </w:p>
    <w:p>
      <w:pPr>
        <w:widowControl/>
      </w:pPr>
      <w:r>
        <w:t>Trend另有避免追單日極端大陽線與入場結構的明確條件。它限制本輪新增時機，不應把已成立的模式、階段或缺口全部改成零。</w:t>
      </w:r>
    </w:p>
    <w:p>
      <w:pPr>
        <w:widowControl/>
        <w:spacing w:before="80"/>
      </w:pPr>
      <w:r>
        <w:rPr>
          <w:color w:val="4A4A4A"/>
          <w:sz w:val="18"/>
        </w:rPr>
        <w:t>依據 [1] CMR8。切片為建議計畫控制，不表示存在自動券商意圖或送單。</w:t>
      </w:r>
    </w:p>
    <w:p>
      <w:bookmarkStart w:id="36" w:name="reconcile"/>
      <w:pPr>
        <w:pStyle w:val="Heading1"/>
        <w:pageBreakBefore/>
      </w:pPr>
      <w:r>
        <w:t>持倉 掛單 現金與共同額度</w:t>
      </w:r>
      <w:bookmarkEnd w:id="36"/>
    </w:p>
    <w:p>
      <w:pPr>
        <w:pStyle w:val="Heading2"/>
      </w:pPr>
      <w:r>
        <w:t>先算曝險 再算缺口</w:t>
      </w:r>
    </w:p>
    <w:p>
      <w:pPr>
        <w:spacing w:before="80" w:after="200" w:line="240" w:lineRule="auto"/>
      </w:pPr>
      <m:oMath>
        <m:r>
          <m:t>Target = ProjectTarget × LadderRate</m:t>
        </m:r>
      </m:oMath>
    </w:p>
    <w:p>
      <w:pPr>
        <w:spacing w:before="80" w:after="200" w:line="240" w:lineRule="auto"/>
      </w:pPr>
      <m:oMath>
        <m:r>
          <m:t>Projected = Confirmed + ActiveBuy − ActiveSell</m:t>
        </m:r>
      </m:oMath>
    </w:p>
    <w:p>
      <w:pPr>
        <w:spacing w:before="80" w:after="200" w:line="240" w:lineRule="auto"/>
      </w:pPr>
      <m:oMath>
        <m:r>
          <m:t>FinalGap = Target − Projected</m:t>
        </m:r>
      </m:oMath>
    </w:p>
    <w:p>
      <w:pPr>
        <w:widowControl/>
      </w:pPr>
      <w:r>
        <w:t>Target是累積目標，ProjectTarget是長期目標，LadderRate是階段比例。Projected是預計曝險；Confirmed、ActiveBuy、ActiveSell依序為已持倉、有效未成交買單與賣單曝險。</w:t>
      </w:r>
    </w:p>
    <w:p>
      <w:pPr>
        <w:widowControl/>
      </w:pPr>
      <w:r>
        <w:t>持倉與有效掛單曝險使用同一輪、同一幣別、同一估值價格，避免因買單工作價不同而扭曲部位比較。掛單的實際工作價則用於資金預留，是另一個目的。已提出取消但未確認取消的部分，不能假裝消失。</w:t>
      </w:r>
    </w:p>
    <w:p>
      <w:pPr>
        <w:pStyle w:val="Heading2"/>
      </w:pPr>
      <w:r>
        <w:t>只提供建議 也值得知道自己已有沒有掛單</w:t>
      </w:r>
    </w:p>
    <w:p>
      <w:pPr>
        <w:widowControl/>
      </w:pPr>
      <w:r>
        <w:t>這不要求串接券商。家人可提供自己手動下的買賣掛單：代碼、方向、未成交數量、狀態與時間；確認沒有掛單也可以明確記錄。若尚未提供，仍可先算「只扣已持倉、尚未扣掛單的缺口」，不能把整份有用分析都卡住。</w:t>
      </w:r>
    </w:p>
    <w:p>
      <w:pPr>
        <w:widowControl/>
      </w:pPr>
      <w:r>
        <w:t>但這個持倉缺口不能冒稱已完成掛單扣除的淨缺口，更不能反覆建議同一筆資金。後續建議金額應註明假設，或等家人補上影響金額的資訊；不必用實盤整合當作取得建議的前提。</w:t>
      </w:r>
    </w:p>
    <w:p>
      <w:pPr>
        <w:pStyle w:val="Heading2"/>
      </w:pPr>
      <w:r>
        <w:t>有目標 有額度 有現金 是三件事</w:t>
      </w:r>
    </w:p>
    <w:p>
      <w:pPr>
        <w:widowControl/>
      </w:pPr>
      <w:r>
        <w:t>V70股票總額度是天花板，不是新增一筆錢。每檔都合格，也不能各自把同一筆現金用一次。v1.0在沒有其他已批准優先序時，先按資金桶可用現金比例縮減，再按共享戰術剩餘額度縮減，最後依交易單位與費用向下處理。</w:t>
      </w:r>
    </w:p>
    <w:p>
      <w:pPr>
        <w:widowControl/>
      </w:pPr>
      <w:r>
        <w:t>券商或本人提供的可用現金若已扣預留，不能再扣一次掛單；若是總現金，才依可信預留資料扣除。新臺幣與美元不能裸數相加；報告換算匯率不會讓帳戶真的換匯。</w:t>
      </w:r>
    </w:p>
    <w:p>
      <w:pPr>
        <w:widowControl/>
      </w:pPr>
      <w:r>
        <w:t>SGOV待部署邏輯桶、真實SGOV持倉、可交易現金與正式債券配置也不能混成同一欄。尚未部署的額度不授權賣SGOV、賣其他資產或自動換匯。</w:t>
      </w:r>
    </w:p>
    <w:p>
      <w:pPr>
        <w:widowControl/>
        <w:spacing w:before="80"/>
      </w:pPr>
      <w:r>
        <w:rPr>
          <w:color w:val="4A4A4A"/>
          <w:sz w:val="18"/>
        </w:rPr>
        <w:t>依據 [1] CMR8至9；僅持倉缺口與掛單調整後缺口分別標示，符合建議而非自動交易定位。</w:t>
      </w:r>
    </w:p>
    <w:p>
      <w:bookmarkStart w:id="37" w:name="mou"/>
      <w:pPr>
        <w:pStyle w:val="Heading1"/>
        <w:pageBreakBefore/>
      </w:pPr>
      <w:r>
        <w:t>MOU 的兩次回報怎麼讀</w:t>
      </w:r>
      <w:bookmarkEnd w:id="37"/>
    </w:p>
    <w:p>
      <w:pPr>
        <w:widowControl/>
      </w:pPr>
      <w:r>
        <w:t>這是專案回報的閱讀案例，不是本書重新產生的即時建議。2026年10月28日較早的使用者轉貼回報中，VT為NORMAL估值、Right Confirmation、S8累積率95%，長期目標NT$242,730。來源是該次回報，不能延用成之後每輪的固定結論。</w:t>
      </w:r>
    </w:p>
    <w:p>
      <w:pPr>
        <w:spacing w:before="80" w:after="200" w:line="240" w:lineRule="auto"/>
      </w:pPr>
      <m:oMath>
        <m:r>
          <m:t>242,730 × 95% = NT$230,593.50</m:t>
        </m:r>
      </m:oMath>
    </w:p>
    <w:p>
      <w:pPr>
        <w:widowControl/>
      </w:pPr>
      <w:r>
        <w:t>NT$230,593.50是該次VT累積目標，既不是新增買單，也不是家庭資產的95%。即使這個數字已知，仍要扣目前持倉和有效掛單，並受今日切片、可用資金及共同額度限制。</w:t>
      </w:r>
    </w:p>
    <w:p>
      <w:pPr>
        <w:pStyle w:val="Heading2"/>
      </w:pPr>
      <w:r>
        <w:t>較新的回報補了什麼</w:t>
      </w:r>
    </w:p>
    <w:p>
      <w:pPr>
        <w:widowControl/>
      </w:pPr>
      <w:r>
        <w:t>同日使用者轉貼的commit 87a4228進度回報，指出MOU長期股債80/20已重算，戰術股票69.9%、債券17.5%、等待資金12.6%；股票總預算NT$585,063，採10月27日央行收盤匯率32.452換算，約USD18,028.57。</w:t>
      </w:r>
    </w:p>
    <w:p>
      <w:pPr>
        <w:widowControl/>
      </w:pPr>
      <w:r>
        <w:t>80/20是長期基準；69.9/17.5/12.6是該輪戰術結果。依原V70程式，若等待比例為12.6%、戰術偏移T=0，可部署部分為87.4%；股票87.4%×80%=69.92%，依程式顯示為69.9%；債券為87.4%−69.9%=17.5%。這解釋兩組比例為何不矛盾，不代表本書已重新驗證當輪12.6%的全部上游資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6192"/>
      </w:tblGrid>
      <w:tr>
        <w:trPr>
          <w:cantSplit/>
          <w:tblHeader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該輪回報的VT數字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算術關係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累積目標換算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230,593.50 ÷ 32.452 ≈ USD7,105.6792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27股與報價157.690002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27 × 157.690002 ≈ USD4,257.6301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只扣持倉後缺口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7,105.6792 − 4,257.6301 ≈ USD2,848.05</w:t>
            </w:r>
          </w:p>
        </w:tc>
      </w:tr>
    </w:tbl>
    <w:p>
      <w:pPr>
        <w:widowControl/>
        <w:spacing w:after="0"/>
      </w:pPr>
      <w:r/>
    </w:p>
    <w:p>
      <w:pPr>
        <w:widowControl/>
      </w:pPr>
      <w:r>
        <w:t>以上換算已核對算術；報價、持股、匯率來源與本輪實跑結果未由本書重新取證。USD2,848.05明確尚未扣有效掛單，不能叫已完成掛單對帳的Final Gap，也不代表建議今天全額買進。</w:t>
      </w:r>
    </w:p>
    <w:p>
      <w:pPr>
        <w:widowControl/>
      </w:pPr>
      <w:r>
        <w:t>後續commit 2626ba0回報已完成建議報告，仍將掛單扣除後淨額列待補；「本輪新增外部投入0」也與帳戶已有現金分開。資料缺口不妨礙交付有標籤的分析，但不能把毛缺口稱為已對帳淨額。</w:t>
      </w:r>
    </w:p>
    <w:p>
      <w:pPr>
        <w:widowControl/>
        <w:spacing w:before="80"/>
      </w:pPr>
      <w:r>
        <w:rPr>
          <w:color w:val="4A4A4A"/>
          <w:sz w:val="18"/>
        </w:rPr>
        <w:t>依據 [2] 原V70算式；[5] 2026年10月28日使用者轉貼VT報告與87a4228、2626ba0進度。算術核對不等於行情或全系統驗收。</w:t>
      </w:r>
    </w:p>
    <w:p>
      <w:bookmarkStart w:id="38" w:name="arthur"/>
      <w:pPr>
        <w:pStyle w:val="Heading1"/>
        <w:pageBreakBefore/>
      </w:pPr>
      <w:r>
        <w:t>Arthur 同時看集中風險與投入節奏</w:t>
      </w:r>
      <w:bookmarkEnd w:id="38"/>
    </w:p>
    <w:p>
      <w:pPr>
        <w:widowControl/>
      </w:pPr>
      <w:r>
        <w:t>Arthur的確認資料記錄：聯發科2454共25股，每股買進成本NT$3,995，另有已確認可投資現金NT$50,000；長期股票／債券目標80%／20%。較早訪談日期為2026年10月25日，後續確認值優先於初估。</w:t>
      </w:r>
    </w:p>
    <w:p>
      <w:pPr>
        <w:pStyle w:val="Heading2"/>
      </w:pPr>
      <w:r>
        <w:t>先把事實算對</w:t>
      </w:r>
    </w:p>
    <w:p>
      <w:pPr>
        <w:spacing w:before="80" w:after="200" w:line="240" w:lineRule="auto"/>
      </w:pPr>
      <m:oMath>
        <m:r>
          <m:t>25 × 3,995 = NT$99,875</m:t>
        </m:r>
      </m:oMath>
    </w:p>
    <w:p>
      <w:pPr>
        <w:widowControl/>
      </w:pPr>
      <w:r>
        <w:t>這是未計費用的歷史成本，不是今天的市值；不能把股票固定當十萬元，再用現金五萬元推算一個假精確的當前權重。今天持股價值應用有日期的有效報價計算，並保留幣別與費用口徑。</w:t>
      </w:r>
    </w:p>
    <w:p>
      <w:pPr>
        <w:pStyle w:val="Heading2"/>
      </w:pPr>
      <w:r>
        <w:t>Loop 1 要回答的是整體方向</w:t>
      </w:r>
    </w:p>
    <w:p>
      <w:pPr>
        <w:widowControl/>
      </w:pPr>
      <w:r>
        <w:t>持有一家公司，和持有分散的股票ETF，會承擔不同集中風險。80/20只說股票與債券大類，沒有自動決定股票部分全部留在2454、改買哪檔ETF或如何分散。若需要新提案，應明確比較既有部位、偏好、用錢時間與配置方案，不能說「有五萬元就全部買股票」。</w:t>
      </w:r>
    </w:p>
    <w:p>
      <w:pPr>
        <w:pStyle w:val="Heading2"/>
      </w:pPr>
      <w:r>
        <w:t>Loop 2 要回答的是這檔現在怎麼處理</w:t>
      </w:r>
    </w:p>
    <w:p>
      <w:pPr>
        <w:widowControl/>
      </w:pPr>
      <w:r>
        <w:t>2454是個股，應以經核實的主類別及產業subtype選估值方法，並有自己的財務、公司行動、事件與事前投資論點。不能把半導體ETF的平均估值、另一家公司的盈餘或某個指數價格當作2454自身資料。</w:t>
      </w:r>
    </w:p>
    <w:p>
      <w:pPr>
        <w:widowControl/>
      </w:pPr>
      <w:r>
        <w:t>即使它看起來比自己歷史便宜，新增仍需長期持有論點與安全條件。即使本輪不新增，也不等於已判定要賣原有25股；更不能用未知資料把這25股從持倉紀錄消掉。</w:t>
      </w:r>
    </w:p>
    <w:p>
      <w:pPr>
        <w:pStyle w:val="Heading2"/>
      </w:pPr>
      <w:r>
        <w:t>家人最有用的追問</w:t>
      </w:r>
    </w:p>
    <w:p>
      <w:pPr>
        <w:widowControl/>
      </w:pPr>
      <w:r>
        <w:t>「請先保留已確認的25股與五萬元現金，分清成本與市值；用我正式80/20方向檢視集中風險，再說明2454自己的估值與基本面證據。若要提出新配置，請和目前Final Target分開。」</w:t>
      </w:r>
    </w:p>
    <w:p>
      <w:pPr>
        <w:widowControl/>
      </w:pPr>
      <w:r>
        <w:t>這個案例沒有宣稱Arthur已完成某一筆新買進，也沒有替他設定未確認的個股目標或風險承受程度。</w:t>
      </w:r>
    </w:p>
    <w:p>
      <w:pPr>
        <w:widowControl/>
        <w:spacing w:before="80"/>
      </w:pPr>
      <w:r>
        <w:rPr>
          <w:color w:val="4A4A4A"/>
          <w:sz w:val="18"/>
        </w:rPr>
        <w:t>依據 [6] Arthur 2026年10月25日訪談及後續使用者確認；個股方法依[1] PV4.10至11與CMR6。</w:t>
      </w:r>
    </w:p>
    <w:p>
      <w:bookmarkStart w:id="39" w:name="lilian"/>
      <w:pPr>
        <w:pStyle w:val="Heading1"/>
        <w:pageBreakBefore/>
      </w:pPr>
      <w:r>
        <w:t>Lilian 區分配置差距與今日建議</w:t>
      </w:r>
      <w:bookmarkEnd w:id="39"/>
    </w:p>
    <w:p>
      <w:pPr>
        <w:widowControl/>
      </w:pPr>
      <w:r>
        <w:t>Lilian的2026年10月27日摘要中，ETF金額於10月25日確認、現金於10月26日確認，原估值日未提供。這組歷史值可用來示範資料與目標比較，不能當成今天同一時間的市值。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600"/>
        <w:gridCol w:w="3024"/>
      </w:tblGrid>
      <w:tr>
        <w:trPr>
          <w:cantSplit/>
          <w:tblHeader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項目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歷史已確認金額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V3長期比例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0050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NT$700,000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50%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VOO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NT$100,000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25%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VEA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NT$0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BNDW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NT$50,000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新臺幣現金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NT$100,000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5%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合計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NT$950,000</w:t>
            </w:r>
          </w:p>
        </w:tc>
        <w:tc>
          <w:tcPr>
            <w:tcW w:type="dxa" w:w="30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100%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可以算的 與不能直接做的</w:t>
      </w:r>
    </w:p>
    <w:p>
      <w:pPr>
        <w:widowControl/>
      </w:pPr>
      <w:r>
        <w:t>若為教學固定總額950,000元，0050長期金額475,000元，與歷史持有金額700,000元差225,000元；VEA長期金額95,000元，歷史申報為0。這些是配置差距的算術，不是建議立即賣225,000元0050或買95,000元VEA。</w:t>
      </w:r>
    </w:p>
    <w:p>
      <w:pPr>
        <w:widowControl/>
      </w:pPr>
      <w:r>
        <w:t>實際今日建議還要更新數量、報價與資料日，確認目標金額政策，再由股票端逐檔判斷模式與部署程度。VEA當時為0，不代表之後仍為0；0050超過長期比例，也不會繞過家人對既有部位的偏好、調整規則與成本考量。</w:t>
      </w:r>
    </w:p>
    <w:p>
      <w:pPr>
        <w:pStyle w:val="Heading2"/>
      </w:pPr>
      <w:r>
        <w:t>債券與現金不能用股票九階硬套</w:t>
      </w:r>
    </w:p>
    <w:p>
      <w:pPr>
        <w:widowControl/>
      </w:pPr>
      <w:r>
        <w:t>BNDW的長期10%屬債券配置，應進V75相應信用、久期與產品資料評估，不把V82股票S8的95%機械套入。現金5%是目標配置角色，也不是凡超過5%的銀行存款都立即拿去買。</w:t>
      </w:r>
    </w:p>
    <w:p>
      <w:pPr>
        <w:pStyle w:val="Heading2"/>
      </w:pPr>
      <w:r>
        <w:t>為什麼股數仍重要</w:t>
      </w:r>
    </w:p>
    <w:p>
      <w:pPr>
        <w:widowControl/>
      </w:pPr>
      <w:r>
        <w:t>原摘要待補股數、成本及券商明細，不能反推一個貌似精確的持股數。沒有股數時可以做歷史配置說明；若要用今日價格重估或扣未成交單，就需要相應事實。這是分層完成工作，不是把全部分析一概變成等待。</w:t>
      </w:r>
    </w:p>
    <w:p>
      <w:pPr>
        <w:widowControl/>
        <w:spacing w:before="80"/>
      </w:pPr>
      <w:r>
        <w:rPr>
          <w:color w:val="4A4A4A"/>
          <w:sz w:val="18"/>
        </w:rPr>
        <w:t>依據 [7] Lilian資料摘要2026年10月27日；固定95萬元的差額為教學演算，不是當日系統建議。</w:t>
      </w:r>
    </w:p>
    <w:p>
      <w:bookmarkStart w:id="40" w:name="run"/>
      <w:pPr>
        <w:pStyle w:val="Heading1"/>
        <w:pageBreakBefore/>
      </w:pPr>
      <w:r>
        <w:t>一次完整分析應如何走完</w:t>
      </w:r>
      <w:bookmarkEnd w:id="40"/>
    </w:p>
    <w:p>
      <w:pPr>
        <w:pStyle w:val="Heading2"/>
      </w:pPr>
      <w:r>
        <w:t>先確認這一輪的問題</w:t>
      </w:r>
    </w:p>
    <w:p>
      <w:pPr>
        <w:widowControl/>
      </w:pPr>
      <w:r>
        <w:t>只是查看既有資料，不必重跑所有市場分析；要求最新投入建議，才需要相應資料更新。若家人剛有匯款、成交、提款或用錢需求改變，先辨識是現況事實還是未來計畫，避免一筆預定資金提前計入可用現金。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步驟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應保留下來的結果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讀取正式狀態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本人資料 Final Target版本 持倉 現金及已知掛單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取得必要事實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行情 估值 總經 事件 各自日期與來源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鎖定本輪快照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同輪身份 時間 規則與程式版本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運行相應引擎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V70共同環境 股票V82 債券V75 各自結果與理由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核對金額邊界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長期目標 累積目標 持倉缺口 掛單調整 現金與額度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產生Mentor說明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結論 原因 已知與未知 下一個可能改變結論的條件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保存並讀回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報告與狀態版本 不把建議自動寫成成交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同一份報告應容許不同完成程度</w:t>
      </w:r>
    </w:p>
    <w:p>
      <w:pPr>
        <w:widowControl/>
      </w:pPr>
      <w:r>
        <w:t>一檔估值已知、技術已知，但掛單尚未核對，可以先交付分析與未扣掛單缺口；另一檔必要安全事實不足，則不能給正向新增資格。不同原因分開列，才知道下一步是補資料、修接線、處理來源衝突，還是市場條件確實不成立。</w:t>
      </w:r>
    </w:p>
    <w:p>
      <w:pPr>
        <w:pStyle w:val="Heading2"/>
      </w:pPr>
      <w:r>
        <w:t>完成後由家人自己決定</w:t>
      </w:r>
    </w:p>
    <w:p>
      <w:pPr>
        <w:widowControl/>
      </w:pPr>
      <w:r>
        <w:t>系統提供建議，不接IB實盤代客交易，也不因白皮書核准而取得送單、撤單或換匯權。家人若自行成交，再依真實成交或庫存更新紀錄；沒有成交就不改成已持有。</w:t>
      </w:r>
    </w:p>
    <w:p>
      <w:pPr>
        <w:widowControl/>
      </w:pPr>
      <w:r>
        <w:t>下一次分析從已保存狀態接續，不靠模型「記得上次大概買了多少」。若新資料改變結論，應指出是目標版本、行情、風險事實、現金或掛單哪一項改變。</w:t>
      </w:r>
    </w:p>
    <w:p>
      <w:pPr>
        <w:widowControl/>
        <w:spacing w:before="80"/>
      </w:pPr>
      <w:r>
        <w:rPr>
          <w:color w:val="4A4A4A"/>
          <w:sz w:val="18"/>
        </w:rPr>
        <w:t>依據 [1] §1.4、CMR10；[3] 家人版04與跨引擎回傳流程；操作入口另見使用手冊。</w:t>
      </w:r>
    </w:p>
    <w:p>
      <w:bookmarkStart w:id="41" w:name="rationale"/>
      <w:pPr>
        <w:pStyle w:val="Heading1"/>
        <w:pageBreakBefore/>
      </w:pPr>
      <w:r>
        <w:t>規則為什麼這樣選</w:t>
      </w:r>
      <w:bookmarkEnd w:id="41"/>
    </w:p>
    <w:p>
      <w:pPr>
        <w:widowControl/>
      </w:pPr>
      <w:r>
        <w:t>有一套清楚規則，不代表每個數字都由自然定律推導。理解規則來歷，是判斷可信度的重要部分：哪些是原有正式政策，哪些是新核准設計，哪些只是仍要被檢驗的假說。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744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設計選擇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理由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不能因此宣稱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共用引擎 加類別 加自身事實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保留一致程序 同時避免所有資產一把尺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所有類別有相同風險或報酬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自身歷史qP與qV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不拿同一原始跌幅或PE跨類硬比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歷史尺度已證明能預測反彈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共同75／90／97.5與60／40／20切點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減少自由參數 讓規則可測可重播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這些是科學最優點或已逐類校準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價格與估值深度分開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跌得多不必然便宜 便宜不必然安全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雙軸可以消除所有價值陷阱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技術主要確認與調速度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把目標與補足節奏分離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成熟訊號保證最低點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資金最後再限制</w:t>
            </w:r>
          </w:p>
        </w:tc>
        <w:tc>
          <w:tcPr>
            <w:tcW w:type="dxa" w:w="360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避免有錢就提高Stage 或多檔重複用錢</w:t>
            </w:r>
          </w:p>
        </w:tc>
        <w:tc>
          <w:tcPr>
            <w:tcW w:type="dxa" w:w="37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上限就是應該今天全花的金額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原有規則與新核准規則都要如實歸屬</w:t>
      </w:r>
    </w:p>
    <w:p>
      <w:pPr>
        <w:widowControl/>
      </w:pPr>
      <w:r>
        <w:t>九階比例與主要模式角色來自既有正式V82。十一類共同價格估值映射、若干技術精確化、信用操作化、Trend估值約束、每日切片與跨資產比例分配等，是v1.0已核准補充。它們可以直接實作，不需要同一批規則重新逐項請准；但不能倒寫成早已存在或早已實證成功。</w:t>
      </w:r>
    </w:p>
    <w:p>
      <w:pPr>
        <w:widowControl/>
      </w:pPr>
      <w:r>
        <w:t>外部資料方法可支持分類、總報酬或回測風險的原理，不能替本系統特定買點背書。例如官方產業分類支持分類鍵，不證明某個估值Waterfall最有效；過度擬合研究提醒多次試驗的風險，也沒有驗證本系統的75或90門檻。</w:t>
      </w:r>
    </w:p>
    <w:p>
      <w:pPr>
        <w:widowControl/>
        <w:spacing w:before="80"/>
      </w:pPr>
      <w:r>
        <w:rPr>
          <w:color w:val="4A4A4A"/>
          <w:sz w:val="18"/>
        </w:rPr>
        <w:t>依據 [1] PV1、PV4A、CMR1、VAL1至7與第9章。</w:t>
      </w:r>
    </w:p>
    <w:p>
      <w:bookmarkStart w:id="42" w:name="status"/>
      <w:pPr>
        <w:pStyle w:val="Heading1"/>
        <w:pageBreakBefore/>
      </w:pPr>
      <w:r>
        <w:t>已批准 已實作 已驗證要分開</w:t>
      </w:r>
      <w:bookmarkEnd w:id="42"/>
    </w:p>
    <w:p>
      <w:pPr>
        <w:widowControl/>
      </w:pPr>
      <w:r>
        <w:t>本書以2026年10月28日可追溯資料為界。進度會持續變動，因此把批准、程式、真實資料與投資成效分開，避免把舊限制寫成永久狀態，也避免把一輪成功當成全系統完成。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層次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本版可以確認的範圍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規則採用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V82三層規格v1.0已核准實作；同一批新增定義不是待批准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局部工程證據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封包保留選階10項 獨立選階9項 技術數值35項單元方法及其限定重跑紀錄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整合驗證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規格封包列出的全域68例 技術事件與模式風險完整案例 不能因上述單元測試而統稱PASS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家人版最新進度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使用者轉貼2626ba0回報建議報告COMPLETE Joseph10檔 MOU16檔 含判斷 比例 金額或缺口與Mentor；41項相關檢查通過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仍需區分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當時未有CI執行紀錄 掛單扣除後淨額待補；建議報告完成不是全系統或全部規格驗收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投資效力</w:t>
            </w:r>
          </w:p>
        </w:tc>
        <w:tc>
          <w:tcPr>
            <w:tcW w:type="dxa" w:w="756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未取得完整真實PIT重播與樣本外結果 不能宣稱策略優於基準或可保證獲利</w:t>
            </w:r>
          </w:p>
        </w:tc>
      </w:tr>
    </w:tbl>
    <w:p>
      <w:pPr>
        <w:widowControl/>
        <w:spacing w:after="0"/>
      </w:pPr>
      <w:r/>
    </w:p>
    <w:p>
      <w:pPr>
        <w:pStyle w:val="Heading2"/>
      </w:pPr>
      <w:r>
        <w:t>主線與工作分支不是同一件事</w:t>
      </w:r>
    </w:p>
    <w:p>
      <w:pPr>
        <w:widowControl/>
      </w:pPr>
      <w:r>
        <w:t>規格發布到GitHub主線，證明版本已保存，不自動證明所有正式引擎已消費新規則。PR59工作分支的提交與實跑回報，應連同commit、測試範圍與合併狀態閱讀。較新2626ba0的建議報告完成，應取代較早「尚未產生Mentor」的描述；不能把舊38cc267缺口原封不動套到新版本。</w:t>
      </w:r>
    </w:p>
    <w:p>
      <w:pPr>
        <w:pStyle w:val="Heading2"/>
      </w:pPr>
      <w:r>
        <w:t>讀懂進度而不是被狀態名嚇住</w:t>
      </w:r>
    </w:p>
    <w:p>
      <w:pPr>
        <w:widowControl/>
      </w:pPr>
      <w:r>
        <w:t>已核准回答「照哪套規則做」；測試回答「這段程式在這些輸入有沒有符合規格」；真實資料重播回答「來源與時間能不能還原」；績效研究回答「在固定假設下歷史效果如何」。其中一項完成，不替其他項作答。</w:t>
      </w:r>
    </w:p>
    <w:p>
      <w:pPr>
        <w:widowControl/>
      </w:pPr>
      <w:r>
        <w:t>系統只提供建議；不需要為了稱作有用分析而啟用實盤交易。完整的建議驗收應證明來源、邏輯、金額與文字一致，而不是以是否連上券商作唯一標準。</w:t>
      </w:r>
    </w:p>
    <w:p>
      <w:pPr>
        <w:widowControl/>
        <w:spacing w:before="80"/>
      </w:pPr>
      <w:r>
        <w:rPr>
          <w:color w:val="4A4A4A"/>
          <w:sz w:val="18"/>
        </w:rPr>
        <w:t>依據 [1] 第6至8章與v1.0 config；[5] 最新2626ba0使用者轉貼回報。報告完成狀態不是本書重跑程式或全系統驗收的宣稱。</w:t>
      </w:r>
    </w:p>
    <w:p>
      <w:bookmarkStart w:id="43" w:name="risks"/>
      <w:pPr>
        <w:pStyle w:val="Heading1"/>
        <w:pageBreakBefore/>
      </w:pPr>
      <w:r>
        <w:t>真正需要防範的失真與風險</w:t>
      </w:r>
      <w:bookmarkEnd w:id="43"/>
    </w:p>
    <w:p>
      <w:pPr>
        <w:pStyle w:val="Heading2"/>
      </w:pPr>
      <w:r>
        <w:t>資料風險不只是少一個數字</w:t>
      </w:r>
    </w:p>
    <w:p>
      <w:pPr>
        <w:widowControl/>
      </w:pPr>
      <w:r>
        <w:t>可能有公司行動漏記、除息重複計算、指標單位錯置、估值方法改版、混用時區或把今天修訂值倒灌過去。這些錯誤會產生非常精確但不真實的結果。防護重點是來源、版本、單位與時間，不是把小數位顯示得更多。</w:t>
      </w:r>
    </w:p>
    <w:p>
      <w:pPr>
        <w:pStyle w:val="Heading2"/>
      </w:pPr>
      <w:r>
        <w:t>模型風險不會因規則透明而消失</w:t>
      </w:r>
    </w:p>
    <w:p>
      <w:pPr>
        <w:widowControl/>
      </w:pPr>
      <w:r>
        <w:t>共同分位門檻可能在某一制度有用、另一制度失效。高估值可以維持很久，低估值可能反映永久損害；技術確認可能遲到，分批投入可能落後一路上漲的市場。規則把選擇說清楚，但不能消除市場不確定性。</w:t>
      </w:r>
    </w:p>
    <w:p>
      <w:pPr>
        <w:pStyle w:val="Heading2"/>
      </w:pPr>
      <w:r>
        <w:t>回測容易被做得太好看</w:t>
      </w:r>
    </w:p>
    <w:p>
      <w:pPr>
        <w:widowControl/>
      </w:pPr>
      <w:r>
        <w:t>如果反覆改參數，只留下最佳結果，或只選存活基金、忽略失敗個股，結果可能過度擬合。訊號用當天收盤算出，卻假裝同一收盤已成交，也是前視偏差。驗證應凍結規則與資料版本，保留失敗試驗、交易限制、費用、價差、滑價及匯率，按時間切分樣本外。</w:t>
      </w:r>
    </w:p>
    <w:p>
      <w:pPr>
        <w:pStyle w:val="Heading2"/>
      </w:pPr>
      <w:r>
        <w:t>不要只問賺多少</w:t>
      </w:r>
    </w:p>
    <w:p>
      <w:pPr>
        <w:widowControl/>
      </w:pPr>
      <w:r>
        <w:t>公平比較需相同起始資產、外部資金流與長期目標，也要看最大回撤、換手、費用、目標偏離、等待太久的機會成本、尾部風險與不能產生完整建議的比例。評估完成不等於表現良好，表現良好也不等於未來保證。</w:t>
      </w:r>
    </w:p>
    <w:p>
      <w:pPr>
        <w:pStyle w:val="Heading2"/>
      </w:pPr>
      <w:r>
        <w:t>過度信任文字與自動化也是風險</w:t>
      </w:r>
    </w:p>
    <w:p>
      <w:pPr>
        <w:widowControl/>
      </w:pPr>
      <w:r>
        <w:t>Mentor應說明已計算的事實與限制，不能用肯定語氣把未知包裝成確定。家人仍應能看到這次建議是否沿用舊持倉、是否包含掛單、是否只是條件式試算。沒有外部新增資金，不能被誤寫成帳戶現金為零。</w:t>
      </w:r>
    </w:p>
    <w:p>
      <w:pPr>
        <w:widowControl/>
      </w:pPr>
      <w:r>
        <w:t>若必要資料缺失，提供局部答案和具體缺件；若市場條件明確不成立，就說明不成立；若程式尚未接好，應修復接線。三種問題需要不同處理，不能全部用一句「再觀察」帶過。</w:t>
      </w:r>
    </w:p>
    <w:p>
      <w:pPr>
        <w:widowControl/>
        <w:spacing w:before="80"/>
      </w:pPr>
      <w:r>
        <w:rPr>
          <w:color w:val="4A4A4A"/>
          <w:sz w:val="18"/>
        </w:rPr>
        <w:t>依據 [1] 第3、6、8章與CMR10。投資可能損失本金，歷史研究不保證未來結果。</w:t>
      </w:r>
    </w:p>
    <w:p>
      <w:bookmarkStart w:id="44" w:name="reading"/>
      <w:pPr>
        <w:pStyle w:val="Heading1"/>
        <w:pageBreakBefore/>
      </w:pPr>
      <w:r>
        <w:t>家人如何判斷一份建議值得採用</w:t>
      </w:r>
      <w:bookmarkEnd w:id="44"/>
    </w:p>
    <w:p>
      <w:pPr>
        <w:widowControl/>
      </w:pPr>
      <w:r>
        <w:t>不需要背熟全部公式。只要能一路追問到資料、規則與金額，就能分辨系統是在有根據地協助，還是只是用專有名詞製造信心。</w:t>
      </w:r>
    </w:p>
    <w:p>
      <w:pPr>
        <w:pStyle w:val="Heading2"/>
      </w:pPr>
      <w:r>
        <w:t>讀報告時依序核對六件事</w:t>
      </w:r>
    </w:p>
    <w:p>
      <w:pPr>
        <w:widowControl/>
        <w:ind w:left="187" w:hanging="187"/>
      </w:pPr>
      <w:r>
        <w:t>• 這是我的資料嗎：持倉 現金 目標版本 與資料日期是否正確。</w:t>
      </w:r>
    </w:p>
    <w:p>
      <w:pPr>
        <w:widowControl/>
        <w:ind w:left="187" w:hanging="187"/>
      </w:pPr>
      <w:r>
        <w:t>• 用的是這一檔的方法嗎：主類別 subtype與主估值是否有來源，沒有借別檔補歷史。</w:t>
      </w:r>
    </w:p>
    <w:p>
      <w:pPr>
        <w:widowControl/>
        <w:ind w:left="187" w:hanging="187"/>
      </w:pPr>
      <w:r>
        <w:t>• 為什麼這個模式與階段：價格 估值 技術 基本面與安全各自怎麼影響，不只給最後標籤。</w:t>
      </w:r>
    </w:p>
    <w:p>
      <w:pPr>
        <w:widowControl/>
        <w:ind w:left="187" w:hanging="187"/>
      </w:pPr>
      <w:r>
        <w:t>• 比例分母是什麼：長期大類比 逐檔目標比 階段累積率與每日切片是否清楚分開。</w:t>
      </w:r>
    </w:p>
    <w:p>
      <w:pPr>
        <w:widowControl/>
        <w:ind w:left="187" w:hanging="187"/>
      </w:pPr>
      <w:r>
        <w:t>• 金額扣了哪些東西：只扣持倉 還是已扣掛單；現金是否可用；有沒有跨標的重複使用。</w:t>
      </w:r>
    </w:p>
    <w:p>
      <w:pPr>
        <w:widowControl/>
        <w:ind w:left="187" w:hanging="187"/>
      </w:pPr>
      <w:r>
        <w:t>• 下一個會改變結論的條件：哪一筆新事實 哪個風險解除 哪個資料或目標變更，而不是空泛地等市場。</w:t>
      </w:r>
    </w:p>
    <w:p>
      <w:pPr>
        <w:pStyle w:val="Heading2"/>
      </w:pPr>
      <w:r>
        <w:t>三種合格的結果</w:t>
      </w:r>
    </w:p>
    <w:p>
      <w:pPr>
        <w:widowControl/>
      </w:pPr>
      <w:r>
        <w:t>可以是有依據的新增建議；可以是有依據的不新增；也可以是可證部分加上具體未知。第三種不是失敗，只要它沒有把缺資料說成市場不安全，也沒有把可用分析全部扣住。</w:t>
      </w:r>
    </w:p>
    <w:p>
      <w:pPr>
        <w:pStyle w:val="Heading2"/>
      </w:pPr>
      <w:r>
        <w:t>什麼情況值得暫停採用並追問</w:t>
      </w:r>
    </w:p>
    <w:p>
      <w:pPr>
        <w:widowControl/>
      </w:pPr>
      <w:r>
        <w:t>若報告忽然換了Final Target、把另一檔資料當本檔、把95%寫成今日買入95%、掛單未查卻稱已扣除、用來源不明的評分宣告安全，或聲稱AI保證獲利，都應先釐清。這些不是投資觀點不同，而是決策程序或表述有問題。</w:t>
      </w:r>
    </w:p>
    <w:p>
      <w:pPr>
        <w:pStyle w:val="Heading2"/>
      </w:pPr>
      <w:r>
        <w:t>這套系統應交付的承諾</w:t>
      </w:r>
    </w:p>
    <w:p>
      <w:pPr>
        <w:widowControl/>
      </w:pPr>
      <w:r>
        <w:t>不是承諾每次都買在低點，而是承諾把同一套已批准規則、相應事實與家人的限制說清楚。目標由家人確認，建議可被追問，未知不被隱藏，成交由真實紀錄確認。信任應來自可核對的過程，以及持續累積的實際驗證。</w:t>
      </w:r>
    </w:p>
    <w:p>
      <w:pPr>
        <w:widowControl/>
        <w:spacing w:before="80"/>
      </w:pPr>
      <w:r>
        <w:rPr>
          <w:color w:val="4A4A4A"/>
          <w:sz w:val="18"/>
        </w:rPr>
        <w:t>依據 [1] CMR10與VAL1；本書為決策理解用途，不構成當日買賣指示。</w:t>
      </w:r>
    </w:p>
    <w:p>
      <w:bookmarkStart w:id="45" w:name="glossary"/>
      <w:pPr>
        <w:pStyle w:val="Heading1"/>
        <w:pageBreakBefore/>
      </w:pPr>
      <w:r>
        <w:t>名詞對照</w:t>
      </w:r>
      <w:bookmarkEnd w:id="4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名詞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FEAF0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>在本系統的意思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Loop 1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評估與確認長期配置的迴圈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Loop 2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在正式目標下判斷部署與投入節奏的迴圈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Current／Proposed／Final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現況／提案／已確認目標 三者不可混寫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Project Target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該標的已確認長期目標 是九階比例的分母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Target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Project Target乘階段累積率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Mode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Base Left Right Trend的正常情境分類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Stage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九階累積部署程度 不是今日新增比例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Final Gap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累積目標減已確認及有效未成交曝險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Permission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是否具備新增資格 不是缺口本身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Waterfall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有固定優先序與適用條件的估值方法選擇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Primary Class／Subtype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唯一主估值類別／保留產業與財務差異的細分類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qV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同資產合法估值的歷史分位 越低相對越便宜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qP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同資產標準化價格壓力的歷史分位 越高壓力越罕見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PIT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只使用當時已可取得的資料與版本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Snapshot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某輪固定時間與版本的資料快照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UNKNOWN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尚不能確定 不等於零 否定 中性或安全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Hard Gate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正式安全限制 不等於任何單一指標偏高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Thesis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事前可檢驗的公司投資論點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Dry Powder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等待部署的資金角色 不等於已持有SGOV或已結算現金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Mentor</w:t>
            </w:r>
          </w:p>
        </w:tc>
        <w:tc>
          <w:tcPr>
            <w:tcW w:type="dxa" w:w="734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8"/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>將統一結果解釋成家人能理解的原因 取捨與下一步</w:t>
            </w:r>
          </w:p>
        </w:tc>
      </w:tr>
    </w:tbl>
    <w:p>
      <w:pPr>
        <w:widowControl/>
        <w:spacing w:after="0"/>
      </w:pPr>
      <w:r/>
    </w:p>
    <w:p>
      <w:bookmarkStart w:id="46" w:name="sources1"/>
      <w:pPr>
        <w:pStyle w:val="Heading1"/>
        <w:pageBreakBefore/>
      </w:pPr>
      <w:r>
        <w:t>來源與版本 一</w:t>
      </w:r>
      <w:bookmarkEnd w:id="46"/>
    </w:p>
    <w:p>
      <w:pPr>
        <w:widowControl/>
      </w:pPr>
      <w:r>
        <w:t>正文的方括號數字對應以下來源。規格與程式是政策或實作證據；家人案例是歷史紀錄。它們各自能支持的範圍不同，不互相替代。</w:t>
      </w:r>
    </w:p>
    <w:p>
      <w:pPr>
        <w:pStyle w:val="Heading2"/>
      </w:pPr>
      <w:r>
        <w:t>1 V82已核准三層實作規格</w:t>
      </w:r>
    </w:p>
    <w:p>
      <w:pPr>
        <w:widowControl/>
      </w:pPr>
      <w:r>
        <w:t>V82 三層量化規則正式實作規格 v1.0，2026年10月28日04:27台灣時間核准，狀態APPROVED_FOR_IMPLEMENTATION。重點：第1章三層與資料流程；PV2至PV4A估值；TECH技術；CMR模式風險速度資金；第6至8章驗證與限制。</w:t>
      </w:r>
    </w:p>
    <w:p>
      <w:pPr>
        <w:widowControl/>
      </w:pPr>
      <w:r/>
      <w:hyperlink r:id="rId14">
        <w:r>
          <w:rPr>
            <w:color w:val="245D6B"/>
          </w:rPr>
          <w:t>開啟正式v1.0文件</w:t>
        </w:r>
      </w:hyperlink>
    </w:p>
    <w:p>
      <w:pPr>
        <w:widowControl/>
      </w:pPr>
      <w:r/>
      <w:hyperlink r:id="rId15">
        <w:r>
          <w:rPr>
            <w:color w:val="245D6B"/>
          </w:rPr>
          <w:t>開啟正式規格封包</w:t>
        </w:r>
      </w:hyperlink>
    </w:p>
    <w:p>
      <w:pPr>
        <w:widowControl/>
      </w:pPr>
      <w:r>
        <w:t>原正式V82主規則為v1.21.0工程77，2026年9月23日；v1.0對明列補充與覆蓋項生效，其餘原規則仍有效。批准不等於真實資料驗證、程式全面接線或投資成效證明。</w:t>
      </w:r>
    </w:p>
    <w:p>
      <w:pPr>
        <w:widowControl/>
      </w:pPr>
      <w:r/>
      <w:hyperlink r:id="rId16">
        <w:r>
          <w:rPr>
            <w:color w:val="245D6B"/>
          </w:rPr>
          <w:t>開啟原正式V82主規則</w:t>
        </w:r>
      </w:hyperlink>
    </w:p>
    <w:p>
      <w:pPr>
        <w:pStyle w:val="Heading2"/>
      </w:pPr>
      <w:r>
        <w:t>2 V70權責與共用環境</w:t>
      </w:r>
    </w:p>
    <w:p>
      <w:pPr>
        <w:widowControl/>
      </w:pPr>
      <w:r>
        <w:t>GitHub正式V70_16白皮書，v3.6.0，2026年9月19日：S0/B0權責、總額度分工、SGOV角色與§14A共用快照。另查commit 87a4228之V70-3-27.html原calcAlloc：消費已核准基準，先扣等待比例，再依戰術偏移算股債總額度；MOU例用此原式說明，不沿用舊V70.2所有數值門檻。</w:t>
      </w:r>
    </w:p>
    <w:p>
      <w:pPr>
        <w:widowControl/>
      </w:pPr>
      <w:r/>
      <w:hyperlink r:id="rId17">
        <w:r>
          <w:rPr>
            <w:color w:val="245D6B"/>
          </w:rPr>
          <w:t>V70正式白皮書</w:t>
        </w:r>
      </w:hyperlink>
    </w:p>
    <w:p>
      <w:pPr>
        <w:widowControl/>
      </w:pPr>
      <w:r/>
      <w:hyperlink r:id="rId18">
        <w:r>
          <w:rPr>
            <w:color w:val="245D6B"/>
          </w:rPr>
          <w:t>V70-3-27原始程式</w:t>
        </w:r>
      </w:hyperlink>
    </w:p>
    <w:p>
      <w:pPr>
        <w:pStyle w:val="Heading2"/>
      </w:pPr>
      <w:r>
        <w:t>3 Loop 1與家人版整合來源</w:t>
      </w:r>
    </w:p>
    <w:p>
      <w:pPr>
        <w:widowControl/>
      </w:pPr>
      <w:r>
        <w:t>C配置決策引擎正式Runtime：work3/engine.py、work4/engine.py、work5/core_engine.py、work6/adjustment_loop.py；家人版menu/03_目標配置調整.md、menu/04_買賣與持倉調整.md；Loop2端到端契約C8C9_Work13_Loop2_E2E.py。採用其Current/Proposed/Final與下游責任邊界，不宣稱已驗證完整自動提案產生器。</w:t>
      </w:r>
    </w:p>
    <w:p>
      <w:pPr>
        <w:widowControl/>
      </w:pPr>
      <w:r/>
      <w:hyperlink r:id="rId19">
        <w:r>
          <w:rPr>
            <w:color w:val="245D6B"/>
          </w:rPr>
          <w:t>C配置決策引擎來源目錄</w:t>
        </w:r>
      </w:hyperlink>
    </w:p>
    <w:p>
      <w:pPr>
        <w:widowControl/>
      </w:pPr>
      <w:r/>
      <w:hyperlink r:id="rId20">
        <w:r>
          <w:rPr>
            <w:color w:val="245D6B"/>
          </w:rPr>
          <w:t>家人版選單與流程</w:t>
        </w:r>
      </w:hyperlink>
    </w:p>
    <w:p>
      <w:bookmarkStart w:id="47" w:name="sources2"/>
      <w:pPr>
        <w:pStyle w:val="Heading1"/>
        <w:pageBreakBefore/>
      </w:pPr>
      <w:r>
        <w:t>來源與版本 二</w:t>
      </w:r>
      <w:bookmarkEnd w:id="47"/>
    </w:p>
    <w:p>
      <w:pPr>
        <w:pStyle w:val="Heading2"/>
      </w:pPr>
      <w:r>
        <w:t>4 V75債券決策實作</w:t>
      </w:r>
    </w:p>
    <w:p>
      <w:pPr>
        <w:widowControl/>
      </w:pPr>
      <w:r>
        <w:t>GitHub 債券V75正式Runtime，V75_Work6_RuntimeReady_2026-09-25/runtime/v75_runtime/work4.py；原始碼blob 020e4097e498b581a640531cab8bfa814d1a8e2e。採用信用類型、久期分組、十訊號、否決與上限、缺口部署及同帳戶比例縮減等已查閱邏輯；不是正式全系統測試的替代。</w:t>
      </w:r>
    </w:p>
    <w:p>
      <w:pPr>
        <w:widowControl/>
      </w:pPr>
      <w:r/>
      <w:hyperlink r:id="rId21">
        <w:r>
          <w:rPr>
            <w:color w:val="245D6B"/>
          </w:rPr>
          <w:t>V75決策原始碼</w:t>
        </w:r>
      </w:hyperlink>
    </w:p>
    <w:p>
      <w:pPr>
        <w:pStyle w:val="Heading2"/>
      </w:pPr>
      <w:r>
        <w:t>5 MOU案例與最新工程進度</w:t>
      </w:r>
    </w:p>
    <w:p>
      <w:pPr>
        <w:widowControl/>
      </w:pPr>
      <w:r>
        <w:t>2026年10月28日使用者轉貼Codex執行報告：較早VT NORMAL／Right／S8／95%／長期NT$242,730；同日commit 87a4228回報80/20重算、戰術69.9/17.5/12.6、股票預算585,063元、匯率32.452與VT只扣持倉缺口2,848.05美元。後續2626ba0回報建議報告COMPLETE：Joseph10檔、MOU16檔、41項相關檢查通過；掛單扣除後淨額待補。來源為對話歷史；本書核對算術，不冒稱重驗行情、資料庫或全部測試。</w:t>
      </w:r>
    </w:p>
    <w:p>
      <w:pPr>
        <w:widowControl/>
      </w:pPr>
      <w:r/>
      <w:hyperlink r:id="rId22">
        <w:r>
          <w:rPr>
            <w:color w:val="245D6B"/>
          </w:rPr>
          <w:t>PR59進度頁 以當頁版本與時間為準</w:t>
        </w:r>
      </w:hyperlink>
    </w:p>
    <w:p>
      <w:pPr>
        <w:pStyle w:val="Heading2"/>
      </w:pPr>
      <w:r>
        <w:t>6 Arthur案例</w:t>
      </w:r>
    </w:p>
    <w:p>
      <w:pPr>
        <w:widowControl/>
      </w:pPr>
      <w:r>
        <w:t>2026年10月25日初次訪談及後續使用者確認。採用後續已確認2454共25股、每股成本3,995元、可投資現金50,000元、長期80/20；不採未確認估值或把成本冒稱市值。</w:t>
      </w:r>
    </w:p>
    <w:p>
      <w:pPr>
        <w:widowControl/>
      </w:pPr>
      <w:r/>
      <w:hyperlink r:id="rId23">
        <w:r>
          <w:rPr>
            <w:color w:val="245D6B"/>
          </w:rPr>
          <w:t>Arthur初次訪談來源</w:t>
        </w:r>
      </w:hyperlink>
    </w:p>
    <w:p>
      <w:pPr>
        <w:pStyle w:val="Heading2"/>
      </w:pPr>
      <w:r>
        <w:t>7 Lilian案例</w:t>
      </w:r>
    </w:p>
    <w:p>
      <w:pPr>
        <w:widowControl/>
      </w:pPr>
      <w:r>
        <w:t>2026年10月27日配置資料摘要。ETF金額10月25日確認、現金10月26日確認、V3目標10月27日保存；原估值日、股數與成本未完整提供。僅作歷史盤點與目標比較；固定950,000元分母的計算為本書明示教學例。</w:t>
      </w:r>
    </w:p>
    <w:p>
      <w:pPr>
        <w:widowControl/>
      </w:pPr>
      <w:r/>
      <w:hyperlink r:id="rId24">
        <w:r>
          <w:rPr>
            <w:color w:val="245D6B"/>
          </w:rPr>
          <w:t>Lilian配置資料摘要</w:t>
        </w:r>
      </w:hyperlink>
    </w:p>
    <w:p>
      <w:pPr>
        <w:widowControl/>
      </w:pPr>
      <w:r>
        <w:t>本版閱讀邊界：文件中的來源連結保留原存取權，不代表公開分享家庭資料。後續規則或程式更新，應以新的版本與實跑證據更新本書，不改寫歷史案例。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79" w:left="1152" w:header="403" w:footer="38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2026年10月28日版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7"/>
      </w:rPr>
      <w:t>活水AI系統家人版  白皮書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50" w:lineRule="exact"/>
    </w:pPr>
    <w:rPr>
      <w:rFonts w:ascii="Noto Sans CJK TC" w:hAnsi="Noto Sans CJK TC" w:eastAsia="Noto Sans CJK TC"/>
      <w:i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20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i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 w:before="200"/>
    </w:pPr>
    <w:rPr>
      <w:rFonts w:asciiTheme="majorHAnsi" w:eastAsiaTheme="majorEastAsia" w:hAnsiTheme="majorHAnsi" w:cstheme="majorBidi" w:ascii="Noto Sans CJK TC" w:hAnsi="Noto Sans CJK TC" w:eastAsia="Noto Sans CJK TC"/>
      <w:b/>
      <w:i w:val="0"/>
      <w:iCs/>
      <w:color w:val="000000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drive.google.com/file/d/1oeOfDN0Hab1hH1lPtPrph2MvSmplKxvD/view" TargetMode="External"/><Relationship Id="rId15" Type="http://schemas.openxmlformats.org/officeDocument/2006/relationships/hyperlink" Target="https://drive.google.com/file/d/18MxQm2gw5ttgH1CpxLJkz2c-DGrRapmP/view" TargetMode="External"/><Relationship Id="rId16" Type="http://schemas.openxmlformats.org/officeDocument/2006/relationships/hyperlink" Target="https://drive.google.com/file/d/1EObD96ptt3Io_YtTNGTWW1bms30wKguz/view" TargetMode="External"/><Relationship Id="rId17" Type="http://schemas.openxmlformats.org/officeDocument/2006/relationships/hyperlink" Target="https://github.com/a23882005/LivingWaterAI/blob/d6f9c357056c115ddb32f26eed679086d2347ec5/&#31995;&#32113;&#24037;&#31243;/&#32317;&#32147;V70/V70_16&#30333;&#30382;&#26360;.md" TargetMode="External"/><Relationship Id="rId18" Type="http://schemas.openxmlformats.org/officeDocument/2006/relationships/hyperlink" Target="https://github.com/a23882005/LivingWaterAI/blob/87a4228/&#31995;&#32113;&#24037;&#31243;/&#32317;&#32147;V70/V70-3-27.html" TargetMode="External"/><Relationship Id="rId19" Type="http://schemas.openxmlformats.org/officeDocument/2006/relationships/hyperlink" Target="https://github.com/a23882005/LivingWaterAI/tree/d6f9c357056c115ddb32f26eed679086d2347ec5/&#31995;&#32113;&#24037;&#31243;/C-&#37197;&#32622;&#27770;&#31574;&#24341;&#25806;&#65291;Mentor&#25972;&#21512;/&#27491;&#24335;Runtime" TargetMode="External"/><Relationship Id="rId20" Type="http://schemas.openxmlformats.org/officeDocument/2006/relationships/hyperlink" Target="https://github.com/a23882005/LivingWaterAI/tree/d6f9c357056c115ddb32f26eed679086d2347ec5/&#31995;&#32113;&#24037;&#31243;/Family/menu" TargetMode="External"/><Relationship Id="rId21" Type="http://schemas.openxmlformats.org/officeDocument/2006/relationships/hyperlink" Target="https://github.com/a23882005/LivingWaterAI/blob/d6f9c357056c115ddb32f26eed679086d2347ec5/&#31995;&#32113;&#24037;&#31243;/&#20661;&#21048;V75/&#27491;&#24335;Runtime/V75_Work6_RuntimeReady_2026-09-25/runtime/v75_runtime/work4.py" TargetMode="External"/><Relationship Id="rId22" Type="http://schemas.openxmlformats.org/officeDocument/2006/relationships/hyperlink" Target="https://github.com/a23882005/LivingWaterAI/pull/59" TargetMode="External"/><Relationship Id="rId23" Type="http://schemas.openxmlformats.org/officeDocument/2006/relationships/hyperlink" Target="https://drive.google.com/file/d/1LRPEKn0VSCKtOraYbCDaebXVmcw5Yvdo/view" TargetMode="External"/><Relationship Id="rId24" Type="http://schemas.openxmlformats.org/officeDocument/2006/relationships/hyperlink" Target="https://drive.google.com/file/d/1i663hOhE_AwcMcOjVzHxLbTxGFSRIjJi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活水AI系統家人版 白皮書</dc:title>
  <dc:subject>理解 Loop 1 配置與 Loop 2 三層決策</dc:subject>
  <dc:creator>活水AI</dc:creator>
  <cp:keywords>Loop 1, Loop 2, V70, V82, V75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