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hint="eastAsia"/>
        </w:rPr>
      </w:pPr>
      <w:r>
        <w:rPr/>
        <w:t>A2CPS Release 3.0 Notes - Imaging</w:t>
      </w:r>
    </w:p>
    <w:p>
      <w:pPr>
        <w:pStyle w:val="Heading1"/>
        <w:numPr>
          <w:ilvl w:val="0"/>
          <w:numId w:val="1"/>
        </w:numPr>
        <w:rPr>
          <w:rFonts w:hint="eastAsia"/>
        </w:rPr>
      </w:pPr>
      <w:bookmarkStart w:id="0" w:name="__RefHeading___Toc2023_2332052893"/>
      <w:bookmarkStart w:id="1" w:name="_Toc218847435"/>
      <w:bookmarkEnd w:id="0"/>
      <w:r>
        <w:rPr/>
        <w:t>Key Changes in 3.0</w:t>
      </w:r>
      <w:bookmarkEnd w:id="1"/>
    </w:p>
    <w:p>
      <w:pPr>
        <w:pStyle w:val="TOCHeading"/>
        <w:numPr>
          <w:ilvl w:val="0"/>
          <w:numId w:val="14"/>
        </w:numPr>
        <w:rPr>
          <w:rFonts w:ascii="Arial" w:hAnsi="Arial" w:eastAsia="NSimSun" w:asciiTheme="minorHAnsi" w:hAnsiTheme="minorHAnsi"/>
          <w:b w:val="false"/>
          <w:bCs w:val="false"/>
          <w:sz w:val="24"/>
          <w:szCs w:val="24"/>
        </w:rPr>
      </w:pPr>
      <w:r>
        <w:rPr>
          <w:rFonts w:eastAsia="NSimSun" w:ascii="Arial" w:hAnsi="Arial"/>
          <w:b w:val="false"/>
          <w:bCs w:val="false"/>
          <w:sz w:val="24"/>
          <w:szCs w:val="24"/>
        </w:rPr>
        <w:t>Additional subjects: this release includes all A2CPS subjects who had surgery on or before Feb 28, 2025. There are a total of 1935 subjects (1364 TKA and 530 Thoracic), of whom 1417 have pre-surgery (V1) imaging (1103 TKA, 314 Thoracic)</w:t>
      </w:r>
    </w:p>
    <w:sdt>
      <w:sdtPr>
        <w:docPartObj>
          <w:docPartGallery w:val="Table of Contents"/>
          <w:docPartUnique w:val="true"/>
        </w:docPartObj>
      </w:sdtPr>
      <w:sdtContent>
        <w:p>
          <w:pPr>
            <w:pStyle w:val="TOCHeading"/>
            <w:rPr/>
          </w:pPr>
          <w:r>
            <w:rPr/>
            <w:t>Table of Contents</w:t>
          </w:r>
        </w:p>
        <w:p>
          <w:pPr>
            <w:pStyle w:val="TOC1"/>
            <w:tabs>
              <w:tab w:val="clear" w:pos="9972"/>
              <w:tab w:val="right" w:pos="9971" w:leader="dot"/>
            </w:tabs>
            <w:rPr/>
          </w:pPr>
          <w:r>
            <w:fldChar w:fldCharType="begin"/>
          </w:r>
          <w:r>
            <w:rPr>
              <w:rStyle w:val="IndexLink"/>
            </w:rPr>
            <w:instrText xml:space="preserve"> TOC \f \o "1-2" \h</w:instrText>
          </w:r>
          <w:r>
            <w:rPr>
              <w:rStyle w:val="IndexLink"/>
            </w:rPr>
            <w:fldChar w:fldCharType="separate"/>
          </w:r>
          <w:hyperlink w:anchor="__RefHeading___Toc2023_2332052893" w:tooltip="Key Changes in 3.0">
            <w:r>
              <w:rPr>
                <w:rStyle w:val="IndexLink"/>
              </w:rPr>
              <w:t>Key Changes in 3.0</w:t>
              <w:tab/>
              <w:t>1</w:t>
            </w:r>
          </w:hyperlink>
        </w:p>
        <w:p>
          <w:pPr>
            <w:pStyle w:val="TOC1"/>
            <w:tabs>
              <w:tab w:val="clear" w:pos="9972"/>
              <w:tab w:val="right" w:pos="9971" w:leader="dot"/>
            </w:tabs>
            <w:rPr/>
          </w:pPr>
          <w:hyperlink w:anchor="__RefHeading___Toc2025_2332052893" w:tooltip="1. Summary of Imaging Data">
            <w:r>
              <w:rPr>
                <w:rStyle w:val="IndexLink"/>
              </w:rPr>
              <w:t>1. Summary of Imaging Data</w:t>
              <w:tab/>
              <w:t>2</w:t>
            </w:r>
          </w:hyperlink>
        </w:p>
        <w:p>
          <w:pPr>
            <w:pStyle w:val="TOC2"/>
            <w:tabs>
              <w:tab w:val="clear" w:pos="9689"/>
              <w:tab w:val="right" w:pos="9971" w:leader="dot"/>
            </w:tabs>
            <w:rPr/>
          </w:pPr>
          <w:hyperlink w:anchor="__RefHeading___Toc2027_2332052893" w:tooltip="Data Collection">
            <w:r>
              <w:rPr>
                <w:rStyle w:val="IndexLink"/>
              </w:rPr>
              <w:t>Data Collection</w:t>
              <w:tab/>
              <w:t>2</w:t>
            </w:r>
          </w:hyperlink>
        </w:p>
        <w:p>
          <w:pPr>
            <w:pStyle w:val="TOC2"/>
            <w:tabs>
              <w:tab w:val="clear" w:pos="9689"/>
              <w:tab w:val="right" w:pos="9971" w:leader="dot"/>
            </w:tabs>
            <w:rPr/>
          </w:pPr>
          <w:hyperlink w:anchor="__RefHeading___Toc2029_2332052893" w:tooltip="Key points">
            <w:r>
              <w:rPr>
                <w:rStyle w:val="IndexLink"/>
              </w:rPr>
              <w:t>Key points</w:t>
              <w:tab/>
              <w:t>2</w:t>
            </w:r>
          </w:hyperlink>
        </w:p>
        <w:p>
          <w:pPr>
            <w:pStyle w:val="TOC2"/>
            <w:tabs>
              <w:tab w:val="clear" w:pos="9689"/>
              <w:tab w:val="right" w:pos="9971" w:leader="dot"/>
            </w:tabs>
            <w:rPr/>
          </w:pPr>
          <w:hyperlink w:anchor="__RefHeading___Toc2031_2332052893" w:tooltip="Data Derivatives">
            <w:r>
              <w:rPr>
                <w:rStyle w:val="IndexLink"/>
              </w:rPr>
              <w:t>Data Derivatives</w:t>
              <w:tab/>
              <w:t>2</w:t>
            </w:r>
          </w:hyperlink>
        </w:p>
        <w:p>
          <w:pPr>
            <w:pStyle w:val="TOC2"/>
            <w:tabs>
              <w:tab w:val="clear" w:pos="9689"/>
              <w:tab w:val="right" w:pos="9971" w:leader="dot"/>
            </w:tabs>
            <w:rPr/>
          </w:pPr>
          <w:hyperlink w:anchor="__RefHeading___Toc2033_2332052893" w:tooltip="Data Contents">
            <w:r>
              <w:rPr>
                <w:rStyle w:val="IndexLink"/>
              </w:rPr>
              <w:t>Data Contents</w:t>
              <w:tab/>
              <w:t>3</w:t>
            </w:r>
          </w:hyperlink>
        </w:p>
        <w:p>
          <w:pPr>
            <w:pStyle w:val="TOC1"/>
            <w:tabs>
              <w:tab w:val="clear" w:pos="9972"/>
              <w:tab w:val="right" w:pos="9971" w:leader="dot"/>
            </w:tabs>
            <w:rPr/>
          </w:pPr>
          <w:hyperlink w:anchor="__RefHeading___Toc2035_2332052893" w:tooltip="2. Summary of Site Information">
            <w:r>
              <w:rPr>
                <w:rStyle w:val="IndexLink"/>
              </w:rPr>
              <w:t>2. Summary of Site Information</w:t>
              <w:tab/>
              <w:t>4</w:t>
            </w:r>
          </w:hyperlink>
        </w:p>
        <w:p>
          <w:pPr>
            <w:pStyle w:val="TOC1"/>
            <w:tabs>
              <w:tab w:val="clear" w:pos="9972"/>
              <w:tab w:val="right" w:pos="9971" w:leader="dot"/>
            </w:tabs>
            <w:rPr/>
          </w:pPr>
          <w:hyperlink w:anchor="__RefHeading___Toc2037_2332052893" w:tooltip="3. Quality Measures and Ratings">
            <w:r>
              <w:rPr>
                <w:rStyle w:val="IndexLink"/>
              </w:rPr>
              <w:t>3. Quality Measures and Ratings</w:t>
              <w:tab/>
              <w:t>6</w:t>
            </w:r>
          </w:hyperlink>
        </w:p>
        <w:p>
          <w:pPr>
            <w:pStyle w:val="TOC2"/>
            <w:tabs>
              <w:tab w:val="clear" w:pos="9689"/>
              <w:tab w:val="right" w:pos="9971" w:leader="dot"/>
            </w:tabs>
            <w:rPr/>
          </w:pPr>
          <w:hyperlink w:anchor="__RefHeading___Toc9121_2332052893" w:tooltip="Raw Data">
            <w:r>
              <w:rPr>
                <w:rStyle w:val="IndexLink"/>
              </w:rPr>
              <w:t>Raw Data</w:t>
              <w:tab/>
              <w:t>6</w:t>
            </w:r>
          </w:hyperlink>
        </w:p>
        <w:p>
          <w:pPr>
            <w:pStyle w:val="TOC2"/>
            <w:tabs>
              <w:tab w:val="clear" w:pos="9689"/>
              <w:tab w:val="right" w:pos="9971" w:leader="dot"/>
            </w:tabs>
            <w:rPr/>
          </w:pPr>
          <w:hyperlink w:anchor="__RefHeading___Toc9123_2332052893" w:tooltip="Derived Data">
            <w:r>
              <w:rPr>
                <w:rStyle w:val="IndexLink"/>
              </w:rPr>
              <w:t>Derived Data</w:t>
              <w:tab/>
              <w:t>7</w:t>
            </w:r>
          </w:hyperlink>
        </w:p>
        <w:p>
          <w:pPr>
            <w:pStyle w:val="TOC2"/>
            <w:tabs>
              <w:tab w:val="clear" w:pos="9689"/>
              <w:tab w:val="right" w:pos="9971" w:leader="dot"/>
            </w:tabs>
            <w:rPr/>
          </w:pPr>
          <w:hyperlink w:anchor="__RefHeading___Toc9125_2332052893" w:tooltip="Phantom QA Data">
            <w:r>
              <w:rPr>
                <w:rStyle w:val="IndexLink"/>
              </w:rPr>
              <w:t>Phantom QA Data</w:t>
              <w:tab/>
              <w:t>7</w:t>
            </w:r>
          </w:hyperlink>
        </w:p>
        <w:p>
          <w:pPr>
            <w:pStyle w:val="TOC1"/>
            <w:tabs>
              <w:tab w:val="clear" w:pos="9972"/>
              <w:tab w:val="right" w:pos="9971" w:leader="dot"/>
            </w:tabs>
            <w:rPr/>
          </w:pPr>
          <w:hyperlink w:anchor="__RefHeading___Toc2039_2332052893" w:tooltip="4. fMRI Protocol Issues">
            <w:r>
              <w:rPr>
                <w:rStyle w:val="IndexLink"/>
              </w:rPr>
              <w:t>4. fMRI Protocol Issues</w:t>
              <w:tab/>
              <w:t>8</w:t>
            </w:r>
          </w:hyperlink>
        </w:p>
        <w:p>
          <w:pPr>
            <w:pStyle w:val="TOC2"/>
            <w:tabs>
              <w:tab w:val="clear" w:pos="9689"/>
              <w:tab w:val="right" w:pos="9971" w:leader="dot"/>
            </w:tabs>
            <w:rPr/>
          </w:pPr>
          <w:hyperlink w:anchor="__RefHeading___Toc2041_2332052893" w:tooltip="fMRI Slice Packets">
            <w:r>
              <w:rPr>
                <w:rStyle w:val="IndexLink"/>
              </w:rPr>
              <w:t>fMRI Slice Packets</w:t>
              <w:tab/>
              <w:t>8</w:t>
            </w:r>
          </w:hyperlink>
        </w:p>
        <w:p>
          <w:pPr>
            <w:pStyle w:val="TOC2"/>
            <w:tabs>
              <w:tab w:val="clear" w:pos="9689"/>
              <w:tab w:val="right" w:pos="9971" w:leader="dot"/>
            </w:tabs>
            <w:rPr/>
          </w:pPr>
          <w:hyperlink w:anchor="__RefHeading___Toc2043_2332052893" w:tooltip="B0 Distortion Correction Scans">
            <w:r>
              <w:rPr>
                <w:rStyle w:val="IndexLink"/>
              </w:rPr>
              <w:t>B0 Distortion Correction Scans</w:t>
              <w:tab/>
              <w:t>9</w:t>
            </w:r>
          </w:hyperlink>
        </w:p>
        <w:p>
          <w:pPr>
            <w:pStyle w:val="TOC1"/>
            <w:tabs>
              <w:tab w:val="clear" w:pos="9972"/>
              <w:tab w:val="right" w:pos="9971" w:leader="dot"/>
            </w:tabs>
            <w:rPr/>
          </w:pPr>
          <w:hyperlink w:anchor="__RefHeading___Toc2045_2332052893" w:tooltip="5. DWI Protocol Issues">
            <w:r>
              <w:rPr>
                <w:rStyle w:val="IndexLink"/>
              </w:rPr>
              <w:t>5. DWI Protocol Issues</w:t>
              <w:tab/>
              <w:t>10</w:t>
            </w:r>
          </w:hyperlink>
        </w:p>
        <w:p>
          <w:pPr>
            <w:pStyle w:val="TOC2"/>
            <w:tabs>
              <w:tab w:val="clear" w:pos="9689"/>
              <w:tab w:val="right" w:pos="9971" w:leader="dot"/>
            </w:tabs>
            <w:rPr/>
          </w:pPr>
          <w:hyperlink w:anchor="__RefHeading___Toc2047_2332052893" w:tooltip="DWI Protocol Variations">
            <w:r>
              <w:rPr>
                <w:rStyle w:val="IndexLink"/>
              </w:rPr>
              <w:t>DWI Protocol Variations</w:t>
              <w:tab/>
              <w:t>10</w:t>
            </w:r>
          </w:hyperlink>
        </w:p>
        <w:p>
          <w:pPr>
            <w:pStyle w:val="TOC2"/>
            <w:tabs>
              <w:tab w:val="clear" w:pos="9689"/>
              <w:tab w:val="right" w:pos="9971" w:leader="dot"/>
            </w:tabs>
            <w:rPr/>
          </w:pPr>
          <w:hyperlink w:anchor="__RefHeading___Toc2049_2332052893" w:tooltip="GE Specific DICOM Problems">
            <w:r>
              <w:rPr>
                <w:rStyle w:val="IndexLink"/>
              </w:rPr>
              <w:t>GE Specific DICOM Problems</w:t>
              <w:tab/>
              <w:t>10</w:t>
            </w:r>
          </w:hyperlink>
        </w:p>
        <w:p>
          <w:pPr>
            <w:pStyle w:val="TOC1"/>
            <w:tabs>
              <w:tab w:val="clear" w:pos="9972"/>
              <w:tab w:val="right" w:pos="9971" w:leader="dot"/>
            </w:tabs>
            <w:rPr/>
          </w:pPr>
          <w:hyperlink w:anchor="__RefHeading___Toc2051_2332052893" w:tooltip="6. T1W Protocol Issues">
            <w:r>
              <w:rPr>
                <w:rStyle w:val="IndexLink"/>
              </w:rPr>
              <w:t>6. T1W Protocol Issues</w:t>
              <w:tab/>
              <w:t>11</w:t>
            </w:r>
          </w:hyperlink>
        </w:p>
        <w:p>
          <w:pPr>
            <w:pStyle w:val="TOC1"/>
            <w:tabs>
              <w:tab w:val="clear" w:pos="9972"/>
              <w:tab w:val="right" w:pos="9971" w:leader="dot"/>
            </w:tabs>
            <w:rPr/>
          </w:pPr>
          <w:hyperlink w:anchor="__RefHeading___Toc2053_2332052893" w:tooltip="7. Acquisition Issues">
            <w:r>
              <w:rPr>
                <w:rStyle w:val="IndexLink"/>
              </w:rPr>
              <w:t>7. Acquisition Issues</w:t>
              <w:tab/>
              <w:t>12</w:t>
            </w:r>
          </w:hyperlink>
        </w:p>
        <w:p>
          <w:pPr>
            <w:pStyle w:val="TOC1"/>
            <w:tabs>
              <w:tab w:val="clear" w:pos="9972"/>
              <w:tab w:val="right" w:pos="9971" w:leader="dot"/>
            </w:tabs>
            <w:rPr/>
          </w:pPr>
          <w:hyperlink w:anchor="__RefHeading___Toc2055_2332052893" w:tooltip="8. Incomplete Scan Sessions">
            <w:r>
              <w:rPr>
                <w:rStyle w:val="IndexLink"/>
              </w:rPr>
              <w:t>8. Incomplete Scan Sessions</w:t>
              <w:tab/>
              <w:t>12</w:t>
            </w:r>
          </w:hyperlink>
        </w:p>
        <w:p>
          <w:pPr>
            <w:pStyle w:val="TOC1"/>
            <w:tabs>
              <w:tab w:val="clear" w:pos="9972"/>
              <w:tab w:val="right" w:pos="9971" w:leader="dot"/>
            </w:tabs>
            <w:rPr/>
          </w:pPr>
          <w:hyperlink w:anchor="__RefHeading___Toc2057_2332052893" w:tooltip="9. Release Changes">
            <w:r>
              <w:rPr>
                <w:rStyle w:val="IndexLink"/>
              </w:rPr>
              <w:t>9. Release Changes</w:t>
              <w:tab/>
              <w:t>13</w:t>
            </w:r>
          </w:hyperlink>
        </w:p>
        <w:p>
          <w:pPr>
            <w:pStyle w:val="TOC2"/>
            <w:tabs>
              <w:tab w:val="clear" w:pos="9689"/>
              <w:tab w:val="right" w:pos="9971" w:leader="dot"/>
            </w:tabs>
            <w:rPr/>
          </w:pPr>
          <w:hyperlink w:anchor="__RefHeading___Toc2059_2332052893" w:tooltip="Release 3.0">
            <w:r>
              <w:rPr>
                <w:rStyle w:val="IndexLink"/>
              </w:rPr>
              <w:t>Release 3.0</w:t>
              <w:tab/>
              <w:t>13</w:t>
            </w:r>
          </w:hyperlink>
        </w:p>
        <w:p>
          <w:pPr>
            <w:pStyle w:val="TOC2"/>
            <w:tabs>
              <w:tab w:val="clear" w:pos="9689"/>
              <w:tab w:val="right" w:pos="9971" w:leader="dot"/>
            </w:tabs>
            <w:rPr/>
          </w:pPr>
          <w:hyperlink w:anchor="__RefHeading___Toc2061_2332052893" w:tooltip="Release 2.1">
            <w:r>
              <w:rPr>
                <w:rStyle w:val="IndexLink"/>
              </w:rPr>
              <w:t>Release 2.1</w:t>
              <w:tab/>
              <w:t>13</w:t>
            </w:r>
          </w:hyperlink>
        </w:p>
        <w:p>
          <w:pPr>
            <w:pStyle w:val="TOC2"/>
            <w:tabs>
              <w:tab w:val="clear" w:pos="9689"/>
              <w:tab w:val="right" w:pos="9971" w:leader="dot"/>
            </w:tabs>
            <w:rPr/>
          </w:pPr>
          <w:hyperlink w:anchor="__RefHeading___Toc2063_2332052893" w:tooltip="Release 2.0">
            <w:r>
              <w:rPr>
                <w:rStyle w:val="IndexLink"/>
              </w:rPr>
              <w:t>Release 2.0</w:t>
              <w:tab/>
              <w:t>13</w:t>
            </w:r>
          </w:hyperlink>
        </w:p>
        <w:p>
          <w:pPr>
            <w:pStyle w:val="TOC2"/>
            <w:tabs>
              <w:tab w:val="clear" w:pos="9689"/>
              <w:tab w:val="right" w:pos="9971" w:leader="dot"/>
            </w:tabs>
            <w:rPr/>
          </w:pPr>
          <w:hyperlink w:anchor="__RefHeading___Toc2065_2332052893" w:tooltip="Release 1.1">
            <w:r>
              <w:rPr>
                <w:rStyle w:val="IndexLink"/>
              </w:rPr>
              <w:t>Release 1.1</w:t>
              <w:tab/>
              <w:t>14</w:t>
            </w:r>
          </w:hyperlink>
        </w:p>
        <w:p>
          <w:pPr>
            <w:pStyle w:val="TOC1"/>
            <w:tabs>
              <w:tab w:val="clear" w:pos="9972"/>
              <w:tab w:val="right" w:pos="9971" w:leader="dot"/>
            </w:tabs>
            <w:rPr/>
          </w:pPr>
          <w:hyperlink w:anchor="__RefHeading___Toc2067_2332052893" w:tooltip="10. References">
            <w:r>
              <w:rPr>
                <w:rStyle w:val="IndexLink"/>
              </w:rPr>
              <w:t>10. References</w:t>
              <w:tab/>
              <w:t>14</w:t>
            </w:r>
          </w:hyperlink>
        </w:p>
        <w:p>
          <w:pPr>
            <w:pStyle w:val="TOC1"/>
            <w:tabs>
              <w:tab w:val="clear" w:pos="9972"/>
              <w:tab w:val="right" w:pos="9971" w:leader="dot"/>
            </w:tabs>
            <w:rPr/>
          </w:pPr>
          <w:hyperlink w:anchor="__RefHeading___Toc2069_2332052893" w:tooltip="11. Frequently Asked Questions (FAQ)">
            <w:r>
              <w:rPr>
                <w:rStyle w:val="IndexLink"/>
              </w:rPr>
              <w:t>11. Frequently Asked Questions (FAQ)</w:t>
              <w:tab/>
              <w:t>15</w:t>
            </w:r>
          </w:hyperlink>
          <w:r>
            <w:rPr>
              <w:rStyle w:val="IndexLink"/>
            </w:rPr>
            <w:fldChar w:fldCharType="end"/>
          </w:r>
        </w:p>
      </w:sdtContent>
    </w:sdt>
    <w:p>
      <w:pPr>
        <w:pStyle w:val="BodyText"/>
        <w:rPr/>
      </w:pPr>
      <w:r>
        <w:rPr/>
        <w:t>This release is an </w:t>
      </w:r>
      <w:r>
        <w:rPr>
          <w:i/>
          <w:iCs/>
        </w:rPr>
        <w:t>A2CPS Consortium Internal Release</w:t>
      </w:r>
      <w:r>
        <w:rPr/>
        <w:t xml:space="preserve">. For public releases of this dataset, refer to NIH NDA project 5121 (see </w:t>
      </w:r>
      <w:hyperlink r:id="rId2">
        <w:r>
          <w:rPr>
            <w:rStyle w:val="Hyperlink"/>
          </w:rPr>
          <w:t>https://a2cps.org/researchers/accessing-our-data/</w:t>
        </w:r>
      </w:hyperlink>
      <w:r>
        <w:rPr/>
        <w:t>).</w:t>
      </w:r>
    </w:p>
    <w:p>
      <w:pPr>
        <w:pStyle w:val="BodyText"/>
        <w:rPr/>
      </w:pPr>
      <w:r>
        <w:rPr/>
        <w:t>This document provides background and commentary on the release, and is an interim product bundled with internal releases. The final destination for the information herein is the A2CPS “For Researchers” web page (apart from consortium specific notes, e.g. related to Confluence, Slack, etc.).</w:t>
      </w:r>
    </w:p>
    <w:p>
      <w:pPr>
        <w:pStyle w:val="Heading1"/>
        <w:numPr>
          <w:ilvl w:val="0"/>
          <w:numId w:val="1"/>
        </w:numPr>
        <w:rPr>
          <w:rFonts w:hint="eastAsia"/>
        </w:rPr>
      </w:pPr>
      <w:bookmarkStart w:id="2" w:name="__RefHeading___Toc2025_2332052893"/>
      <w:bookmarkStart w:id="3" w:name="_Toc218847436"/>
      <w:bookmarkEnd w:id="2"/>
      <w:r>
        <w:rPr/>
        <w:t>1. Summary of Imaging Data</w:t>
      </w:r>
      <w:bookmarkEnd w:id="3"/>
      <w:r>
        <w:rPr/>
        <w:t xml:space="preserve"> </w:t>
      </w:r>
    </w:p>
    <w:p>
      <w:pPr>
        <w:pStyle w:val="Heading2"/>
        <w:numPr>
          <w:ilvl w:val="1"/>
          <w:numId w:val="1"/>
        </w:numPr>
        <w:rPr>
          <w:rFonts w:hint="eastAsia"/>
        </w:rPr>
      </w:pPr>
      <w:bookmarkStart w:id="4" w:name="__RefHeading___Toc2027_2332052893"/>
      <w:bookmarkStart w:id="5" w:name="_Toc218847437"/>
      <w:bookmarkEnd w:id="4"/>
      <w:r>
        <w:rPr/>
        <w:t>Data Collection</w:t>
      </w:r>
      <w:bookmarkEnd w:id="5"/>
    </w:p>
    <w:p>
      <w:pPr>
        <w:pStyle w:val="BodyText"/>
        <w:rPr/>
      </w:pPr>
      <w:r>
        <w:rPr/>
        <w:t>MRI scans were collected prior to a surgery (knee or thoracic) and, in roughly half of all cases, again 3 months post surgery. In Releases 1 and 2, only pre-surgery scan data is included.</w:t>
      </w:r>
    </w:p>
    <w:p>
      <w:pPr>
        <w:pStyle w:val="BodyText"/>
        <w:rPr/>
      </w:pPr>
      <w:r>
        <w:rPr/>
        <w:t>The scan protocol consists of T1-weighted (1), diffusion weighted (1), and fMRI (4) scans, with susceptibility distortion correction B0 images also acquired. A schematic of the acquisition is shown in Figure 1.</w:t>
      </w:r>
    </w:p>
    <w:p>
      <w:pPr>
        <w:pStyle w:val="Caption"/>
        <w:rPr/>
      </w:pPr>
      <w:r>
        <w:rPr/>
        <w:drawing>
          <wp:inline distT="0" distB="0" distL="0" distR="0">
            <wp:extent cx="6332220" cy="2038350"/>
            <wp:effectExtent l="0" t="0" r="0" b="0"/>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3"/>
                    <a:srcRect l="0" t="7436" r="0" b="40187"/>
                    <a:stretch>
                      <a:fillRect/>
                    </a:stretch>
                  </pic:blipFill>
                  <pic:spPr bwMode="auto">
                    <a:xfrm>
                      <a:off x="0" y="0"/>
                      <a:ext cx="6332220" cy="2038350"/>
                    </a:xfrm>
                    <a:prstGeom prst="rect">
                      <a:avLst/>
                    </a:prstGeom>
                    <a:noFill/>
                  </pic:spPr>
                </pic:pic>
              </a:graphicData>
            </a:graphic>
          </wp:inline>
        </w:drawing>
      </w:r>
    </w:p>
    <w:p>
      <w:pPr>
        <w:pStyle w:val="Captio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rPr>
        <w:t>1</w:t>
      </w:r>
      <w:r>
        <w:rPr>
          <w:rFonts w:hint="eastAsia"/>
        </w:rPr>
        <w:fldChar w:fldCharType="end"/>
      </w:r>
      <w:r>
        <w:rPr/>
        <w:t>: A2CPS scan session layout. The short names of the scans are T1, DWI, REST1, CUFF1, CUFF2, and REST2.</w:t>
      </w:r>
    </w:p>
    <w:p>
      <w:pPr>
        <w:pStyle w:val="Heading2"/>
        <w:numPr>
          <w:ilvl w:val="1"/>
          <w:numId w:val="1"/>
        </w:numPr>
        <w:rPr>
          <w:rFonts w:hint="eastAsia"/>
        </w:rPr>
      </w:pPr>
      <w:bookmarkStart w:id="6" w:name="__RefHeading___Toc2029_2332052893"/>
      <w:bookmarkStart w:id="7" w:name="_Toc218847438"/>
      <w:bookmarkEnd w:id="6"/>
      <w:r>
        <w:rPr/>
        <w:t>Key points</w:t>
      </w:r>
      <w:bookmarkEnd w:id="7"/>
    </w:p>
    <w:p>
      <w:pPr>
        <w:pStyle w:val="BodyText"/>
        <w:numPr>
          <w:ilvl w:val="0"/>
          <w:numId w:val="3"/>
        </w:numPr>
        <w:rPr/>
      </w:pPr>
      <w:r>
        <w:rPr/>
        <w:t>An inflatable cuff was placed on the subject’s leg prior to the fMRI scans</w:t>
      </w:r>
    </w:p>
    <w:p>
      <w:pPr>
        <w:pStyle w:val="BodyText"/>
        <w:numPr>
          <w:ilvl w:val="0"/>
          <w:numId w:val="3"/>
        </w:numPr>
        <w:rPr/>
      </w:pPr>
      <w:r>
        <w:rPr/>
        <w:t xml:space="preserve">CUFF scans were done with administration of pain via a constant pressure – though in some cases CUFF scans were skipped if cuff inflation or the required pressure were contraindicated  </w:t>
      </w:r>
    </w:p>
    <w:p>
      <w:pPr>
        <w:pStyle w:val="BodyText"/>
        <w:numPr>
          <w:ilvl w:val="0"/>
          <w:numId w:val="3"/>
        </w:numPr>
        <w:rPr/>
      </w:pPr>
      <w:r>
        <w:rPr/>
        <w:t>CUFF1 scans use a patient-calibrated constant pressure (to level rated as pain 40), and CUFF2 pressures are standard (120 mm Hg); pressures are recorded in BIDS events.tsv files for Cuff scans</w:t>
      </w:r>
    </w:p>
    <w:p>
      <w:pPr>
        <w:pStyle w:val="BodyText"/>
        <w:numPr>
          <w:ilvl w:val="0"/>
          <w:numId w:val="3"/>
        </w:numPr>
        <w:rPr/>
      </w:pPr>
      <w:r>
        <w:rPr/>
        <w:t>In most cases, REST2 was not acquired if neither CUFF scan was, though there are exceptions (these exceptions are flagged as “Red” – see Assigned Quality Ratings)</w:t>
      </w:r>
    </w:p>
    <w:p>
      <w:pPr>
        <w:pStyle w:val="Heading2"/>
        <w:numPr>
          <w:ilvl w:val="0"/>
          <w:numId w:val="1"/>
        </w:numPr>
        <w:rPr>
          <w:rFonts w:hint="eastAsia"/>
        </w:rPr>
      </w:pPr>
      <w:bookmarkStart w:id="8" w:name="__RefHeading___Toc2031_2332052893"/>
      <w:bookmarkStart w:id="9" w:name="_Toc218847439"/>
      <w:bookmarkEnd w:id="8"/>
      <w:r>
        <w:rPr/>
        <w:t>Data Derivatives</w:t>
      </w:r>
      <w:bookmarkEnd w:id="9"/>
    </w:p>
    <w:p>
      <w:pPr>
        <w:pStyle w:val="BodyText"/>
        <w:rPr/>
      </w:pPr>
      <w:r>
        <w:rPr/>
        <w:t>This release includes results of an A2CPS Pipeline that consists of several standard tools, as well as custom processing:</w:t>
      </w:r>
    </w:p>
    <w:p>
      <w:pPr>
        <w:pStyle w:val="BodyText"/>
        <w:numPr>
          <w:ilvl w:val="0"/>
          <w:numId w:val="6"/>
        </w:numPr>
        <w:rPr>
          <w:rStyle w:val="Bullets"/>
        </w:rPr>
      </w:pPr>
      <w:r>
        <w:rPr>
          <w:rStyle w:val="Bullets"/>
        </w:rPr>
        <w:t xml:space="preserve">Individual pipeline outputs (MRIQC, fMRIPrep, CAT12, FreeSurfer) </w:t>
      </w:r>
    </w:p>
    <w:p>
      <w:pPr>
        <w:pStyle w:val="Normal"/>
        <w:numPr>
          <w:ilvl w:val="1"/>
          <w:numId w:val="12"/>
        </w:numPr>
        <w:suppressAutoHyphens w:val="false"/>
        <w:spacing w:beforeAutospacing="1" w:after="0"/>
        <w:rPr>
          <w:rStyle w:val="Bullets"/>
          <w:lang w:eastAsia="en-US" w:bidi="ar-SA"/>
        </w:rPr>
      </w:pPr>
      <w:r>
        <w:rPr>
          <w:rStyle w:val="Bullets"/>
          <w:lang w:eastAsia="en-US" w:bidi="ar-SA"/>
        </w:rPr>
        <w:t>fMRIPrep 24.0.1 results</w:t>
      </w:r>
    </w:p>
    <w:p>
      <w:pPr>
        <w:pStyle w:val="Normal"/>
        <w:numPr>
          <w:ilvl w:val="1"/>
          <w:numId w:val="12"/>
        </w:numPr>
        <w:suppressAutoHyphens w:val="false"/>
        <w:spacing w:before="0" w:after="0"/>
        <w:rPr>
          <w:rStyle w:val="Bullets"/>
          <w:lang w:eastAsia="en-US" w:bidi="ar-SA"/>
        </w:rPr>
      </w:pPr>
      <w:r>
        <w:rPr>
          <w:rStyle w:val="Bullets"/>
          <w:lang w:eastAsia="en-US" w:bidi="ar-SA"/>
        </w:rPr>
        <w:t>FreeSurfer 7 (run by fMRIPrep 24.0.1)</w:t>
      </w:r>
    </w:p>
    <w:p>
      <w:pPr>
        <w:pStyle w:val="Normal"/>
        <w:numPr>
          <w:ilvl w:val="1"/>
          <w:numId w:val="12"/>
        </w:numPr>
        <w:suppressAutoHyphens w:val="false"/>
        <w:spacing w:before="0" w:after="0"/>
        <w:rPr>
          <w:rStyle w:val="Bullets"/>
          <w:lang w:eastAsia="en-US" w:bidi="ar-SA"/>
        </w:rPr>
      </w:pPr>
      <w:r>
        <w:rPr>
          <w:rStyle w:val="Bullets"/>
          <w:lang w:eastAsia="en-US" w:bidi="ar-SA"/>
        </w:rPr>
        <w:t>CAT12 v12.9/r2556</w:t>
      </w:r>
    </w:p>
    <w:p>
      <w:pPr>
        <w:pStyle w:val="Normal"/>
        <w:numPr>
          <w:ilvl w:val="1"/>
          <w:numId w:val="12"/>
        </w:numPr>
        <w:suppressAutoHyphens w:val="false"/>
        <w:spacing w:before="0" w:after="0"/>
        <w:rPr>
          <w:rStyle w:val="Bullets"/>
          <w:lang w:eastAsia="en-US" w:bidi="ar-SA"/>
        </w:rPr>
      </w:pPr>
      <w:r>
        <w:rPr>
          <w:rStyle w:val="Bullets"/>
          <w:lang w:eastAsia="en-US" w:bidi="ar-SA"/>
        </w:rPr>
        <w:t>MRIQC 24.0.2</w:t>
      </w:r>
    </w:p>
    <w:p>
      <w:pPr>
        <w:pStyle w:val="Normal"/>
        <w:numPr>
          <w:ilvl w:val="1"/>
          <w:numId w:val="12"/>
        </w:numPr>
        <w:suppressAutoHyphens w:val="false"/>
        <w:spacing w:before="0" w:after="0"/>
        <w:rPr>
          <w:rStyle w:val="Bullets"/>
          <w:lang w:eastAsia="en-US" w:bidi="ar-SA"/>
        </w:rPr>
      </w:pPr>
      <w:r>
        <w:rPr>
          <w:rStyle w:val="Bullets"/>
          <w:lang w:eastAsia="en-US" w:bidi="ar-SA"/>
        </w:rPr>
        <w:t>QSIprep 0.21.4</w:t>
      </w:r>
    </w:p>
    <w:p>
      <w:pPr>
        <w:pStyle w:val="Normal"/>
        <w:numPr>
          <w:ilvl w:val="1"/>
          <w:numId w:val="12"/>
        </w:numPr>
        <w:suppressAutoHyphens w:val="false"/>
        <w:spacing w:before="0" w:after="0"/>
        <w:rPr>
          <w:rStyle w:val="Bullets"/>
          <w:lang w:eastAsia="en-US" w:bidi="ar-SA"/>
        </w:rPr>
      </w:pPr>
      <w:r>
        <w:rPr>
          <w:rStyle w:val="Bullets"/>
          <w:lang w:eastAsia="en-US" w:bidi="ar-SA"/>
        </w:rPr>
        <w:t>brainageR 2.1</w:t>
      </w:r>
    </w:p>
    <w:p>
      <w:pPr>
        <w:pStyle w:val="Normal"/>
        <w:numPr>
          <w:ilvl w:val="1"/>
          <w:numId w:val="12"/>
        </w:numPr>
        <w:suppressAutoHyphens w:val="false"/>
        <w:spacing w:before="0" w:afterAutospacing="1"/>
        <w:rPr>
          <w:rStyle w:val="Bullets"/>
          <w:lang w:eastAsia="en-US" w:bidi="ar-SA"/>
        </w:rPr>
      </w:pPr>
      <w:r>
        <w:rPr>
          <w:rStyle w:val="Bullets"/>
          <w:lang w:eastAsia="en-US" w:bidi="ar-SA"/>
        </w:rPr>
        <w:t>GIFT 4.0.5.0 with NeuroMark 2.0/2.1</w:t>
      </w:r>
    </w:p>
    <w:p>
      <w:pPr>
        <w:pStyle w:val="BodyText"/>
        <w:numPr>
          <w:ilvl w:val="0"/>
          <w:numId w:val="6"/>
        </w:numPr>
        <w:rPr>
          <w:rStyle w:val="Bullets"/>
        </w:rPr>
      </w:pPr>
      <w:r>
        <w:rPr>
          <w:rStyle w:val="Bullets"/>
        </w:rPr>
        <w:t>FSL FIRST volumes and label maps (FSL 6.0.6.5)</w:t>
      </w:r>
    </w:p>
    <w:p>
      <w:pPr>
        <w:pStyle w:val="BodyText"/>
        <w:numPr>
          <w:ilvl w:val="0"/>
          <w:numId w:val="6"/>
        </w:numPr>
        <w:rPr>
          <w:rStyle w:val="Bullets"/>
        </w:rPr>
      </w:pPr>
      <w:r>
        <w:rPr>
          <w:rStyle w:val="Bullets"/>
        </w:rPr>
        <w:t>Functional images with nuisance regression applied (custom)</w:t>
      </w:r>
    </w:p>
    <w:p>
      <w:pPr>
        <w:pStyle w:val="BodyText"/>
        <w:numPr>
          <w:ilvl w:val="0"/>
          <w:numId w:val="6"/>
        </w:numPr>
        <w:rPr>
          <w:rStyle w:val="Bullets"/>
        </w:rPr>
      </w:pPr>
      <w:r>
        <w:rPr>
          <w:rStyle w:val="Bullets"/>
        </w:rPr>
        <w:t>Connectivity matrices (custom)</w:t>
      </w:r>
    </w:p>
    <w:p>
      <w:pPr>
        <w:pStyle w:val="BodyText"/>
        <w:numPr>
          <w:ilvl w:val="0"/>
          <w:numId w:val="6"/>
        </w:numPr>
        <w:rPr>
          <w:rStyle w:val="Bullets"/>
        </w:rPr>
      </w:pPr>
      <w:r>
        <w:rPr>
          <w:rStyle w:val="Bullets"/>
        </w:rPr>
        <w:t>Pain signature responses (custom)</w:t>
      </w:r>
    </w:p>
    <w:p>
      <w:pPr>
        <w:pStyle w:val="BodyText"/>
        <w:rPr/>
      </w:pPr>
      <w:r>
        <w:rPr/>
        <w:t>Data derivatives only appear in this release if the entire A2CPS pipeline completed on all available scans. This is meant to ensure that no incomplete products or cases without a complete set of expected derivatives will be included. See also “Incomplete Scan Sessions” below for notes on unavailable scans for some sessions.</w:t>
      </w:r>
    </w:p>
    <w:p>
      <w:pPr>
        <w:pStyle w:val="Heading2"/>
        <w:numPr>
          <w:ilvl w:val="0"/>
          <w:numId w:val="1"/>
        </w:numPr>
        <w:rPr>
          <w:rFonts w:hint="eastAsia"/>
        </w:rPr>
      </w:pPr>
      <w:bookmarkStart w:id="10" w:name="__RefHeading___Toc2033_2332052893"/>
      <w:bookmarkStart w:id="11" w:name="_Toc218847440"/>
      <w:bookmarkEnd w:id="10"/>
      <w:r>
        <w:rPr/>
        <w:t>Data Contents</w:t>
      </w:r>
      <w:bookmarkEnd w:id="11"/>
    </w:p>
    <w:p>
      <w:pPr>
        <w:pStyle w:val="Normal"/>
        <w:rPr/>
      </w:pPr>
      <w:r>
        <w:rPr/>
        <w:t>Where currently available, links to Starter Kits corresponding to each directory are provided.</w:t>
      </w:r>
    </w:p>
    <w:p>
      <w:pPr>
        <w:pStyle w:val="Normal"/>
        <w:rPr/>
      </w:pPr>
      <w:r>
        <w:rPr/>
      </w:r>
    </w:p>
    <w:p>
      <w:pPr>
        <w:pStyle w:val="Normal"/>
        <w:rPr/>
      </w:pPr>
      <w:r>
        <w:rPr>
          <w:i/>
          <w:iCs/>
        </w:rPr>
        <w:t>Top level:</w:t>
      </w:r>
      <w:r>
        <w:rPr/>
        <w:t xml:space="preserve"> /corral-secure/projects/A2CPS/products/consortium-data/pre-surgery-release-2-1-0</w:t>
      </w:r>
    </w:p>
    <w:p>
      <w:pPr>
        <w:pStyle w:val="Normal"/>
        <w:rPr/>
      </w:pPr>
      <w:r>
        <w:rPr/>
      </w:r>
    </w:p>
    <w:p>
      <w:pPr>
        <w:pStyle w:val="Normal"/>
        <w:rPr>
          <w:i/>
          <w:iCs/>
        </w:rPr>
      </w:pPr>
      <w:r>
        <w:rPr>
          <w:i/>
          <w:iCs/>
        </w:rPr>
        <w:t>Main directories:</w:t>
      </w:r>
    </w:p>
    <w:p>
      <w:pPr>
        <w:pStyle w:val="Normal"/>
        <w:numPr>
          <w:ilvl w:val="0"/>
          <w:numId w:val="12"/>
        </w:numPr>
        <w:suppressAutoHyphens w:val="false"/>
        <w:rPr/>
      </w:pPr>
      <w:r>
        <w:rPr>
          <w:rStyle w:val="Bullets"/>
          <w:b/>
          <w:bCs/>
          <w:lang w:eastAsia="en-US" w:bidi="ar-SA"/>
        </w:rPr>
        <w:t xml:space="preserve">/imaging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Imaging CRFs from REDCap, in /raw and /reformatted versions </w:t>
      </w:r>
    </w:p>
    <w:p>
      <w:pPr>
        <w:pStyle w:val="Normal"/>
        <w:numPr>
          <w:ilvl w:val="1"/>
          <w:numId w:val="12"/>
        </w:numPr>
        <w:spacing w:before="0" w:after="0"/>
        <w:rPr>
          <w:rStyle w:val="Bullets"/>
          <w:lang w:eastAsia="en-US" w:bidi="ar-SA"/>
        </w:rPr>
      </w:pPr>
      <w:r>
        <w:rPr>
          <w:rStyle w:val="Bullets"/>
          <w:lang w:eastAsia="en-US" w:bidi="ar-SA"/>
        </w:rPr>
        <w:t xml:space="preserve">Info: </w:t>
      </w:r>
      <w:hyperlink r:id="rId4" w:tgtFrame="_blank">
        <w:r>
          <w:rPr>
            <w:rStyle w:val="Style6"/>
            <w:lang w:eastAsia="en-US" w:bidi="ar-SA"/>
          </w:rPr>
          <w:t xml:space="preserve">https://a2cps.github.io/starterkits/ImagingCRF_data_quality_checks_and_reformat.html </w:t>
        </w:r>
      </w:hyperlink>
    </w:p>
    <w:p>
      <w:pPr>
        <w:pStyle w:val="Normal"/>
        <w:numPr>
          <w:ilvl w:val="0"/>
          <w:numId w:val="12"/>
        </w:numPr>
        <w:suppressAutoHyphens w:val="false"/>
        <w:spacing w:before="0" w:after="0"/>
        <w:rPr/>
      </w:pPr>
      <w:r>
        <w:rPr>
          <w:rStyle w:val="Bullets"/>
          <w:b/>
          <w:bCs/>
          <w:lang w:eastAsia="en-US" w:bidi="ar-SA"/>
        </w:rPr>
        <w:t xml:space="preserve">/mris </w:t>
      </w:r>
    </w:p>
    <w:p>
      <w:pPr>
        <w:pStyle w:val="Normal"/>
        <w:numPr>
          <w:ilvl w:val="1"/>
          <w:numId w:val="12"/>
        </w:numPr>
        <w:suppressAutoHyphens w:val="false"/>
        <w:spacing w:before="0" w:after="0"/>
        <w:rPr>
          <w:rStyle w:val="Bullets"/>
          <w:lang w:eastAsia="en-US" w:bidi="ar-SA"/>
        </w:rPr>
      </w:pPr>
      <w:r>
        <w:rPr>
          <w:rStyle w:val="Bullets"/>
          <w:lang w:eastAsia="en-US" w:bidi="ar-SA"/>
        </w:rPr>
        <w:t>Imaging data, and (internal releases only) this "Release Notes" document</w:t>
      </w:r>
    </w:p>
    <w:p>
      <w:pPr>
        <w:pStyle w:val="Normal"/>
        <w:suppressAutoHyphens w:val="false"/>
        <w:spacing w:before="0" w:after="0"/>
        <w:rPr>
          <w:rStyle w:val="Bullets"/>
          <w:lang w:eastAsia="en-US" w:bidi="ar-SA"/>
        </w:rPr>
      </w:pPr>
      <w:r>
        <w:rPr>
          <w:lang w:eastAsia="en-US" w:bidi="ar-SA"/>
        </w:rPr>
      </w:r>
    </w:p>
    <w:p>
      <w:pPr>
        <w:pStyle w:val="Normal"/>
        <w:suppressAutoHyphens w:val="false"/>
        <w:spacing w:before="0" w:after="0"/>
        <w:rPr/>
      </w:pPr>
      <w:r>
        <w:rPr>
          <w:rStyle w:val="Bullets"/>
          <w:i/>
          <w:iCs/>
          <w:lang w:eastAsia="en-US" w:bidi="ar-SA"/>
        </w:rPr>
        <w:t>MRI contents:</w:t>
      </w:r>
    </w:p>
    <w:p>
      <w:pPr>
        <w:pStyle w:val="Normal"/>
        <w:numPr>
          <w:ilvl w:val="0"/>
          <w:numId w:val="12"/>
        </w:numPr>
        <w:suppressAutoHyphens w:val="false"/>
        <w:spacing w:before="0" w:after="0"/>
        <w:rPr/>
      </w:pPr>
      <w:r>
        <w:rPr>
          <w:rStyle w:val="Bullets"/>
          <w:b/>
          <w:bCs/>
          <w:lang w:eastAsia="en-US" w:bidi="ar-SA"/>
        </w:rPr>
        <w:t xml:space="preserve">/mris/rawdata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BIDS format scan data, across all sites, limited to pre-surgery ("ses-V1")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5" w:tgtFrame="_blank">
        <w:r>
          <w:rPr>
            <w:rStyle w:val="Style6"/>
            <w:lang w:eastAsia="en-US" w:bidi="ar-SA"/>
          </w:rPr>
          <w:t xml:space="preserve">https://a2cps.github.io/starterkits/raw-mri.html </w:t>
        </w:r>
      </w:hyperlink>
    </w:p>
    <w:p>
      <w:pPr>
        <w:pStyle w:val="Normal"/>
        <w:numPr>
          <w:ilvl w:val="0"/>
          <w:numId w:val="12"/>
        </w:numPr>
        <w:suppressAutoHyphens w:val="false"/>
        <w:spacing w:before="0" w:after="0"/>
        <w:rPr/>
      </w:pPr>
      <w:r>
        <w:rPr>
          <w:rStyle w:val="Bullets"/>
          <w:b/>
          <w:bCs/>
          <w:lang w:eastAsia="en-US" w:bidi="ar-SA"/>
        </w:rPr>
        <w:t xml:space="preserve">/mris/derivatives </w:t>
      </w:r>
    </w:p>
    <w:p>
      <w:pPr>
        <w:pStyle w:val="Normal"/>
        <w:numPr>
          <w:ilvl w:val="1"/>
          <w:numId w:val="12"/>
        </w:numPr>
        <w:suppressAutoHyphens w:val="false"/>
        <w:spacing w:before="0" w:after="0"/>
        <w:rPr>
          <w:rStyle w:val="Bullets"/>
          <w:lang w:eastAsia="en-US" w:bidi="ar-SA"/>
        </w:rPr>
      </w:pPr>
      <w:r>
        <w:rPr>
          <w:rStyle w:val="Bullets"/>
          <w:lang w:eastAsia="en-US" w:bidi="ar-SA"/>
        </w:rPr>
        <w:t>Images derived using A2CPS pipelines</w:t>
      </w:r>
    </w:p>
    <w:p>
      <w:pPr>
        <w:pStyle w:val="Normal"/>
        <w:suppressAutoHyphens w:val="false"/>
        <w:spacing w:before="0" w:after="0"/>
        <w:rPr>
          <w:rStyle w:val="Bullets"/>
          <w:lang w:eastAsia="en-US" w:bidi="ar-SA"/>
        </w:rPr>
      </w:pPr>
      <w:r>
        <w:rPr>
          <w:lang w:eastAsia="en-US" w:bidi="ar-SA"/>
        </w:rPr>
      </w:r>
    </w:p>
    <w:p>
      <w:pPr>
        <w:pStyle w:val="Normal"/>
        <w:suppressAutoHyphens w:val="false"/>
        <w:spacing w:before="0" w:after="0"/>
        <w:rPr/>
      </w:pPr>
      <w:r>
        <w:rPr>
          <w:rStyle w:val="Bullets"/>
          <w:i/>
          <w:iCs/>
          <w:lang w:eastAsia="en-US" w:bidi="ar-SA"/>
        </w:rPr>
        <w:t>MRI derivative contents:</w:t>
      </w:r>
    </w:p>
    <w:p>
      <w:pPr>
        <w:pStyle w:val="Normal"/>
        <w:numPr>
          <w:ilvl w:val="0"/>
          <w:numId w:val="12"/>
        </w:numPr>
        <w:suppressAutoHyphens w:val="false"/>
        <w:spacing w:before="0" w:after="0"/>
        <w:rPr/>
      </w:pPr>
      <w:r>
        <w:rPr>
          <w:rStyle w:val="Bullets"/>
          <w:b/>
          <w:bCs/>
          <w:lang w:eastAsia="en-US" w:bidi="ar-SA"/>
        </w:rPr>
        <w:t>/mris/derivatives/bedpostx</w:t>
      </w:r>
    </w:p>
    <w:p>
      <w:pPr>
        <w:pStyle w:val="Normal"/>
        <w:numPr>
          <w:ilvl w:val="1"/>
          <w:numId w:val="12"/>
        </w:numPr>
        <w:suppressAutoHyphens w:val="false"/>
        <w:spacing w:before="0" w:after="0"/>
        <w:rPr/>
      </w:pPr>
      <w:r>
        <w:rPr>
          <w:rStyle w:val="Bullets"/>
          <w:b w:val="false"/>
          <w:bCs w:val="false"/>
          <w:lang w:eastAsia="en-US" w:bidi="ar-SA"/>
        </w:rPr>
        <w:t>FSL BEDPOSTX results for estimating fibre orientations (DWI)</w:t>
      </w:r>
    </w:p>
    <w:p>
      <w:pPr>
        <w:pStyle w:val="Normal"/>
        <w:numPr>
          <w:ilvl w:val="0"/>
          <w:numId w:val="12"/>
        </w:numPr>
        <w:suppressAutoHyphens w:val="false"/>
        <w:spacing w:before="0" w:after="0"/>
        <w:rPr/>
      </w:pPr>
      <w:r>
        <w:rPr>
          <w:rStyle w:val="Bullets"/>
          <w:b/>
          <w:bCs/>
          <w:lang w:eastAsia="en-US" w:bidi="ar-SA"/>
        </w:rPr>
        <w:t xml:space="preserve">/mris/derivatives/brainager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Products of brain age estimation pipeline (T1w)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6" w:tgtFrame="_blank">
        <w:r>
          <w:rPr>
            <w:rStyle w:val="Style6"/>
            <w:lang w:eastAsia="en-US" w:bidi="ar-SA"/>
          </w:rPr>
          <w:t xml:space="preserve">https://a2cps.github.io/starterkits/brainager.html </w:t>
        </w:r>
      </w:hyperlink>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/mris/derivatives/cat12</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Products of CAT12, the Computational Anatomy Toolkit (T1w)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7" w:tgtFrame="_blank">
        <w:r>
          <w:rPr>
            <w:rStyle w:val="Style6"/>
            <w:lang w:eastAsia="en-US" w:bidi="ar-SA"/>
          </w:rPr>
          <w:t xml:space="preserve">https://a2cps.github.io/starterkits/cat12.html </w:t>
        </w:r>
      </w:hyperlink>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/mris/derivatives/dwi_biomarker1</w:t>
      </w:r>
    </w:p>
    <w:p>
      <w:pPr>
        <w:pStyle w:val="Normal"/>
        <w:numPr>
          <w:ilvl w:val="1"/>
          <w:numId w:val="12"/>
        </w:numPr>
        <w:suppressAutoHyphens w:val="false"/>
        <w:spacing w:before="0" w:after="0"/>
        <w:rPr>
          <w:b w:val="false"/>
          <w:bCs w:val="false"/>
        </w:rPr>
      </w:pPr>
      <w:r>
        <w:rPr>
          <w:b w:val="false"/>
          <w:bCs w:val="false"/>
        </w:rPr>
        <w:t>Primary biomarker measuring structural connectivity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/mris/derivatives/eddyqc</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Products of eddyqc, an automated quality control tool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/mris/derivatives/eddyqc_nodenoise</w:t>
      </w:r>
    </w:p>
    <w:p>
      <w:pPr>
        <w:pStyle w:val="Normal"/>
        <w:numPr>
          <w:ilvl w:val="1"/>
          <w:numId w:val="12"/>
        </w:numPr>
        <w:suppressAutoHyphens w:val="false"/>
        <w:spacing w:before="0" w:after="0"/>
        <w:rPr>
          <w:rStyle w:val="Bullets"/>
          <w:lang w:eastAsia="en-US" w:bidi="ar-SA"/>
        </w:rPr>
      </w:pPr>
      <w:r>
        <w:rPr>
          <w:rStyle w:val="Bullets"/>
          <w:lang w:eastAsia="en-US" w:bidi="ar-SA"/>
        </w:rPr>
        <w:t>Products of eddyqc using QSIprep data with denoising steps skipped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/mris/derivatives/fcn</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Functional connectivity products (fMRI)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8" w:tgtFrame="_blank">
        <w:r>
          <w:rPr>
            <w:rStyle w:val="Style6"/>
            <w:lang w:eastAsia="en-US" w:bidi="ar-SA"/>
          </w:rPr>
          <w:t xml:space="preserve">https://a2cps.github.io/starterkits/fcn.html </w:t>
        </w:r>
      </w:hyperlink>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/mris/derivatives/fmriprep</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Products of fMRIPrep (fMRI, T1w)</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/mris/derivatives/freesurfer</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Iimage and tabular outputs from the FreeSurfer pipeline (T1w)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9" w:tgtFrame="_blank">
        <w:r>
          <w:rPr>
            <w:rStyle w:val="Style6"/>
            <w:lang w:eastAsia="en-US" w:bidi="ar-SA"/>
          </w:rPr>
          <w:t xml:space="preserve">https://a2cps.github.io/starterkits/freesurfer.html </w:t>
        </w:r>
      </w:hyperlink>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/mris/derivatives/fslanat</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Products of the FSLanat pipeline (T1w)</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/mris/derivatives/gift</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Independent component analysis (ICA) products from GIFT/NeuroMark (fMRI)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/mris/derivatives/mriqc</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Products of the MRIQC automated quality control pipeline (T1w, fMRI, DWI)</w:t>
      </w:r>
    </w:p>
    <w:p>
      <w:pPr>
        <w:pStyle w:val="Normal"/>
        <w:numPr>
          <w:ilvl w:val="0"/>
          <w:numId w:val="12"/>
        </w:numPr>
        <w:suppressAutoHyphens w:val="false"/>
        <w:spacing w:before="0" w:after="0"/>
        <w:rPr/>
      </w:pPr>
      <w:r>
        <w:rPr>
          <w:rStyle w:val="Bullets"/>
          <w:b/>
          <w:bCs/>
          <w:lang w:eastAsia="en-US" w:bidi="ar-SA"/>
        </w:rPr>
        <w:t xml:space="preserve">/mris/derivatives/postdtifit </w:t>
      </w:r>
    </w:p>
    <w:p>
      <w:pPr>
        <w:pStyle w:val="Normal"/>
        <w:numPr>
          <w:ilvl w:val="1"/>
          <w:numId w:val="12"/>
        </w:numPr>
        <w:suppressAutoHyphens w:val="false"/>
        <w:spacing w:before="0" w:after="0"/>
        <w:rPr/>
      </w:pPr>
      <w:r>
        <w:rPr>
          <w:rStyle w:val="Bullets"/>
          <w:b w:val="false"/>
          <w:bCs w:val="false"/>
          <w:lang w:eastAsia="en-US" w:bidi="ar-SA"/>
        </w:rPr>
        <w:t xml:space="preserve">Measures derived from </w:t>
      </w:r>
      <w:r>
        <w:rPr>
          <w:rStyle w:val="Bullets"/>
          <w:b w:val="false"/>
          <w:bCs w:val="false"/>
          <w:lang w:eastAsia="en-US" w:bidi="ar-SA"/>
        </w:rPr>
        <w:t xml:space="preserve">FSL </w:t>
      </w:r>
      <w:r>
        <w:rPr>
          <w:rStyle w:val="Bullets"/>
          <w:b w:val="false"/>
          <w:bCs w:val="false"/>
          <w:lang w:eastAsia="en-US" w:bidi="ar-SA"/>
        </w:rPr>
        <w:t xml:space="preserve">dtifit outputs, </w:t>
      </w:r>
      <w:r>
        <w:rPr>
          <w:rStyle w:val="Bullets"/>
          <w:b w:val="false"/>
          <w:bCs w:val="false"/>
          <w:lang w:eastAsia="en-US" w:bidi="ar-SA"/>
        </w:rPr>
        <w:t>e.g. FA and MD regional values</w:t>
      </w:r>
      <w:r>
        <w:rPr>
          <w:rStyle w:val="Bullets"/>
          <w:b w:val="false"/>
          <w:bCs w:val="false"/>
          <w:lang w:eastAsia="en-US" w:bidi="ar-SA"/>
        </w:rPr>
        <w:t xml:space="preserve"> (DWI)</w:t>
      </w:r>
    </w:p>
    <w:p>
      <w:pPr>
        <w:pStyle w:val="Normal"/>
        <w:numPr>
          <w:ilvl w:val="0"/>
          <w:numId w:val="12"/>
        </w:numPr>
        <w:suppressAutoHyphens w:val="false"/>
        <w:spacing w:before="0" w:after="0"/>
        <w:rPr/>
      </w:pPr>
      <w:r>
        <w:rPr>
          <w:rStyle w:val="Bullets"/>
          <w:b/>
          <w:bCs/>
          <w:lang w:eastAsia="en-US" w:bidi="ar-SA"/>
        </w:rPr>
        <w:t>/mris/derivatives/postgift:</w:t>
      </w:r>
      <w:r>
        <w:rPr>
          <w:rStyle w:val="Bullets"/>
          <w:b w:val="false"/>
          <w:bCs w:val="false"/>
          <w:lang w:eastAsia="en-US" w:bidi="ar-SA"/>
        </w:rPr>
        <w:t xml:space="preserve"> </w:t>
      </w:r>
    </w:p>
    <w:p>
      <w:pPr>
        <w:pStyle w:val="Normal"/>
        <w:numPr>
          <w:ilvl w:val="1"/>
          <w:numId w:val="12"/>
        </w:numPr>
        <w:suppressAutoHyphens w:val="false"/>
        <w:spacing w:before="0" w:after="0"/>
        <w:rPr/>
      </w:pPr>
      <w:r>
        <w:rPr>
          <w:rStyle w:val="Bullets"/>
          <w:b w:val="false"/>
          <w:bCs w:val="false"/>
          <w:lang w:eastAsia="en-US" w:bidi="ar-SA"/>
        </w:rPr>
        <w:t>Measures derived from GIFT/NeuroMark outputs, such as amplitudes (fMRI)</w:t>
      </w:r>
    </w:p>
    <w:p>
      <w:pPr>
        <w:pStyle w:val="Normal"/>
        <w:numPr>
          <w:ilvl w:val="0"/>
          <w:numId w:val="12"/>
        </w:numPr>
        <w:suppressAutoHyphens w:val="false"/>
        <w:spacing w:before="0" w:after="0"/>
        <w:rPr/>
      </w:pPr>
      <w:r>
        <w:rPr>
          <w:rStyle w:val="Bullets"/>
          <w:b/>
          <w:bCs/>
          <w:lang w:eastAsia="en-US" w:bidi="ar-SA"/>
        </w:rPr>
        <w:t>/mris/derivatives/qc</w:t>
      </w:r>
    </w:p>
    <w:p>
      <w:pPr>
        <w:pStyle w:val="Normal"/>
        <w:numPr>
          <w:ilvl w:val="1"/>
          <w:numId w:val="12"/>
        </w:numPr>
        <w:suppressAutoHyphens w:val="false"/>
        <w:spacing w:before="0" w:after="0"/>
        <w:rPr/>
      </w:pPr>
      <w:r>
        <w:rPr>
          <w:rStyle w:val="Bullets"/>
          <w:b w:val="false"/>
          <w:bCs w:val="false"/>
          <w:lang w:eastAsia="en-US" w:bidi="ar-SA"/>
        </w:rPr>
        <w:t>Database of results from manual reviews of derivative quality (T1w, fMRI,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/mris/derivatives/qsiprep-V1</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Products of the QSIprep pipeline (DWI)</w:t>
      </w:r>
    </w:p>
    <w:p>
      <w:pPr>
        <w:pStyle w:val="Normal"/>
        <w:numPr>
          <w:ilvl w:val="0"/>
          <w:numId w:val="12"/>
        </w:numPr>
        <w:suppressAutoHyphens w:val="false"/>
        <w:spacing w:before="0" w:after="0"/>
        <w:rPr/>
      </w:pPr>
      <w:r>
        <w:rPr>
          <w:rStyle w:val="Bullets"/>
          <w:b/>
          <w:bCs/>
          <w:lang w:eastAsia="en-US" w:bidi="ar-SA"/>
        </w:rPr>
        <w:t>/mris/derivatives/qsiprep_nodenoise-V1</w:t>
      </w:r>
    </w:p>
    <w:p>
      <w:pPr>
        <w:pStyle w:val="Normal"/>
        <w:numPr>
          <w:ilvl w:val="1"/>
          <w:numId w:val="12"/>
        </w:numPr>
        <w:suppressAutoHyphens w:val="false"/>
        <w:spacing w:before="0" w:after="0"/>
        <w:rPr/>
      </w:pPr>
      <w:r>
        <w:rPr>
          <w:rStyle w:val="Bullets"/>
          <w:b w:val="false"/>
          <w:bCs w:val="false"/>
          <w:lang w:eastAsia="en-US" w:bidi="ar-SA"/>
        </w:rPr>
        <w:t>Products of the QSIprep pipeline with denoising steps skipped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/mris/derivatives/qsirecon_fsl_dtifit</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b w:val="false"/>
          <w:bCs w:val="false"/>
          <w:lang w:eastAsia="en-US" w:bidi="ar-SA"/>
        </w:rPr>
        <w:t>Results from FSL’s ‘dtifit’ on QSIrecon processed data (DWI)</w:t>
      </w:r>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/mris/derivatives/signatures</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Pain signatures calculated with Neural Pain Signature (fMRI)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Info: </w:t>
      </w:r>
      <w:hyperlink r:id="rId10" w:tgtFrame="_blank">
        <w:r>
          <w:rPr>
            <w:rStyle w:val="Style6"/>
            <w:lang w:eastAsia="en-US" w:bidi="ar-SA"/>
          </w:rPr>
          <w:t xml:space="preserve">https://a2cps.github.io/starterkits/neural-pain-signatures.html </w:t>
        </w:r>
      </w:hyperlink>
    </w:p>
    <w:p>
      <w:pPr>
        <w:pStyle w:val="Normal"/>
        <w:numPr>
          <w:ilvl w:val="0"/>
          <w:numId w:val="12"/>
        </w:numPr>
        <w:suppressAutoHyphens w:val="false"/>
        <w:spacing w:before="0" w:after="0"/>
        <w:rPr>
          <w:rStyle w:val="Bullets"/>
          <w:lang w:eastAsia="en-US" w:bidi="ar-SA"/>
        </w:rPr>
      </w:pPr>
      <w:r>
        <w:rPr>
          <w:rStyle w:val="Bullets"/>
          <w:b/>
          <w:bCs/>
          <w:lang w:eastAsia="en-US" w:bidi="ar-SA"/>
        </w:rPr>
        <w:t>/mris/derivatives/synthstrip</w:t>
      </w:r>
      <w:r>
        <w:rPr>
          <w:rStyle w:val="Bullets"/>
          <w:lang w:eastAsia="en-US" w:bidi="ar-SA"/>
        </w:rPr>
        <w:t xml:space="preserve"> </w:t>
      </w:r>
    </w:p>
    <w:p>
      <w:pPr>
        <w:pStyle w:val="Normal"/>
        <w:numPr>
          <w:ilvl w:val="1"/>
          <w:numId w:val="12"/>
        </w:numPr>
        <w:suppressAutoHyphens w:val="false"/>
        <w:spacing w:before="0" w:after="0"/>
        <w:rPr>
          <w:rStyle w:val="Bullets"/>
          <w:lang w:eastAsia="en-US" w:bidi="ar-SA"/>
        </w:rPr>
      </w:pPr>
      <w:r>
        <w:rPr>
          <w:rStyle w:val="Bullets"/>
          <w:lang w:eastAsia="en-US" w:bidi="ar-SA"/>
        </w:rPr>
        <w:t xml:space="preserve">Skull stripping results from the SynthStrip tool (T1w) </w:t>
      </w:r>
    </w:p>
    <w:p>
      <w:pPr>
        <w:pStyle w:val="Heading1"/>
        <w:numPr>
          <w:ilvl w:val="0"/>
          <w:numId w:val="1"/>
        </w:numPr>
        <w:rPr>
          <w:rFonts w:hint="eastAsia"/>
        </w:rPr>
      </w:pPr>
      <w:bookmarkStart w:id="12" w:name="__RefHeading___Toc2035_2332052893"/>
      <w:bookmarkStart w:id="13" w:name="_Toc218847441"/>
      <w:bookmarkEnd w:id="12"/>
      <w:r>
        <w:rPr/>
        <w:t>2. Summary of Site Information</w:t>
      </w:r>
      <w:bookmarkEnd w:id="13"/>
    </w:p>
    <w:p>
      <w:pPr>
        <w:pStyle w:val="Caption"/>
        <w:rPr/>
      </w:pPr>
      <w:r>
        <w:rPr>
          <w:b/>
          <w:bCs/>
        </w:rPr>
        <w:t>Table 1:</w:t>
      </w:r>
      <w:r>
        <w:rPr/>
        <w:t xml:space="preserve"> Scanners by site. </w:t>
      </w:r>
      <w:r>
        <w:rPr>
          <w:b/>
          <w:bCs/>
        </w:rPr>
        <w:t>Notes</w:t>
      </w:r>
      <w:r>
        <w:rPr/>
        <w:t xml:space="preserve">: </w:t>
      </w:r>
      <w:r>
        <w:rPr>
          <w:b/>
          <w:bCs/>
        </w:rPr>
        <w:t>RU</w:t>
      </w:r>
      <w:r>
        <w:rPr/>
        <w:t xml:space="preserve"> began acquisition in 2024. </w:t>
      </w:r>
      <w:r>
        <w:rPr>
          <w:b/>
          <w:bCs/>
        </w:rPr>
        <w:t xml:space="preserve">WS </w:t>
      </w:r>
      <w:r>
        <w:rPr/>
        <w:t>switched scanners in September 2024. Some scanners have been upgraded over the course of the study.</w:t>
      </w:r>
    </w:p>
    <w:tbl>
      <w:tblPr>
        <w:tblW w:w="9990" w:type="dxa"/>
        <w:jc w:val="start"/>
        <w:tblInd w:w="46" w:type="dxa"/>
        <w:tblLayout w:type="fixed"/>
        <w:tblCellMar>
          <w:top w:w="55" w:type="dxa"/>
          <w:start w:w="55" w:type="dxa"/>
          <w:bottom w:w="55" w:type="dxa"/>
          <w:end w:w="55" w:type="dxa"/>
        </w:tblCellMar>
        <w:tblLook w:firstRow="1" w:noVBand="1" w:lastRow="0" w:firstColumn="1" w:lastColumn="0" w:noHBand="0" w:val="04a0"/>
      </w:tblPr>
      <w:tblGrid>
        <w:gridCol w:w="814"/>
        <w:gridCol w:w="1411"/>
        <w:gridCol w:w="1424"/>
        <w:gridCol w:w="1110"/>
        <w:gridCol w:w="620"/>
        <w:gridCol w:w="1150"/>
        <w:gridCol w:w="3461"/>
      </w:tblGrid>
      <w:tr>
        <w:trPr>
          <w:tblHeader w:val="true"/>
          <w:trHeight w:val="510" w:hRule="atLeast"/>
          <w:cantSplit w:val="true"/>
        </w:trPr>
        <w:tc>
          <w:tcPr>
            <w:tcW w:w="814"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Group</w:t>
            </w:r>
          </w:p>
        </w:tc>
        <w:tc>
          <w:tcPr>
            <w:tcW w:w="1411"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Site</w:t>
            </w:r>
          </w:p>
        </w:tc>
        <w:tc>
          <w:tcPr>
            <w:tcW w:w="1424"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Manufacturer</w:t>
            </w:r>
          </w:p>
        </w:tc>
        <w:tc>
          <w:tcPr>
            <w:tcW w:w="1110"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Model</w:t>
            </w:r>
          </w:p>
        </w:tc>
        <w:tc>
          <w:tcPr>
            <w:tcW w:w="620"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Bore</w:t>
            </w:r>
          </w:p>
        </w:tc>
        <w:tc>
          <w:tcPr>
            <w:tcW w:w="1150"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Gradients</w:t>
            </w:r>
          </w:p>
        </w:tc>
        <w:tc>
          <w:tcPr>
            <w:tcW w:w="3461" w:type="dxa"/>
            <w:tcBorders>
              <w:top w:val="single" w:sz="4" w:space="0" w:color="000000"/>
              <w:start w:val="single" w:sz="4" w:space="0" w:color="000000"/>
              <w:bottom w:val="single" w:sz="4" w:space="0" w:color="000000"/>
              <w:end w:val="single" w:sz="4" w:space="0" w:color="000000"/>
            </w:tcBorders>
          </w:tcPr>
          <w:p>
            <w:pPr>
              <w:pStyle w:val="TableHeading"/>
              <w:spacing w:before="0" w:after="283"/>
              <w:rPr/>
            </w:pPr>
            <w:r>
              <w:rPr>
                <w:rStyle w:val="Strong"/>
                <w:b/>
                <w:bCs w:val="false"/>
                <w:sz w:val="20"/>
                <w:szCs w:val="20"/>
              </w:rPr>
              <w:t>Latest Version</w:t>
            </w:r>
          </w:p>
        </w:tc>
      </w:tr>
      <w:tr>
        <w:trPr>
          <w:cantSplit w:val="true"/>
        </w:trPr>
        <w:tc>
          <w:tcPr>
            <w:tcW w:w="814" w:type="dxa"/>
            <w:vMerge w:val="restart"/>
            <w:tcBorders>
              <w:start w:val="single" w:sz="4" w:space="0" w:color="000000"/>
              <w:bottom w:val="single" w:sz="4" w:space="0" w:color="000000"/>
            </w:tcBorders>
            <w:vAlign w:val="center"/>
          </w:tcPr>
          <w:p>
            <w:pPr>
              <w:pStyle w:val="TableContents"/>
              <w:rPr>
                <w:b/>
                <w:bCs/>
                <w:sz w:val="20"/>
                <w:szCs w:val="20"/>
              </w:rPr>
            </w:pPr>
            <w:r>
              <w:rPr>
                <w:b/>
                <w:bCs/>
                <w:sz w:val="20"/>
                <w:szCs w:val="20"/>
              </w:rPr>
              <w:t>MCC1</w:t>
            </w:r>
          </w:p>
        </w:tc>
        <w:tc>
          <w:tcPr>
            <w:tcW w:w="1411" w:type="dxa"/>
            <w:tcBorders>
              <w:start w:val="single" w:sz="4" w:space="0" w:color="000000"/>
              <w:bottom w:val="single" w:sz="4" w:space="0" w:color="000000"/>
            </w:tcBorders>
            <w:vAlign w:val="center"/>
          </w:tcPr>
          <w:p>
            <w:pPr>
              <w:pStyle w:val="TableContents"/>
              <w:spacing w:before="0" w:after="283"/>
              <w:rPr>
                <w:sz w:val="20"/>
                <w:szCs w:val="20"/>
              </w:rPr>
            </w:pPr>
            <w:r>
              <w:rPr>
                <w:b/>
                <w:bCs/>
                <w:sz w:val="20"/>
                <w:szCs w:val="20"/>
              </w:rPr>
              <w:t xml:space="preserve">UI: </w:t>
            </w:r>
            <w:r>
              <w:rPr>
                <w:sz w:val="20"/>
                <w:szCs w:val="20"/>
              </w:rPr>
              <w:t>U. Illinois Chicago (UIC)</w:t>
            </w:r>
          </w:p>
        </w:tc>
        <w:tc>
          <w:tcPr>
            <w:tcW w:w="1424" w:type="dxa"/>
            <w:tcBorders>
              <w:start w:val="single" w:sz="4" w:space="0" w:color="000000"/>
              <w:bottom w:val="single" w:sz="4" w:space="0" w:color="000000"/>
            </w:tcBorders>
            <w:vAlign w:val="center"/>
          </w:tcPr>
          <w:p>
            <w:pPr>
              <w:pStyle w:val="TableContents"/>
              <w:spacing w:before="0" w:after="283"/>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spacing w:before="0" w:after="283"/>
              <w:rPr>
                <w:sz w:val="20"/>
                <w:szCs w:val="20"/>
              </w:rPr>
            </w:pPr>
            <w:r>
              <w:rPr>
                <w:sz w:val="20"/>
                <w:szCs w:val="20"/>
              </w:rPr>
              <w:t>Discovery 3T MR750</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50/200</w:t>
            </w:r>
          </w:p>
        </w:tc>
        <w:tc>
          <w:tcPr>
            <w:tcW w:w="3461" w:type="dxa"/>
            <w:tcBorders>
              <w:start w:val="single" w:sz="4" w:space="0" w:color="000000"/>
              <w:bottom w:val="single" w:sz="4" w:space="0" w:color="000000"/>
              <w:end w:val="single" w:sz="4" w:space="0" w:color="000000"/>
            </w:tcBorders>
            <w:vAlign w:val="center"/>
          </w:tcPr>
          <w:p>
            <w:pPr>
              <w:pStyle w:val="TableContents"/>
              <w:spacing w:before="0" w:after="283"/>
              <w:rPr>
                <w:sz w:val="20"/>
                <w:szCs w:val="20"/>
              </w:rPr>
            </w:pPr>
            <w:r>
              <w:rPr>
                <w:sz w:val="20"/>
                <w:szCs w:val="20"/>
              </w:rPr>
              <w:t>MR30.1_R04_2421.a</w:t>
            </w:r>
          </w:p>
        </w:tc>
      </w:tr>
      <w:tr>
        <w:trPr>
          <w:cantSplit w:val="true"/>
        </w:trPr>
        <w:tc>
          <w:tcPr>
            <w:tcW w:w="814" w:type="dxa"/>
            <w:vMerge w:val="continue"/>
            <w:tcBorders>
              <w:start w:val="single" w:sz="4" w:space="0" w:color="000000"/>
            </w:tcBorders>
            <w:vAlign w:val="center"/>
          </w:tcPr>
          <w:p>
            <w:pPr>
              <w:pStyle w:val="TableContents"/>
              <w:rPr>
                <w:sz w:val="20"/>
                <w:szCs w:val="20"/>
              </w:rPr>
            </w:pPr>
            <w:r>
              <w:rPr>
                <w:sz w:val="20"/>
                <w:szCs w:val="20"/>
              </w:rPr>
            </w:r>
          </w:p>
        </w:tc>
        <w:tc>
          <w:tcPr>
            <w:tcW w:w="1411" w:type="dxa"/>
            <w:tcBorders>
              <w:start w:val="single" w:sz="4" w:space="0" w:color="000000"/>
              <w:bottom w:val="single" w:sz="4" w:space="0" w:color="000000"/>
            </w:tcBorders>
            <w:vAlign w:val="center"/>
          </w:tcPr>
          <w:p>
            <w:pPr>
              <w:pStyle w:val="TableContents"/>
              <w:rPr>
                <w:sz w:val="20"/>
                <w:szCs w:val="20"/>
              </w:rPr>
            </w:pPr>
            <w:r>
              <w:rPr>
                <w:b/>
                <w:bCs/>
                <w:sz w:val="20"/>
                <w:szCs w:val="20"/>
              </w:rPr>
              <w:t xml:space="preserve">NS: </w:t>
            </w:r>
            <w:r>
              <w:rPr>
                <w:sz w:val="20"/>
                <w:szCs w:val="20"/>
              </w:rPr>
              <w:t>Endeavor Health</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Skyra_fit</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45/200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syngo MR E11 (VE11C)</w:t>
            </w:r>
          </w:p>
        </w:tc>
      </w:tr>
      <w:tr>
        <w:trPr>
          <w:cantSplit w:val="true"/>
        </w:trPr>
        <w:tc>
          <w:tcPr>
            <w:tcW w:w="814" w:type="dxa"/>
            <w:vMerge w:val="continue"/>
            <w:tcBorders>
              <w:start w:val="single" w:sz="4" w:space="0" w:color="000000"/>
            </w:tcBorders>
            <w:vAlign w:val="center"/>
          </w:tcPr>
          <w:p>
            <w:pPr>
              <w:pStyle w:val="TableContents"/>
              <w:rPr>
                <w:sz w:val="20"/>
                <w:szCs w:val="20"/>
              </w:rPr>
            </w:pPr>
            <w:r>
              <w:rPr>
                <w:sz w:val="20"/>
                <w:szCs w:val="20"/>
              </w:rPr>
            </w:r>
          </w:p>
        </w:tc>
        <w:tc>
          <w:tcPr>
            <w:tcW w:w="1411" w:type="dxa"/>
            <w:tcBorders>
              <w:start w:val="single" w:sz="4" w:space="0" w:color="000000"/>
              <w:bottom w:val="single" w:sz="4" w:space="0" w:color="000000"/>
            </w:tcBorders>
            <w:vAlign w:val="center"/>
          </w:tcPr>
          <w:p>
            <w:pPr>
              <w:pStyle w:val="TableContents"/>
              <w:rPr>
                <w:sz w:val="20"/>
                <w:szCs w:val="20"/>
              </w:rPr>
            </w:pPr>
            <w:r>
              <w:rPr>
                <w:b/>
                <w:bCs/>
                <w:sz w:val="20"/>
                <w:szCs w:val="20"/>
              </w:rPr>
              <w:t xml:space="preserve">UC: </w:t>
            </w:r>
            <w:r>
              <w:rPr>
                <w:sz w:val="20"/>
                <w:szCs w:val="20"/>
              </w:rPr>
              <w:t>U. Chicago</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Philips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Ingenia dStream</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5.6.1.0</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11" w:type="dxa"/>
            <w:tcBorders>
              <w:start w:val="single" w:sz="4" w:space="0" w:color="000000"/>
              <w:bottom w:val="single" w:sz="4" w:space="0" w:color="000000"/>
            </w:tcBorders>
            <w:vAlign w:val="center"/>
          </w:tcPr>
          <w:p>
            <w:pPr>
              <w:pStyle w:val="TableContents"/>
              <w:rPr>
                <w:sz w:val="20"/>
                <w:szCs w:val="20"/>
              </w:rPr>
            </w:pPr>
            <w:r>
              <w:rPr>
                <w:b/>
                <w:bCs/>
                <w:sz w:val="20"/>
                <w:szCs w:val="20"/>
              </w:rPr>
              <w:t>RU</w:t>
            </w:r>
            <w:r>
              <w:rPr>
                <w:sz w:val="20"/>
                <w:szCs w:val="20"/>
              </w:rPr>
              <w:t>: Rush University</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Prisma</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XA30A</w:t>
            </w:r>
          </w:p>
        </w:tc>
      </w:tr>
      <w:tr>
        <w:trPr>
          <w:cantSplit w:val="true"/>
        </w:trPr>
        <w:tc>
          <w:tcPr>
            <w:tcW w:w="814" w:type="dxa"/>
            <w:vMerge w:val="restart"/>
            <w:tcBorders>
              <w:start w:val="single" w:sz="4" w:space="0" w:color="000000"/>
              <w:bottom w:val="single" w:sz="4" w:space="0" w:color="000000"/>
            </w:tcBorders>
            <w:vAlign w:val="center"/>
          </w:tcPr>
          <w:p>
            <w:pPr>
              <w:pStyle w:val="TableContents"/>
              <w:rPr>
                <w:b/>
                <w:bCs/>
                <w:sz w:val="20"/>
                <w:szCs w:val="20"/>
              </w:rPr>
            </w:pPr>
            <w:r>
              <w:rPr>
                <w:b/>
                <w:bCs/>
                <w:sz w:val="20"/>
                <w:szCs w:val="20"/>
              </w:rPr>
              <w:t>MCC2</w:t>
            </w:r>
          </w:p>
        </w:tc>
        <w:tc>
          <w:tcPr>
            <w:tcW w:w="1411" w:type="dxa"/>
            <w:vMerge w:val="restart"/>
            <w:tcBorders>
              <w:start w:val="single" w:sz="4" w:space="0" w:color="000000"/>
              <w:bottom w:val="single" w:sz="4" w:space="0" w:color="000000"/>
            </w:tcBorders>
            <w:vAlign w:val="center"/>
          </w:tcPr>
          <w:p>
            <w:pPr>
              <w:pStyle w:val="TableContents"/>
              <w:rPr>
                <w:sz w:val="20"/>
                <w:szCs w:val="20"/>
              </w:rPr>
            </w:pPr>
            <w:r>
              <w:rPr>
                <w:b/>
                <w:bCs/>
                <w:sz w:val="20"/>
                <w:szCs w:val="20"/>
              </w:rPr>
              <w:t xml:space="preserve">UM: </w:t>
            </w:r>
            <w:r>
              <w:rPr>
                <w:sz w:val="20"/>
                <w:szCs w:val="20"/>
              </w:rPr>
              <w:t>U. Michigan</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Discovery 3T MR750</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50/200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LX1.MR30.1_R01_2322.c</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11"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Signa UHP</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 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100/200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MR30</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11" w:type="dxa"/>
            <w:vMerge w:val="restart"/>
            <w:tcBorders>
              <w:start w:val="single" w:sz="4" w:space="0" w:color="000000"/>
              <w:bottom w:val="single" w:sz="4" w:space="0" w:color="000000"/>
            </w:tcBorders>
            <w:vAlign w:val="center"/>
          </w:tcPr>
          <w:p>
            <w:pPr>
              <w:pStyle w:val="TableContents"/>
              <w:rPr>
                <w:sz w:val="20"/>
                <w:szCs w:val="20"/>
              </w:rPr>
            </w:pPr>
            <w:r>
              <w:rPr>
                <w:b/>
                <w:bCs/>
                <w:sz w:val="20"/>
                <w:szCs w:val="20"/>
              </w:rPr>
              <w:t>WS</w:t>
            </w:r>
            <w:r>
              <w:rPr>
                <w:sz w:val="20"/>
                <w:szCs w:val="20"/>
              </w:rPr>
              <w:t>: Wayne State</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Verio</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45/200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syngo MR B17</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11"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Cima.X</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200/200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XA61</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11" w:type="dxa"/>
            <w:tcBorders>
              <w:start w:val="single" w:sz="4" w:space="0" w:color="000000"/>
              <w:bottom w:val="single" w:sz="4" w:space="0" w:color="000000"/>
            </w:tcBorders>
            <w:vAlign w:val="center"/>
          </w:tcPr>
          <w:p>
            <w:pPr>
              <w:pStyle w:val="TableContents"/>
              <w:rPr>
                <w:sz w:val="20"/>
                <w:szCs w:val="20"/>
              </w:rPr>
            </w:pPr>
            <w:r>
              <w:rPr>
                <w:b/>
                <w:bCs/>
                <w:sz w:val="20"/>
                <w:szCs w:val="20"/>
              </w:rPr>
              <w:t>SH</w:t>
            </w:r>
            <w:r>
              <w:rPr>
                <w:sz w:val="20"/>
                <w:szCs w:val="20"/>
              </w:rPr>
              <w:t>: Corewell Health/MSU - Grand Rapids</w:t>
            </w:r>
          </w:p>
        </w:tc>
        <w:tc>
          <w:tcPr>
            <w:tcW w:w="1424"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Prisma</w:t>
            </w:r>
          </w:p>
        </w:tc>
        <w:tc>
          <w:tcPr>
            <w:tcW w:w="620"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50"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1"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XA60</w:t>
            </w:r>
          </w:p>
        </w:tc>
      </w:tr>
    </w:tbl>
    <w:p>
      <w:pPr>
        <w:pStyle w:val="BodyText"/>
        <w:rPr/>
      </w:pPr>
      <w:r>
        <w:rPr/>
        <w:t>Gradients: Maximum mT/m amplitude and T/m/s slew rate</w:t>
      </w:r>
    </w:p>
    <w:p>
      <w:pPr>
        <w:pStyle w:val="BodyText"/>
        <w:rPr/>
      </w:pPr>
      <w:r>
        <w:rPr/>
        <w:t>Corewell Health began the study as Spectrum Health, and thus has the designation “SH”, and likewise Endeavor Health began as “NorthShore”.</w:t>
      </w:r>
    </w:p>
    <w:p>
      <w:pPr>
        <w:pStyle w:val="Caption"/>
        <w:rPr/>
      </w:pPr>
      <w:r>
        <w:rPr>
          <w:b/>
          <w:bCs/>
        </w:rPr>
        <w:t>Table 2</w:t>
      </w:r>
      <w:r>
        <w:rPr/>
        <w:t>: Headcoils and multiband implementations by site.</w:t>
      </w:r>
    </w:p>
    <w:tbl>
      <w:tblPr>
        <w:tblW w:w="7500" w:type="dxa"/>
        <w:jc w:val="start"/>
        <w:tblInd w:w="31" w:type="dxa"/>
        <w:tblLayout w:type="fixed"/>
        <w:tblCellMar>
          <w:top w:w="29" w:type="dxa"/>
          <w:start w:w="29" w:type="dxa"/>
          <w:bottom w:w="29" w:type="dxa"/>
          <w:end w:w="29" w:type="dxa"/>
        </w:tblCellMar>
        <w:tblLook w:firstRow="1" w:noVBand="1" w:lastRow="0" w:firstColumn="1" w:lastColumn="0" w:noHBand="0" w:val="04a0"/>
      </w:tblPr>
      <w:tblGrid>
        <w:gridCol w:w="798"/>
        <w:gridCol w:w="942"/>
        <w:gridCol w:w="2610"/>
        <w:gridCol w:w="3150"/>
      </w:tblGrid>
      <w:tr>
        <w:trPr>
          <w:tblHeader w:val="true"/>
        </w:trPr>
        <w:tc>
          <w:tcPr>
            <w:tcW w:w="798"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Group</w:t>
            </w:r>
          </w:p>
        </w:tc>
        <w:tc>
          <w:tcPr>
            <w:tcW w:w="942"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Site</w:t>
            </w:r>
          </w:p>
        </w:tc>
        <w:tc>
          <w:tcPr>
            <w:tcW w:w="2610"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Head Coil</w:t>
            </w:r>
          </w:p>
        </w:tc>
        <w:tc>
          <w:tcPr>
            <w:tcW w:w="3150" w:type="dxa"/>
            <w:tcBorders>
              <w:top w:val="single" w:sz="2" w:space="0" w:color="000000"/>
              <w:start w:val="single" w:sz="2" w:space="0" w:color="000000"/>
              <w:bottom w:val="single" w:sz="2" w:space="0" w:color="000000"/>
              <w:end w:val="single" w:sz="2" w:space="0" w:color="000000"/>
            </w:tcBorders>
            <w:vAlign w:val="center"/>
          </w:tcPr>
          <w:p>
            <w:pPr>
              <w:pStyle w:val="TableHeading"/>
              <w:rPr>
                <w:sz w:val="20"/>
                <w:szCs w:val="20"/>
              </w:rPr>
            </w:pPr>
            <w:r>
              <w:rPr>
                <w:sz w:val="20"/>
                <w:szCs w:val="20"/>
              </w:rPr>
              <w:t>Multiband</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MCC1</w:t>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UI</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Nova Medical 32ch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ABCD</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NS</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MGH</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UC</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Philips 32ch dStream</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Philips product sequence</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RU</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CMRR</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MCC2</w:t>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UM</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32ch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ABCD</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WS</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32ch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CMRR</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SH</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50"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Siemens product sequence</w:t>
            </w:r>
          </w:p>
        </w:tc>
      </w:tr>
    </w:tbl>
    <w:p>
      <w:pPr>
        <w:pStyle w:val="BodyText"/>
        <w:spacing w:before="120" w:after="58"/>
        <w:rPr/>
      </w:pPr>
      <w:r>
        <w:rPr/>
        <w:t>Site specific imaging protocols were adapted from the ABCD study's published imaging protocol (</w:t>
      </w:r>
      <w:hyperlink r:id="rId11">
        <w:r>
          <w:rPr>
            <w:rStyle w:val="Hyperlink"/>
          </w:rPr>
          <w:t>https://abcdstudy.org/images/Protocol_Imaging_Sequences.pdf</w:t>
        </w:r>
      </w:hyperlink>
      <w:r>
        <w:rPr/>
        <w:t>) and at some sites ABCD sequences were available and used. Most sites follow ABCD’s T1w, DWI, and fMRI specification exactly, but fMRI and DWI protocols required alternate parameters on older scanners. Specific sequence parameter information is available in the BIDS .json files for each scan.</w:t>
      </w:r>
    </w:p>
    <w:p>
      <w:pPr>
        <w:pStyle w:val="Caption"/>
        <w:rPr/>
      </w:pPr>
      <w:r>
        <w:rPr>
          <w:b/>
          <w:bCs/>
        </w:rPr>
        <w:t>Table 3</w:t>
      </w:r>
      <w:r>
        <w:rPr/>
        <w:t xml:space="preserve">: Scanner serial numbers. </w:t>
      </w:r>
    </w:p>
    <w:tbl>
      <w:tblPr>
        <w:tblW w:w="4890" w:type="dxa"/>
        <w:jc w:val="start"/>
        <w:tblInd w:w="31" w:type="dxa"/>
        <w:tblLayout w:type="fixed"/>
        <w:tblCellMar>
          <w:top w:w="29" w:type="dxa"/>
          <w:start w:w="29" w:type="dxa"/>
          <w:bottom w:w="29" w:type="dxa"/>
          <w:end w:w="29" w:type="dxa"/>
        </w:tblCellMar>
        <w:tblLook w:firstRow="1" w:noVBand="1" w:lastRow="0" w:firstColumn="1" w:lastColumn="0" w:noHBand="0" w:val="04a0"/>
      </w:tblPr>
      <w:tblGrid>
        <w:gridCol w:w="798"/>
        <w:gridCol w:w="935"/>
        <w:gridCol w:w="3157"/>
      </w:tblGrid>
      <w:tr>
        <w:trPr>
          <w:tblHeader w:val="true"/>
        </w:trPr>
        <w:tc>
          <w:tcPr>
            <w:tcW w:w="798"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Group</w:t>
            </w:r>
          </w:p>
        </w:tc>
        <w:tc>
          <w:tcPr>
            <w:tcW w:w="935"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Site</w:t>
            </w:r>
          </w:p>
        </w:tc>
        <w:tc>
          <w:tcPr>
            <w:tcW w:w="3157" w:type="dxa"/>
            <w:tcBorders>
              <w:top w:val="single" w:sz="2" w:space="0" w:color="000000"/>
              <w:start w:val="single" w:sz="2" w:space="0" w:color="000000"/>
              <w:bottom w:val="single" w:sz="2" w:space="0" w:color="000000"/>
              <w:end w:val="single" w:sz="2" w:space="0" w:color="000000"/>
            </w:tcBorders>
            <w:vAlign w:val="center"/>
          </w:tcPr>
          <w:p>
            <w:pPr>
              <w:pStyle w:val="TableHeading"/>
              <w:rPr>
                <w:sz w:val="20"/>
                <w:szCs w:val="20"/>
              </w:rPr>
            </w:pPr>
            <w:r>
              <w:rPr>
                <w:sz w:val="20"/>
                <w:szCs w:val="20"/>
              </w:rPr>
              <w:t>Serial Number</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MCC1</w:t>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UI</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000000312996MR3T</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NS</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70032</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UC</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71399</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RU</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166295</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MCC2</w:t>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UM1</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000000000UM750MR</w:t>
            </w:r>
          </w:p>
        </w:tc>
      </w:tr>
      <w:tr>
        <w:trPr/>
        <w:tc>
          <w:tcPr>
            <w:tcW w:w="798" w:type="dxa"/>
            <w:vMerge w:val="continue"/>
            <w:tcBorders>
              <w:start w:val="single" w:sz="2" w:space="0" w:color="000000"/>
              <w:bottom w:val="single" w:sz="2" w:space="0" w:color="000000"/>
            </w:tcBorders>
            <w:vAlign w:val="center"/>
          </w:tcPr>
          <w:p>
            <w:pPr>
              <w:pStyle w:val="TableContents"/>
              <w:rPr>
                <w:b/>
                <w:bCs/>
                <w:sz w:val="20"/>
                <w:szCs w:val="20"/>
              </w:rPr>
            </w:pPr>
            <w:r>
              <w:rPr>
                <w:b/>
                <w:bCs/>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UM2</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0007347633TMRFIX</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WS (old)</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40292</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WS (new)</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213020</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SH</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66022</w:t>
            </w:r>
          </w:p>
        </w:tc>
      </w:tr>
    </w:tbl>
    <w:p>
      <w:pPr>
        <w:pStyle w:val="BodyText"/>
        <w:spacing w:before="120" w:after="58"/>
        <w:rPr/>
      </w:pPr>
      <w:r>
        <w:rPr/>
        <w:t>Scanner serial numbers are the intended way to distinguish sites and scanners. They are found in BIDS “sessions” files.</w:t>
      </w:r>
    </w:p>
    <w:p>
      <w:pPr>
        <w:pStyle w:val="BodyText"/>
        <w:spacing w:before="120" w:after="58"/>
        <w:rPr/>
      </w:pPr>
      <w:r>
        <w:rPr/>
        <w:t>Note that internally the Imaging CRF in REDCap uses codes “1” and “2” for the “Scanner Name” field to refer to what are designated “UM2” and “UM1” here, respectively.</w:t>
      </w:r>
    </w:p>
    <w:p>
      <w:pPr>
        <w:pStyle w:val="Heading1"/>
        <w:numPr>
          <w:ilvl w:val="0"/>
          <w:numId w:val="1"/>
        </w:numPr>
        <w:rPr>
          <w:rFonts w:hint="eastAsia"/>
        </w:rPr>
      </w:pPr>
      <w:bookmarkStart w:id="14" w:name="__RefHeading___Toc2037_2332052893"/>
      <w:bookmarkStart w:id="15" w:name="_Toc218847442"/>
      <w:bookmarkEnd w:id="14"/>
      <w:r>
        <w:rPr/>
        <w:t>3. Quality Measures and Ratings</w:t>
      </w:r>
      <w:bookmarkEnd w:id="15"/>
    </w:p>
    <w:p>
      <w:pPr>
        <w:pStyle w:val="BodyText"/>
        <w:numPr>
          <w:ilvl w:val="0"/>
          <w:numId w:val="1"/>
        </w:numPr>
        <w:rPr/>
      </w:pPr>
      <w:r>
        <w:rPr/>
        <w:t xml:space="preserve">Through all releases, including this one, a quality rating scheme has been applied to all raw data except DWI (ratings assignment for DWI data is expected in the next release). In this release, we have introduced an initial trial of quality guidance on some key aspects of derivative outputs (such as masks). </w:t>
      </w:r>
    </w:p>
    <w:p>
      <w:pPr>
        <w:pStyle w:val="Heading2"/>
        <w:numPr>
          <w:ilvl w:val="1"/>
          <w:numId w:val="1"/>
        </w:numPr>
        <w:rPr/>
      </w:pPr>
      <w:bookmarkStart w:id="16" w:name="__RefHeading___Toc9121_2332052893"/>
      <w:bookmarkEnd w:id="16"/>
      <w:r>
        <w:rPr/>
        <w:t>Raw Data</w:t>
      </w:r>
    </w:p>
    <w:p>
      <w:pPr>
        <w:pStyle w:val="BodyText"/>
        <w:rPr/>
      </w:pPr>
      <w:r>
        <w:rPr/>
        <w:t>To facilitate monitoring of the success of image acquisitions across sites and to aid in recording problematic cases, we devised a simple “traffic light” rating scheme that is used to assign images a color code:</w:t>
      </w:r>
    </w:p>
    <w:p>
      <w:pPr>
        <w:pStyle w:val="BodyText"/>
        <w:numPr>
          <w:ilvl w:val="0"/>
          <w:numId w:val="5"/>
        </w:numPr>
        <w:rPr/>
      </w:pPr>
      <w:r>
        <w:rPr/>
        <w:t>Green: no known issues</w:t>
      </w:r>
    </w:p>
    <w:p>
      <w:pPr>
        <w:pStyle w:val="BodyText"/>
        <w:numPr>
          <w:ilvl w:val="0"/>
          <w:numId w:val="5"/>
        </w:numPr>
        <w:rPr/>
      </w:pPr>
      <w:r>
        <w:rPr/>
        <w:t>Yellow: minor variations/issues; may be correctable</w:t>
      </w:r>
    </w:p>
    <w:p>
      <w:pPr>
        <w:pStyle w:val="BodyText"/>
        <w:numPr>
          <w:ilvl w:val="0"/>
          <w:numId w:val="5"/>
        </w:numPr>
        <w:rPr/>
      </w:pPr>
      <w:r>
        <w:rPr/>
        <w:t>Red: significant variations/issues; not expected to be comparable</w:t>
      </w:r>
    </w:p>
    <w:p>
      <w:pPr>
        <w:pStyle w:val="BodyText"/>
        <w:rPr/>
      </w:pPr>
      <w:r>
        <w:rPr/>
        <w:t>Note that these ratings were designed to indicate the presence and severity of data issues and are not necessarily recommendations for inclusion/exclusion decisions. For example,</w:t>
      </w:r>
    </w:p>
    <w:p>
      <w:pPr>
        <w:pStyle w:val="BodyText"/>
        <w:numPr>
          <w:ilvl w:val="0"/>
          <w:numId w:val="16"/>
        </w:numPr>
        <w:rPr/>
      </w:pPr>
      <w:r>
        <w:rPr/>
        <w:t xml:space="preserve">a Red rating does </w:t>
      </w:r>
      <w:r>
        <w:rPr>
          <w:i/>
          <w:iCs/>
        </w:rPr>
        <w:t>not</w:t>
      </w:r>
      <w:r>
        <w:rPr/>
        <w:t xml:space="preserve"> mean that data are unusable, but simply that a scan has been judged to be different from other scans of its type in a non-correctable way (this can be relatively minor; e.g., if the scan was truncated, even if only by a few TRs, it will be coded Red)</w:t>
      </w:r>
    </w:p>
    <w:p>
      <w:pPr>
        <w:pStyle w:val="BodyText"/>
        <w:numPr>
          <w:ilvl w:val="0"/>
          <w:numId w:val="16"/>
        </w:numPr>
        <w:rPr/>
      </w:pPr>
      <w:r>
        <w:rPr/>
        <w:t>Yellow scans should always be used with caution as their variations may be of different types, and some may make them undesirable for some purposes</w:t>
      </w:r>
    </w:p>
    <w:p>
      <w:pPr>
        <w:pStyle w:val="BodyText"/>
        <w:numPr>
          <w:ilvl w:val="0"/>
          <w:numId w:val="16"/>
        </w:numPr>
        <w:rPr/>
      </w:pPr>
      <w:r>
        <w:rPr/>
        <w:t>a Green scan simply indicates a lack of the issues flagged by our specific QC procedures – but, of course, some analyses may be susceptible to issues overlooked by those procedures</w:t>
      </w:r>
    </w:p>
    <w:p>
      <w:pPr>
        <w:pStyle w:val="BodyText"/>
        <w:rPr/>
      </w:pPr>
      <w:r>
        <w:rPr/>
        <w:t>We expect that a final decision on the usability of scans will always need to be made by experimenters using a more detailed assessment in comparison to the actual needs of a specific analysis, and we therefore caution against taking these quality assessments as final usability evaluations. That said, we expect that many analyses will be able to use all green and yellow scans.</w:t>
      </w:r>
    </w:p>
    <w:p>
      <w:pPr>
        <w:pStyle w:val="Heading2"/>
        <w:numPr>
          <w:ilvl w:val="1"/>
          <w:numId w:val="1"/>
        </w:numPr>
        <w:rPr/>
      </w:pPr>
      <w:bookmarkStart w:id="17" w:name="__RefHeading___Toc9123_2332052893"/>
      <w:bookmarkEnd w:id="17"/>
      <w:r>
        <w:rPr/>
        <w:t>Derived Data</w:t>
      </w:r>
    </w:p>
    <w:p>
      <w:pPr>
        <w:pStyle w:val="BodyText"/>
        <w:rPr/>
      </w:pPr>
      <w:r>
        <w:rPr/>
        <w:t xml:space="preserve">No significant issues are known to affect the outputs of any of the A2CPS imaging derivative pipelines, and in the event of pipeline failures for any reason on individual cases, those results are omitted unless they can be corrected. </w:t>
      </w:r>
    </w:p>
    <w:p>
      <w:pPr>
        <w:pStyle w:val="BodyText"/>
        <w:rPr/>
      </w:pPr>
      <w:r>
        <w:rPr/>
        <w:t>In this release, an initial set of quality ratings is provided for the derived data. These ratings are the result of manual reviews of the images, and are relatively “raw”, in that they have not been summarized with a traffic light scheme. Currently, there are two kinds of ratings: local and global. The local ratings pinpoint specific spatial regions of a derivative that exhibit issues (e.g., areas where a mask is not placed correctly, or an estimated surface is misaligned). The global ratings are used in cases where the local ratings are not meaningful and correspond to an overall judgement about whether the target was generated correctly (e.g., whether a coregistration was successful).</w:t>
      </w:r>
    </w:p>
    <w:p>
      <w:pPr>
        <w:pStyle w:val="BodyText"/>
        <w:numPr>
          <w:ilvl w:val="0"/>
          <w:numId w:val="15"/>
        </w:numPr>
        <w:rPr/>
      </w:pPr>
      <w:r>
        <w:rPr/>
        <w:t>MRIPrep Masks (local)</w:t>
      </w:r>
    </w:p>
    <w:p>
      <w:pPr>
        <w:pStyle w:val="BodyText"/>
        <w:numPr>
          <w:ilvl w:val="0"/>
          <w:numId w:val="15"/>
        </w:numPr>
        <w:rPr/>
      </w:pPr>
      <w:r>
        <w:rPr/>
        <w:t>fMRIPrep T1w Spatial Normalization (local)</w:t>
      </w:r>
    </w:p>
    <w:p>
      <w:pPr>
        <w:pStyle w:val="BodyText"/>
        <w:numPr>
          <w:ilvl w:val="0"/>
          <w:numId w:val="15"/>
        </w:numPr>
        <w:rPr/>
      </w:pPr>
      <w:r>
        <w:rPr/>
        <w:t>FreeSurfer Surface Localization (local)</w:t>
      </w:r>
    </w:p>
    <w:p>
      <w:pPr>
        <w:pStyle w:val="BodyText"/>
        <w:numPr>
          <w:ilvl w:val="0"/>
          <w:numId w:val="15"/>
        </w:numPr>
        <w:rPr/>
      </w:pPr>
      <w:r>
        <w:rPr/>
        <w:t>fMRIPrep Fieldmap&lt;-&gt;functional coregistration (global)</w:t>
      </w:r>
    </w:p>
    <w:p>
      <w:pPr>
        <w:pStyle w:val="BodyText"/>
        <w:numPr>
          <w:ilvl w:val="0"/>
          <w:numId w:val="15"/>
        </w:numPr>
        <w:rPr/>
      </w:pPr>
      <w:r>
        <w:rPr/>
        <w:t>Diffusion Tensor Fitting (global)</w:t>
      </w:r>
    </w:p>
    <w:p>
      <w:pPr>
        <w:pStyle w:val="BodyText"/>
        <w:rPr/>
      </w:pPr>
      <w:r>
        <w:rPr/>
        <w:t>The database containing results can be found in the ‘qc’ directory (see Data Contents).</w:t>
      </w:r>
    </w:p>
    <w:p>
      <w:pPr>
        <w:pStyle w:val="Heading2"/>
        <w:numPr>
          <w:ilvl w:val="1"/>
          <w:numId w:val="1"/>
        </w:numPr>
        <w:ind w:hanging="0" w:start="0"/>
        <w:rPr/>
      </w:pPr>
      <w:bookmarkStart w:id="18" w:name="__RefHeading___Toc9125_2332052893"/>
      <w:bookmarkEnd w:id="18"/>
      <w:r>
        <w:rPr/>
        <w:t>Phantom QA Data</w:t>
      </w:r>
    </w:p>
    <w:p>
      <w:pPr>
        <w:pStyle w:val="BodyText"/>
        <w:rPr/>
      </w:pPr>
      <w:r>
        <w:rPr/>
        <w:t>In the next release, we plan to include data collected under the MCC1 phantom QA protocol, which was run on all MCC1 scanners as well as most of those at MCC2 (excluding UM). See the following figure for the scan sessions that are available. An anticipated use of this phantom data is the generation of measures of long term trends in scanners (e.g. for scanner aging and seasonal variations that occur due to factors like ambient temperature and humidity), which may be useful for certain analyses.</w:t>
      </w:r>
    </w:p>
    <w:p>
      <w:pPr>
        <w:pStyle w:val="BodyText"/>
        <w:rPr/>
      </w:pPr>
      <w:r>
        <w:rPr/>
        <mc:AlternateContent>
          <mc:Choice Requires="wps">
            <w:drawing>
              <wp:inline distT="0" distB="0" distL="0" distR="0">
                <wp:extent cx="6332220" cy="3352165"/>
                <wp:effectExtent l="0" t="0" r="0" b="0"/>
                <wp:docPr id="2" name="Frame1"/>
                <a:graphic xmlns:a="http://schemas.openxmlformats.org/drawingml/2006/main">
                  <a:graphicData uri="http://schemas.microsoft.com/office/word/2010/wordprocessingShape">
                    <wps:wsp>
                      <wps:cNvSpPr/>
                      <wps:spPr>
                        <a:xfrm>
                          <a:off x="0" y="0"/>
                          <a:ext cx="6332400" cy="33523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6332220" cy="284924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2"/>
                                          <a:stretch>
                                            <a:fillRect/>
                                          </a:stretch>
                                        </pic:blipFill>
                                        <pic:spPr bwMode="auto">
                                          <a:xfrm>
                                            <a:off x="0" y="0"/>
                                            <a:ext cx="6332220" cy="284924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A2CPS QA phantom sessions by site code, with surgery date ranges of releases for comparison.</w:t>
                            </w:r>
                          </w:p>
                        </w:txbxContent>
                      </wps:txbx>
                      <wps:bodyPr lIns="0" rIns="0" tIns="0" bIns="0" anchor="t">
                        <a:noAutofit/>
                      </wps:bodyPr>
                    </wps:wsp>
                  </a:graphicData>
                </a:graphic>
              </wp:inline>
            </w:drawing>
          </mc:Choice>
          <mc:Fallback>
            <w:pict>
              <v:rect id="shape_0" fillcolor="white" stroked="f" o:allowincell="f" style="position:absolute;margin-left:0pt;margin-top:-264pt;width:498.55pt;height:263.9pt;mso-wrap-style:square;v-text-anchor:top;mso-position-vertical:top">
                <v:fill o:detectmouseclick="t" type="solid" color2="black"/>
                <v:stroke color="#3465a4" joinstyle="round" endcap="flat"/>
                <v:textbox>
                  <w:txbxContent>
                    <w:p>
                      <w:pPr>
                        <w:pStyle w:val="Figure"/>
                        <w:spacing w:before="120" w:after="120"/>
                        <w:rPr/>
                      </w:pPr>
                      <w:r>
                        <w:rPr>
                          <w:color w:val="000000"/>
                        </w:rPr>
                        <w:drawing>
                          <wp:inline distT="0" distB="0" distL="0" distR="0">
                            <wp:extent cx="6332220" cy="284924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3"/>
                                    <a:stretch>
                                      <a:fillRect/>
                                    </a:stretch>
                                  </pic:blipFill>
                                  <pic:spPr bwMode="auto">
                                    <a:xfrm>
                                      <a:off x="0" y="0"/>
                                      <a:ext cx="6332220" cy="284924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A2CPS QA phantom sessions by site code, with surgery date ranges of releases for comparison.</w:t>
                      </w:r>
                    </w:p>
                  </w:txbxContent>
                </v:textbox>
                <w10:wrap type="square"/>
              </v:rect>
            </w:pict>
          </mc:Fallback>
        </mc:AlternateContent>
      </w:r>
    </w:p>
    <w:p>
      <w:pPr>
        <w:pStyle w:val="Heading1"/>
        <w:numPr>
          <w:ilvl w:val="0"/>
          <w:numId w:val="1"/>
        </w:numPr>
        <w:rPr>
          <w:rFonts w:hint="eastAsia"/>
        </w:rPr>
      </w:pPr>
      <w:bookmarkStart w:id="19" w:name="__RefHeading___Toc2039_2332052893"/>
      <w:bookmarkStart w:id="20" w:name="_Toc218847443"/>
      <w:bookmarkEnd w:id="19"/>
      <w:r>
        <w:rPr/>
        <w:t>4. fMRI Protocol Issues</w:t>
      </w:r>
      <w:bookmarkEnd w:id="20"/>
    </w:p>
    <w:p>
      <w:pPr>
        <w:pStyle w:val="BodyText"/>
        <w:rPr/>
      </w:pPr>
      <w:r>
        <w:rPr/>
        <w:t>There were compromises needed to run the ABCD protocol successfully on some scanners.</w:t>
      </w:r>
    </w:p>
    <w:p>
      <w:pPr>
        <w:pStyle w:val="BodyText"/>
        <w:rPr/>
      </w:pPr>
      <w:r>
        <w:rPr/>
        <w:t xml:space="preserve">MCC1/NS fMRI scans have a TE of 32 ms, versus 30 ms in the ABCD protocol. </w:t>
      </w:r>
    </w:p>
    <w:p>
      <w:pPr>
        <w:pStyle w:val="BodyText"/>
        <w:rPr/>
      </w:pPr>
      <w:r>
        <w:rPr/>
        <w:t>MCC1/UC fMRI scans use a reconstruction matrix of 96x96, versus 90x90 in the ABCD protocol, and an FOV of 213 instead of the 216 specified. This results in a voxel resolution of 2.22 x 2.22 x 2.4 mm instead of the target 2.4 mm isotropic resolution. The acquisition matrix is set to 88x89, which does result in a 2.4 mm isotropic acquisition voxel size. Variations were required because Philips scanners cannot set arbitrary in-plane matrix size on reconstructed EPI images.</w:t>
      </w:r>
    </w:p>
    <w:p>
      <w:pPr>
        <w:pStyle w:val="BodyText"/>
        <w:rPr/>
      </w:pPr>
      <w:r>
        <w:rPr/>
        <w:t xml:space="preserve">The number of slices for both MCC1/NS and MCC1/UC fMRI scans is 54 versus 60 in the ABCD protocol, which means that coverage is 10% less than in the ABCD protocol (54 x 2.4 = 129.6 mm versus 144 mm in ABCD).  </w:t>
      </w:r>
    </w:p>
    <w:p>
      <w:pPr>
        <w:pStyle w:val="Heading2"/>
        <w:numPr>
          <w:ilvl w:val="1"/>
          <w:numId w:val="1"/>
        </w:numPr>
        <w:rPr>
          <w:rFonts w:hint="eastAsia"/>
        </w:rPr>
      </w:pPr>
      <w:bookmarkStart w:id="21" w:name="__RefHeading___Toc2041_2332052893"/>
      <w:bookmarkStart w:id="22" w:name="_Toc218847444"/>
      <w:bookmarkEnd w:id="21"/>
      <w:r>
        <w:rPr/>
        <w:t>fMRI Slice Packets</w:t>
      </w:r>
      <w:bookmarkEnd w:id="22"/>
    </w:p>
    <w:p>
      <w:pPr>
        <w:pStyle w:val="BodyText"/>
        <w:rPr/>
      </w:pPr>
      <w:r>
        <w:rPr/>
        <w:t xml:space="preserve">In principle, when using a multiband acquisition with the most basic sequential ordering of slices care should be taken in choosing the number of slices in relation to the multiband acceleration factor, as some choices can result in spatially adjacent slices being excited in rapid succession, leading to slice cross talk (Barth et al. 2016). In practice, since this issue was highlighted, individual vendors have developed slice ordering strategies that avoid this issue, and although the ABCD fMRI sequence used in A2CPS is in theory susceptible to this issue, we have found no evidence of signal loss in the slices identified as potentially vulnerable. See the document </w:t>
      </w:r>
      <w:r>
        <w:rPr>
          <w:i/>
          <w:iCs/>
        </w:rPr>
        <w:t>A2CPS fMRI Slice Packets</w:t>
      </w:r>
      <w:r>
        <w:rPr/>
        <w:t xml:space="preserve"> for further notes on this issue and how it applies to ABCD/A2CPS scans.</w:t>
      </w:r>
    </w:p>
    <w:p>
      <w:pPr>
        <w:pStyle w:val="Heading2"/>
        <w:numPr>
          <w:ilvl w:val="1"/>
          <w:numId w:val="1"/>
        </w:numPr>
        <w:rPr>
          <w:rFonts w:hint="eastAsia"/>
        </w:rPr>
      </w:pPr>
      <w:bookmarkStart w:id="23" w:name="__RefHeading___Toc2043_2332052893"/>
      <w:bookmarkStart w:id="24" w:name="_Toc218847445"/>
      <w:bookmarkEnd w:id="23"/>
      <w:r>
        <w:rPr/>
        <w:t>B0 Distortion Correction Scans</w:t>
      </w:r>
      <w:bookmarkEnd w:id="24"/>
    </w:p>
    <w:p>
      <w:pPr>
        <w:pStyle w:val="BodyText"/>
        <w:rPr/>
      </w:pPr>
      <w:r>
        <w:rPr/>
        <w:t xml:space="preserve">The A2CPS project uses the (Holland et al. 2010) method of acquiring spin echo images with opposite phase encoding direction and using them to construct fieldmaps for susceptibility distortion correction. </w:t>
      </w:r>
    </w:p>
    <w:p>
      <w:pPr>
        <w:pStyle w:val="BodyText"/>
        <w:rPr/>
      </w:pPr>
      <w:r>
        <w:rPr/>
        <w:t xml:space="preserve">The ABCD protocol followed by A2CPS does not specify what should be done for distortion correction, though it is possible that ABCD sites are following unpublished advice on this. </w:t>
      </w:r>
    </w:p>
    <w:p>
      <w:pPr>
        <w:pStyle w:val="BodyText"/>
        <w:rPr/>
      </w:pPr>
      <w:r>
        <w:rPr/>
        <w:t>In common practice, B0 scans for constructing fieldmaps match the geometry of the target scans (the ones to be distortion corrected) by matching field of view, acquisition matrix, and shimming. In some cases in A2CPS, the geometry will be slightly different.</w:t>
      </w:r>
    </w:p>
    <w:p>
      <w:pPr>
        <w:pStyle w:val="BodyText"/>
        <w:rPr/>
      </w:pPr>
      <w:r>
        <w:rPr/>
        <w:t>The target ABCD FMRI protocol specifies the following: 90x90, 2.4x2.4x2.4, FOV 216x216.</w:t>
      </w:r>
    </w:p>
    <w:p>
      <w:pPr>
        <w:pStyle w:val="BodyText"/>
        <w:numPr>
          <w:ilvl w:val="0"/>
          <w:numId w:val="2"/>
        </w:numPr>
        <w:rPr/>
      </w:pPr>
      <w:r>
        <w:rPr/>
        <w:t>The NS Siemens fMRI B0 (“GE_EPI_B0”) matches this, as does its fMRI, except that the number of slices is different (60 for AP/PA GE_EPI_B0, vs. 54 for fMRI). The number of fMRI slices was reduced to allow the scanner to match the other details of the ABCD protocol, and this had the side effect of mitigating slice packet issues (see fMRI Slice Packets section).</w:t>
      </w:r>
    </w:p>
    <w:p>
      <w:pPr>
        <w:pStyle w:val="BodyText"/>
        <w:numPr>
          <w:ilvl w:val="0"/>
          <w:numId w:val="2"/>
        </w:numPr>
        <w:rPr/>
      </w:pPr>
      <w:r>
        <w:rPr/>
        <w:t>The UC Philips fMRI B0 has a different setup for both fMRi and B0: 96x96, 2.2x2.2x2.4, implying FOV of 213x213.</w:t>
      </w:r>
    </w:p>
    <w:p>
      <w:pPr>
        <w:pStyle w:val="BodyText"/>
        <w:numPr>
          <w:ilvl w:val="0"/>
          <w:numId w:val="2"/>
        </w:numPr>
        <w:rPr/>
      </w:pPr>
      <w:r>
        <w:rPr/>
        <w:t>The UIC GE fMRI B0 is different from fMRI: 128x128, 1.69x1.69x2.4, implying FOV of 216x216. This setup also has other differences, as explained in the next section.</w:t>
      </w:r>
    </w:p>
    <w:p>
      <w:pPr>
        <w:pStyle w:val="Heading3"/>
        <w:numPr>
          <w:ilvl w:val="2"/>
          <w:numId w:val="1"/>
        </w:numPr>
        <w:rPr>
          <w:rFonts w:hint="eastAsia"/>
        </w:rPr>
      </w:pPr>
      <w:r>
        <w:rPr/>
        <w:t>GE B0 Scans</w:t>
      </w:r>
    </w:p>
    <w:p>
      <w:pPr>
        <w:pStyle w:val="BodyText"/>
        <w:rPr/>
      </w:pPr>
      <w:r>
        <w:rPr/>
        <w:t xml:space="preserve">The GE setup is different from other sites in that AP and PA are not separate acquisitions. The single "FMRI_B0" scan packs AP and PA spin echo scans together with a front-back flip on alternate brains with order AP-PA-AP-PA. The GE "DWI_B0", in contrast, has 8 images in the same orientation (no front/back flip), of which only the first two have the desired b=0 (the other six have b=3000). This is because a 6 direction DWI with one phase encoding direction had to be used as it was not possible to collect unweighted images only with opposite phase encoding. </w:t>
      </w:r>
    </w:p>
    <w:p>
      <w:pPr>
        <w:pStyle w:val="BodyText"/>
        <w:rPr/>
      </w:pPr>
      <w:r>
        <w:rPr/>
        <w:t>The intention is that the two b=0 images (phase encoding PA) should be combined with the b=0 images from the A2CPS DWI (phase encoding AP) to create a fieldmap. Accordingly, we build "DWI_B0_PA" and "DWI_B0_AP" images to match the other scanners:</w:t>
      </w:r>
    </w:p>
    <w:p>
      <w:pPr>
        <w:pStyle w:val="BodyText"/>
        <w:rPr/>
      </w:pPr>
      <w:r>
        <w:rPr/>
        <w:t xml:space="preserve">    </w:t>
      </w:r>
      <w:r>
        <w:rPr/>
        <w:t>DWI_B0_PA is the first 2 volumes (determined from the bvals) of the acquired DWI_B0 image</w:t>
      </w:r>
    </w:p>
    <w:p>
      <w:pPr>
        <w:pStyle w:val="BodyText"/>
        <w:rPr/>
      </w:pPr>
      <w:r>
        <w:rPr/>
        <w:t xml:space="preserve">    </w:t>
      </w:r>
      <w:r>
        <w:rPr/>
        <w:t>DWI_B0_AP is a copy of the first 2 volumes (determined from the bvals) of the acquired dwi image</w:t>
      </w:r>
    </w:p>
    <w:p>
      <w:pPr>
        <w:pStyle w:val="BodyText"/>
        <w:rPr/>
      </w:pPr>
      <w:r>
        <w:rPr/>
        <w:t>For both the UIC FMRI_B0 and the UIC DWI_B0, the BIDS JSON files are adjusted to ensure opposite phase encoding directions are recorded properly.</w:t>
      </w:r>
    </w:p>
    <w:p>
      <w:pPr>
        <w:pStyle w:val="BodyText"/>
        <w:rPr/>
      </w:pPr>
      <w:r>
        <w:rPr/>
        <w:t>When GE v. 28 and v. 29 acquisitions were acquired for the UM site, a slightly different setup from UIC was used that resulted in the same output data. Specifically, an opposite phase DWI is acquired as part of the DWI acquisition and exported as a DWI derived series, matching the DWI_B0 for UIC GE scans.</w:t>
      </w:r>
    </w:p>
    <w:p>
      <w:pPr>
        <w:pStyle w:val="Heading1"/>
        <w:numPr>
          <w:ilvl w:val="0"/>
          <w:numId w:val="1"/>
        </w:numPr>
        <w:rPr>
          <w:rFonts w:hint="eastAsia"/>
        </w:rPr>
      </w:pPr>
      <w:bookmarkStart w:id="25" w:name="__RefHeading___Toc2045_2332052893"/>
      <w:bookmarkStart w:id="26" w:name="_Toc218847446"/>
      <w:bookmarkEnd w:id="25"/>
      <w:r>
        <w:rPr/>
        <w:t>5. DWI Protocol Issues</w:t>
      </w:r>
      <w:bookmarkEnd w:id="26"/>
    </w:p>
    <w:p>
      <w:pPr>
        <w:pStyle w:val="Heading2"/>
        <w:numPr>
          <w:ilvl w:val="1"/>
          <w:numId w:val="1"/>
        </w:numPr>
        <w:rPr>
          <w:rFonts w:hint="eastAsia"/>
        </w:rPr>
      </w:pPr>
      <w:bookmarkStart w:id="27" w:name="__RefHeading___Toc2047_2332052893"/>
      <w:bookmarkStart w:id="28" w:name="_Toc218847447"/>
      <w:bookmarkEnd w:id="27"/>
      <w:r>
        <w:rPr/>
        <w:t>DWI Protocol Variations</w:t>
      </w:r>
      <w:bookmarkEnd w:id="28"/>
    </w:p>
    <w:p>
      <w:pPr>
        <w:pStyle w:val="BodyText"/>
        <w:rPr/>
      </w:pPr>
      <w:r>
        <w:rPr/>
        <w:t>The DWI matrix dimensions per the ABCD protocol that A2CPS adopted are 140x140, with FOV of 240x240 and resulting 1.7 mm isotropic voxel dimensions. In practice the Philips setup (UChicago) has a matrix of 144x144 and all sites deviate slightly on voxel dimensions (1.67x1.67x1.70 for Philips, 1.71x1.71.x1.70 for GE/Siemens).</w:t>
      </w:r>
    </w:p>
    <w:p>
      <w:pPr>
        <w:pStyle w:val="BodyText"/>
        <w:rPr/>
      </w:pPr>
      <w:r>
        <w:rPr/>
        <w:t>The number of b=0 volumes used for GE scanners was increased by two in the ABCD protocol in an update for scanner version DV26, resulting in 104 volumes total (versus 102 at other sites).</w:t>
      </w:r>
    </w:p>
    <w:p>
      <w:pPr>
        <w:pStyle w:val="BodyText"/>
        <w:rPr/>
      </w:pPr>
      <w:r>
        <w:rPr/>
        <w:t>All scanners have DWI B0 scans with dimensions corresponding to the DWIs.</w:t>
      </w:r>
    </w:p>
    <w:p>
      <w:pPr>
        <w:pStyle w:val="Heading2"/>
        <w:numPr>
          <w:ilvl w:val="1"/>
          <w:numId w:val="1"/>
        </w:numPr>
        <w:rPr>
          <w:rFonts w:hint="eastAsia"/>
        </w:rPr>
      </w:pPr>
      <w:bookmarkStart w:id="29" w:name="__RefHeading___Toc2049_2332052893"/>
      <w:bookmarkStart w:id="30" w:name="_Toc218847448"/>
      <w:bookmarkEnd w:id="29"/>
      <w:r>
        <w:rPr/>
        <w:t>GE Specific DICOM Problems</w:t>
      </w:r>
      <w:bookmarkEnd w:id="30"/>
    </w:p>
    <w:p>
      <w:pPr>
        <w:pStyle w:val="BodyText"/>
        <w:rPr/>
      </w:pPr>
      <w:r>
        <w:rPr/>
        <w:t>Incorrect DWI information was stored in DWI sequences in GE software versions up to DV26 (this seemingly was improved in DV27 and finally corrected in DV28). Thus we do not have the ability to automatically extract the right information from MCC1/UIC scans, and must rely on the assumption of correct b-values and b-vectors.</w:t>
      </w:r>
    </w:p>
    <w:p>
      <w:pPr>
        <w:pStyle w:val="BodyText"/>
        <w:rPr/>
      </w:pPr>
      <w:r>
        <w:rPr/>
        <w:t>GE engineers worked with dcm2niix’s team to improve the dcm2niix handling of GE DWI DICOMs. The version of dcm2niix used for this data should be the Fall 2021 release or later to benefit from these improvements.</w:t>
      </w:r>
    </w:p>
    <w:p>
      <w:pPr>
        <w:pStyle w:val="Heading3"/>
        <w:numPr>
          <w:ilvl w:val="2"/>
          <w:numId w:val="1"/>
        </w:numPr>
        <w:rPr>
          <w:rFonts w:hint="eastAsia"/>
        </w:rPr>
      </w:pPr>
      <w:r>
        <w:rPr/>
        <w:t>MCC1/UC b-Value Variations</w:t>
      </w:r>
    </w:p>
    <w:p>
      <w:pPr>
        <w:pStyle w:val="BodyText"/>
        <w:numPr>
          <w:ilvl w:val="2"/>
          <w:numId w:val="1"/>
        </w:numPr>
        <w:rPr/>
      </w:pPr>
      <w:r>
        <w:rPr/>
        <w:t xml:space="preserve">UC DWI “b=0” images actually have very low but nonzero b-values (e.g. 0.01). This appears to be a Philips encoding decision to support custom gradient tables. Tools like QSIprep (used in the A2CPS imaging pipeline) handle this kind of variation by treating everything below a given threshold as b=0 (by default </w:t>
      </w:r>
      <w:r>
        <w:rPr>
          <w:rFonts w:ascii="Consolas" w:hAnsi="Consolas"/>
          <w:sz w:val="22"/>
          <w:szCs w:val="22"/>
        </w:rPr>
        <w:t>--b0-threshold</w:t>
      </w:r>
      <w:r>
        <w:rPr/>
        <w:t xml:space="preserve"> is set to 100: see </w:t>
      </w:r>
      <w:r>
        <w:fldChar w:fldCharType="begin"/>
      </w:r>
      <w:r>
        <w:rPr>
          <w:rStyle w:val="Hyperlink"/>
        </w:rPr>
        <w:instrText xml:space="preserve"> HYPERLINK "https://qsiprep.readthedocs.io/en/latest/usage.html" \l "workflow-configuration"</w:instrText>
      </w:r>
      <w:r>
        <w:rPr>
          <w:rStyle w:val="Hyperlink"/>
        </w:rPr>
        <w:fldChar w:fldCharType="separate"/>
      </w:r>
      <w:r>
        <w:rPr>
          <w:rStyle w:val="Hyperlink"/>
        </w:rPr>
        <w:t>https://qsiprep.readthedocs.io/en/latest/usage.html#workflow-configuration</w:t>
      </w:r>
      <w:r>
        <w:rPr>
          <w:rStyle w:val="Hyperlink"/>
        </w:rPr>
        <w:fldChar w:fldCharType="end"/>
      </w:r>
      <w:r>
        <w:rPr/>
        <w:t>).</w:t>
      </w:r>
    </w:p>
    <w:p>
      <w:pPr>
        <w:pStyle w:val="Heading3"/>
        <w:numPr>
          <w:ilvl w:val="2"/>
          <w:numId w:val="1"/>
        </w:numPr>
        <w:rPr>
          <w:rFonts w:hint="eastAsia"/>
        </w:rPr>
      </w:pPr>
      <w:r>
        <w:rPr/>
        <w:t>MCC2/WS b-Value Variations</w:t>
      </w:r>
    </w:p>
    <w:p>
      <w:pPr>
        <w:pStyle w:val="BodyText"/>
        <w:rPr/>
      </w:pPr>
      <w:r>
        <w:rPr/>
        <w:t>The b-values on the MCC2/WS Wayne State Siemens Verio scanner have an imprecision of about 0.5% in many of the values relative to the MCC1/NS NorthShore values, from which they were set using a Siemens b-matrix file. For example, the first ten NorthShore b-values are</w:t>
      </w:r>
    </w:p>
    <w:p>
      <w:pPr>
        <w:pStyle w:val="PreformattedText"/>
        <w:rPr>
          <w:rFonts w:hint="eastAsia"/>
        </w:rPr>
      </w:pPr>
      <w:r>
        <w:rPr/>
        <w:t xml:space="preserve">         </w:t>
      </w:r>
      <w:r>
        <w:rPr/>
        <w:t>0 3000 3000 2000 3000 1000 3000 3000 2000 3000</w:t>
      </w:r>
    </w:p>
    <w:p>
      <w:pPr>
        <w:pStyle w:val="BodyText"/>
        <w:rPr/>
      </w:pPr>
      <w:r>
        <w:rPr/>
        <w:t>and the corresponding values as recorded at Wayne State become</w:t>
      </w:r>
    </w:p>
    <w:p>
      <w:pPr>
        <w:pStyle w:val="PreformattedText"/>
        <w:rPr>
          <w:rFonts w:hint="eastAsia"/>
        </w:rPr>
      </w:pPr>
      <w:r>
        <w:rPr/>
        <w:t xml:space="preserve">         </w:t>
      </w:r>
      <w:r>
        <w:rPr/>
        <w:t>5 2995 3000 2000 2995 1000 2995 3005 1995 3000</w:t>
      </w:r>
    </w:p>
    <w:p>
      <w:pPr>
        <w:pStyle w:val="BodyText"/>
        <w:rPr/>
      </w:pPr>
      <w:r>
        <w:rPr/>
        <w:t>This is believed to be a rounding issue – the Siemens b-matrix format encodes each bvec as a unit vector scaled according to b-value. This was judged to be an acceptable variation. Though the examples here have deviations of at most 5, the maximum deviation that has been seen is 15 on b=3000.</w:t>
      </w:r>
    </w:p>
    <w:p>
      <w:pPr>
        <w:pStyle w:val="Heading3"/>
        <w:numPr>
          <w:ilvl w:val="2"/>
          <w:numId w:val="1"/>
        </w:numPr>
        <w:rPr>
          <w:rFonts w:hint="eastAsia"/>
        </w:rPr>
      </w:pPr>
      <w:r>
        <w:rPr/>
        <w:t>MCC2/SH b-Vector Variations</w:t>
      </w:r>
    </w:p>
    <w:p>
      <w:pPr>
        <w:pStyle w:val="BodyText"/>
        <w:numPr>
          <w:ilvl w:val="0"/>
          <w:numId w:val="1"/>
        </w:numPr>
        <w:rPr/>
      </w:pPr>
      <w:r>
        <w:rPr/>
        <w:t xml:space="preserve">The b-vectors from MCC2/SH Corewell Health (formerly Spectrum Health) do not match the MCC1/NS Endeavor Health (formerly NorthShore) reference values. Also, the SH setup has 103 volumes vs. 102 at NS (SH has two b=0 volumes at the start vs. one at NS).  </w:t>
      </w:r>
    </w:p>
    <w:p>
      <w:pPr>
        <w:pStyle w:val="BodyText"/>
        <w:numPr>
          <w:ilvl w:val="0"/>
          <w:numId w:val="1"/>
        </w:numPr>
        <w:rPr/>
      </w:pPr>
      <w:r>
        <w:rPr/>
        <w:t>First 5 bvecs (SH), including initial b=0 volumes:</w:t>
      </w:r>
    </w:p>
    <w:p>
      <w:pPr>
        <w:pStyle w:val="PreformattedText"/>
        <w:numPr>
          <w:ilvl w:val="0"/>
          <w:numId w:val="1"/>
        </w:numPr>
        <w:rPr>
          <w:rFonts w:hint="eastAsia"/>
        </w:rPr>
      </w:pPr>
      <w:r>
        <w:rPr/>
        <w:t xml:space="preserve">         </w:t>
      </w:r>
      <w:r>
        <w:rPr/>
        <w:t>0    0        -0.3563   -0.9345   -0.1869</w:t>
      </w:r>
    </w:p>
    <w:p>
      <w:pPr>
        <w:pStyle w:val="PreformattedText"/>
        <w:numPr>
          <w:ilvl w:val="0"/>
          <w:numId w:val="1"/>
        </w:numPr>
        <w:rPr>
          <w:rFonts w:hint="eastAsia"/>
        </w:rPr>
      </w:pPr>
      <w:r>
        <w:rPr/>
        <w:t xml:space="preserve">         </w:t>
      </w:r>
      <w:r>
        <w:rPr/>
        <w:t>0    0        -0.6561   -0.2721    0.9566</w:t>
      </w:r>
    </w:p>
    <w:p>
      <w:pPr>
        <w:pStyle w:val="PreformattedText"/>
        <w:numPr>
          <w:ilvl w:val="0"/>
          <w:numId w:val="1"/>
        </w:numPr>
        <w:rPr>
          <w:rFonts w:hint="eastAsia"/>
        </w:rPr>
      </w:pPr>
      <w:r>
        <w:rPr/>
        <w:t xml:space="preserve">         </w:t>
      </w:r>
      <w:r>
        <w:rPr/>
        <w:t>0    0         0.6653    0.2293   -0.2234</w:t>
      </w:r>
    </w:p>
    <w:p>
      <w:pPr>
        <w:pStyle w:val="BodyText"/>
        <w:numPr>
          <w:ilvl w:val="0"/>
          <w:numId w:val="1"/>
        </w:numPr>
        <w:rPr/>
      </w:pPr>
      <w:r>
        <w:rPr/>
        <w:t>Corresponding first 5 bvecs from NS:</w:t>
      </w:r>
    </w:p>
    <w:p>
      <w:pPr>
        <w:pStyle w:val="PreformattedText"/>
        <w:numPr>
          <w:ilvl w:val="0"/>
          <w:numId w:val="1"/>
        </w:numPr>
        <w:rPr>
          <w:rFonts w:hint="eastAsia"/>
        </w:rPr>
      </w:pPr>
      <w:r>
        <w:rPr/>
        <w:t xml:space="preserve">         </w:t>
      </w:r>
      <w:r>
        <w:rPr/>
        <w:t>0    0.3563    0.9346    0.1869    0.1108</w:t>
      </w:r>
    </w:p>
    <w:p>
      <w:pPr>
        <w:pStyle w:val="PreformattedText"/>
        <w:numPr>
          <w:ilvl w:val="0"/>
          <w:numId w:val="1"/>
        </w:numPr>
        <w:rPr>
          <w:rFonts w:hint="eastAsia"/>
        </w:rPr>
      </w:pPr>
      <w:r>
        <w:rPr/>
        <w:t xml:space="preserve">         </w:t>
      </w:r>
      <w:r>
        <w:rPr/>
        <w:t>0    0.6563    0.2722   -0.9565   -0.1193</w:t>
      </w:r>
    </w:p>
    <w:p>
      <w:pPr>
        <w:pStyle w:val="PreformattedText"/>
        <w:numPr>
          <w:ilvl w:val="0"/>
          <w:numId w:val="1"/>
        </w:numPr>
        <w:rPr>
          <w:rFonts w:hint="eastAsia"/>
        </w:rPr>
      </w:pPr>
      <w:r>
        <w:rPr/>
        <w:t xml:space="preserve">         </w:t>
      </w:r>
      <w:r>
        <w:rPr/>
        <w:t>0    0.6651    0.2290   -0.2238    0.9867</w:t>
      </w:r>
    </w:p>
    <w:p>
      <w:pPr>
        <w:pStyle w:val="BodyText"/>
        <w:numPr>
          <w:ilvl w:val="2"/>
          <w:numId w:val="1"/>
        </w:numPr>
        <w:rPr/>
      </w:pPr>
      <w:r>
        <w:rPr/>
        <w:t>Both NS and SH use versions of the ABCD fMRI sequences, but they are believed to differ in version. The alternate vectors would be geometrically equivalent, and will not affect processing if as intended individual bvec/bval files are always used for each scan.</w:t>
      </w:r>
    </w:p>
    <w:p>
      <w:pPr>
        <w:pStyle w:val="Heading3"/>
        <w:numPr>
          <w:ilvl w:val="2"/>
          <w:numId w:val="1"/>
        </w:numPr>
        <w:rPr>
          <w:rFonts w:hint="eastAsia"/>
        </w:rPr>
      </w:pPr>
      <w:r>
        <w:rPr/>
        <w:t>MCC2/WS b-Vector Variations</w:t>
      </w:r>
    </w:p>
    <w:p>
      <w:pPr>
        <w:pStyle w:val="BodyText"/>
        <w:rPr/>
      </w:pPr>
      <w:r>
        <w:rPr/>
        <w:t>The b-vectors from the MCC2/WS Wayne State Siemens Verio scanner do not match the MCC1/NS NorthShore values, from which they were set using a Siemens b-matrix file. The first five vectors are as follows at Northshore,</w:t>
      </w:r>
    </w:p>
    <w:p>
      <w:pPr>
        <w:pStyle w:val="PreformattedText"/>
        <w:rPr>
          <w:rFonts w:hint="eastAsia"/>
        </w:rPr>
      </w:pPr>
      <w:r>
        <w:rPr/>
        <w:t xml:space="preserve">         </w:t>
      </w:r>
      <w:r>
        <w:rPr/>
        <w:t>0    0.3563   0.9346    0.1869   0.1108</w:t>
      </w:r>
    </w:p>
    <w:p>
      <w:pPr>
        <w:pStyle w:val="PreformattedText"/>
        <w:rPr>
          <w:rFonts w:hint="eastAsia"/>
        </w:rPr>
      </w:pPr>
      <w:r>
        <w:rPr/>
        <w:t xml:space="preserve">         </w:t>
      </w:r>
      <w:r>
        <w:rPr/>
        <w:t>0    0.6563   0.2722   -0.9565  -0.1193</w:t>
      </w:r>
    </w:p>
    <w:p>
      <w:pPr>
        <w:pStyle w:val="PreformattedText"/>
        <w:rPr>
          <w:rFonts w:hint="eastAsia"/>
        </w:rPr>
      </w:pPr>
      <w:r>
        <w:rPr/>
        <w:t xml:space="preserve">         </w:t>
      </w:r>
      <w:r>
        <w:rPr/>
        <w:t>0    0.6651   0.2290   -0.2238   0.9867</w:t>
      </w:r>
    </w:p>
    <w:p>
      <w:pPr>
        <w:pStyle w:val="BodyText"/>
        <w:rPr/>
      </w:pPr>
      <w:r>
        <w:rPr/>
        <w:t>and at Wayne State,</w:t>
      </w:r>
    </w:p>
    <w:p>
      <w:pPr>
        <w:pStyle w:val="PreformattedText"/>
        <w:rPr>
          <w:rFonts w:hint="eastAsia"/>
        </w:rPr>
      </w:pPr>
      <w:r>
        <w:rPr/>
        <w:t xml:space="preserve">         </w:t>
      </w:r>
      <w:r>
        <w:rPr/>
        <w:t>0    0.6555   0.2720   -0.9571  -0.1188</w:t>
      </w:r>
    </w:p>
    <w:p>
      <w:pPr>
        <w:pStyle w:val="PreformattedText"/>
        <w:rPr>
          <w:rFonts w:hint="eastAsia"/>
        </w:rPr>
      </w:pPr>
      <w:r>
        <w:rPr/>
        <w:t xml:space="preserve">         </w:t>
      </w:r>
      <w:r>
        <w:rPr/>
        <w:t>0    0.3559   0.9342    0.1870   0.1107</w:t>
      </w:r>
    </w:p>
    <w:p>
      <w:pPr>
        <w:pStyle w:val="PreformattedText"/>
        <w:rPr>
          <w:rFonts w:hint="eastAsia"/>
        </w:rPr>
      </w:pPr>
      <w:r>
        <w:rPr/>
        <w:t xml:space="preserve">         </w:t>
      </w:r>
      <w:r>
        <w:rPr/>
        <w:t>0   -0.6661  -0.2306    0.2214  -0.9867</w:t>
      </w:r>
    </w:p>
    <w:p>
      <w:pPr>
        <w:pStyle w:val="BodyText"/>
        <w:rPr/>
      </w:pPr>
      <w:r>
        <w:rPr/>
        <w:t>The Siemens vector input file is interpreted differently by the two scanners so that (x, y, z) at NorthShore becomes (y, x, -z) at WSU. The spatial coverage is identical. (Note that in the WSU case, there will be the appearance of 6 extra vectors because the "b=0" images, which have (0,0,0) vectors in the NorthShore case, are assigned actual vectors due to having b=5 in the WSU setup due to the previous issue above.)</w:t>
      </w:r>
    </w:p>
    <w:p>
      <w:pPr>
        <w:pStyle w:val="Heading1"/>
        <w:numPr>
          <w:ilvl w:val="0"/>
          <w:numId w:val="1"/>
        </w:numPr>
        <w:rPr>
          <w:rFonts w:hint="eastAsia"/>
        </w:rPr>
      </w:pPr>
      <w:bookmarkStart w:id="31" w:name="__RefHeading___Toc2051_2332052893"/>
      <w:bookmarkStart w:id="32" w:name="_Toc218847449"/>
      <w:bookmarkEnd w:id="31"/>
      <w:r>
        <w:rPr/>
        <w:t>6. T1W Protocol Issues</w:t>
      </w:r>
      <w:bookmarkEnd w:id="32"/>
    </w:p>
    <w:p>
      <w:pPr>
        <w:pStyle w:val="BodyText"/>
        <w:rPr/>
      </w:pPr>
      <w:r>
        <w:rPr/>
        <w:t>The ABCD protocol document</w:t>
      </w:r>
      <w:r>
        <w:rPr>
          <w:rStyle w:val="FootnoteReference"/>
        </w:rPr>
        <w:footnoteReference w:id="2"/>
      </w:r>
      <w:r>
        <w:rPr/>
        <w:t xml:space="preserve"> specifies a TR of 2500 ms for the T1 scan on GE scanners. Despite this, and despite the fact that UIC reports they are running ABCD study sequences unmodified, the UIC TR = 6.952 ms for T1 scans.</w:t>
      </w:r>
    </w:p>
    <w:p>
      <w:pPr>
        <w:pStyle w:val="Heading1"/>
        <w:numPr>
          <w:ilvl w:val="0"/>
          <w:numId w:val="1"/>
        </w:numPr>
        <w:rPr>
          <w:rFonts w:hint="eastAsia"/>
        </w:rPr>
      </w:pPr>
      <w:bookmarkStart w:id="33" w:name="__RefHeading___Toc2053_2332052893"/>
      <w:bookmarkStart w:id="34" w:name="_Toc218847450"/>
      <w:bookmarkEnd w:id="33"/>
      <w:r>
        <w:rPr/>
        <w:t>7. Acquisition Issues</w:t>
      </w:r>
      <w:bookmarkEnd w:id="34"/>
    </w:p>
    <w:p>
      <w:pPr>
        <w:pStyle w:val="BodyText"/>
        <w:rPr/>
      </w:pPr>
      <w:r>
        <w:rPr/>
        <w:t>In rare cases, individual runs can be affected by a variety of issues. For details of known issues and specific scans they affect, please see the A2CPS Confluence page on “Problem Cases” (</w:t>
      </w:r>
      <w:hyperlink r:id="rId14">
        <w:r>
          <w:rPr>
            <w:rStyle w:val="Hyperlink"/>
          </w:rPr>
          <w:t>https://a2cps.atlassian.net/wiki/spaces/DOC/pages/5406735/Imaging+Log+-+Problem+Cases</w:t>
        </w:r>
      </w:hyperlink>
      <w:r>
        <w:rPr/>
        <w:t>); currently version 119 (11-Aug-2025) as of this release.  Notable issues listed there included</w:t>
      </w:r>
    </w:p>
    <w:p>
      <w:pPr>
        <w:pStyle w:val="BodyText"/>
        <w:numPr>
          <w:ilvl w:val="0"/>
          <w:numId w:val="9"/>
        </w:numPr>
        <w:rPr/>
      </w:pPr>
      <w:r>
        <w:rPr/>
        <w:t>Occasional mis-acquisition of PA scans on Siemens due to an interface issue.</w:t>
      </w:r>
    </w:p>
    <w:p>
      <w:pPr>
        <w:pStyle w:val="BodyText"/>
        <w:numPr>
          <w:ilvl w:val="0"/>
          <w:numId w:val="9"/>
        </w:numPr>
        <w:rPr/>
      </w:pPr>
      <w:r>
        <w:rPr/>
        <w:t>Changes to the partial Fourier fraction (PFF) setting</w:t>
      </w:r>
    </w:p>
    <w:p>
      <w:pPr>
        <w:pStyle w:val="BodyText"/>
        <w:numPr>
          <w:ilvl w:val="0"/>
          <w:numId w:val="9"/>
        </w:numPr>
        <w:rPr/>
      </w:pPr>
      <w:r>
        <w:rPr/>
        <w:t>Interruption of scan session, resulting in subject repositioning before resumption.</w:t>
      </w:r>
    </w:p>
    <w:p>
      <w:pPr>
        <w:pStyle w:val="BodyText"/>
        <w:numPr>
          <w:ilvl w:val="0"/>
          <w:numId w:val="9"/>
        </w:numPr>
        <w:rPr/>
      </w:pPr>
      <w:r>
        <w:rPr/>
        <w:t>Truncated scans (these are also flagged with a Red quality rating).</w:t>
      </w:r>
    </w:p>
    <w:p>
      <w:pPr>
        <w:pStyle w:val="BodyText"/>
        <w:rPr/>
      </w:pPr>
      <w:r>
        <w:rPr/>
        <w:t xml:space="preserve">There were also a few issues worth noting that occurred during the initial setup period (first 100 scans, through August 2021). </w:t>
      </w:r>
    </w:p>
    <w:p>
      <w:pPr>
        <w:pStyle w:val="BodyText"/>
        <w:numPr>
          <w:ilvl w:val="0"/>
          <w:numId w:val="10"/>
        </w:numPr>
        <w:rPr/>
      </w:pPr>
      <w:r>
        <w:rPr/>
        <w:t>Face masking was not initially recorded on an individual basis (this begin in Fall 2021). Prior to that, in some cases the information on Confluence</w:t>
      </w:r>
      <w:r>
        <w:rPr>
          <w:rStyle w:val="FootnoteReference"/>
        </w:rPr>
        <w:footnoteReference w:id="3"/>
      </w:r>
      <w:r>
        <w:rPr/>
        <w:t xml:space="preserve"> on site policies during this period will provide sufficient information to infer mask use.</w:t>
      </w:r>
    </w:p>
    <w:p>
      <w:pPr>
        <w:pStyle w:val="BodyText"/>
        <w:numPr>
          <w:ilvl w:val="0"/>
          <w:numId w:val="10"/>
        </w:numPr>
        <w:rPr/>
      </w:pPr>
      <w:r>
        <w:rPr/>
        <w:t xml:space="preserve">There are a small number of “pressureless cuff” scans. These are instances of the CUFF1 and CUFF2 scans with no inflation applied, and can be identified by checking the events.tsv files of Cuff scans for “applied_pressure” values of 0. </w:t>
      </w:r>
    </w:p>
    <w:p>
      <w:pPr>
        <w:pStyle w:val="BodyText"/>
        <w:numPr>
          <w:ilvl w:val="0"/>
          <w:numId w:val="10"/>
        </w:numPr>
        <w:rPr/>
      </w:pPr>
      <w:r>
        <w:rPr/>
        <w:t>In very early scans, prior to protocol clarification there might have been instances in which “pressureless cuff” or “cuff contraindicated” subjects were run without the cuff deployed.</w:t>
      </w:r>
    </w:p>
    <w:p>
      <w:pPr>
        <w:pStyle w:val="Heading1"/>
        <w:numPr>
          <w:ilvl w:val="0"/>
          <w:numId w:val="1"/>
        </w:numPr>
        <w:rPr>
          <w:rFonts w:hint="eastAsia"/>
        </w:rPr>
      </w:pPr>
      <w:bookmarkStart w:id="35" w:name="__RefHeading___Toc2055_2332052893"/>
      <w:bookmarkStart w:id="36" w:name="_Toc218847451"/>
      <w:bookmarkEnd w:id="35"/>
      <w:r>
        <w:rPr/>
        <w:t>8. Incomplete Scan Sessions</w:t>
      </w:r>
      <w:bookmarkEnd w:id="36"/>
    </w:p>
    <w:p>
      <w:pPr>
        <w:pStyle w:val="BodyText"/>
        <w:rPr/>
      </w:pPr>
      <w:r>
        <w:rPr/>
        <w:t>In some cases, scan sessions were terminated early, usually at the request of the research participant, resulting in an incomplete set of scans. In rare cases, technical issues such as scan reconstruction failure on the scanner also reduced scan availability.</w:t>
      </w:r>
    </w:p>
    <w:p>
      <w:pPr>
        <w:pStyle w:val="BodyText"/>
        <w:rPr/>
      </w:pPr>
      <w:r>
        <w:rPr/>
        <w:t>The following are notes on specific cases of particular interest:</w:t>
      </w:r>
    </w:p>
    <w:p>
      <w:pPr>
        <w:pStyle w:val="BodyText"/>
        <w:numPr>
          <w:ilvl w:val="0"/>
          <w:numId w:val="4"/>
        </w:numPr>
        <w:rPr/>
      </w:pPr>
      <w:r>
        <w:rPr/>
        <w:t xml:space="preserve">There are several cases in which only the T1w scan (the first in the session) is available: 10005, 10245, 10553, 20311, and 15001. </w:t>
      </w:r>
    </w:p>
    <w:p>
      <w:pPr>
        <w:pStyle w:val="BodyText"/>
        <w:numPr>
          <w:ilvl w:val="0"/>
          <w:numId w:val="4"/>
        </w:numPr>
        <w:rPr/>
      </w:pPr>
      <w:r>
        <w:rPr/>
        <w:t xml:space="preserve"> </w:t>
      </w:r>
      <w:r>
        <w:rPr/>
        <w:t>There are two cases in which no T1w scan is available: 10205, a reconstruction failure on the scanner, and 25012, a case where severe dental artifact led to the T1w not being saved. These scans will appear in the BIDS dataset but not in the derivatives, since all A2CPS pipelines require T1w images.</w:t>
      </w:r>
    </w:p>
    <w:p>
      <w:pPr>
        <w:pStyle w:val="BodyText"/>
        <w:numPr>
          <w:ilvl w:val="0"/>
          <w:numId w:val="4"/>
        </w:numPr>
        <w:rPr/>
      </w:pPr>
      <w:r>
        <w:rPr/>
        <w:t>There are a small number of cases with REST2 but no Cuff scans, violating the "pain bracketing" expectation for Rest scans. These have been flagged as “Red” quality to distinguish them as incomparable to other REST2 scans.</w:t>
      </w:r>
    </w:p>
    <w:p>
      <w:pPr>
        <w:pStyle w:val="BodyText"/>
        <w:rPr/>
      </w:pPr>
      <w:r>
        <w:rPr/>
        <w:t>Note that imaging products are included in each release only if the A2CPS pipeline completed successfully – thus, there may sometimes be cases for which BIDS data exists but no products are yet available.</w:t>
      </w:r>
    </w:p>
    <w:p>
      <w:pPr>
        <w:pStyle w:val="Heading1"/>
        <w:numPr>
          <w:ilvl w:val="0"/>
          <w:numId w:val="1"/>
        </w:numPr>
        <w:rPr>
          <w:rFonts w:hint="eastAsia"/>
        </w:rPr>
      </w:pPr>
      <w:bookmarkStart w:id="37" w:name="__RefHeading___Toc2057_2332052893"/>
      <w:bookmarkStart w:id="38" w:name="_Ref187835931"/>
      <w:bookmarkStart w:id="39" w:name="_Ref187835946"/>
      <w:bookmarkStart w:id="40" w:name="_Toc218847452"/>
      <w:bookmarkEnd w:id="37"/>
      <w:r>
        <w:rPr/>
        <w:t>9. Release Changes</w:t>
      </w:r>
      <w:bookmarkEnd w:id="38"/>
      <w:bookmarkEnd w:id="39"/>
      <w:bookmarkEnd w:id="40"/>
    </w:p>
    <w:p>
      <w:pPr>
        <w:pStyle w:val="Normal"/>
        <w:rPr/>
      </w:pPr>
      <w:r>
        <w:rPr/>
        <w:t>These are details related to derivatives that are release-specific. Note that the BIDS dataset also includes a CHANGES file with information on changes to the imaging dataset (though not its derivatives). See the sections below for Release 3.0 changes relative to Release 2.1, as well as earlier changes relative to each prior releases.</w:t>
      </w:r>
    </w:p>
    <w:p>
      <w:pPr>
        <w:pStyle w:val="Heading2"/>
        <w:numPr>
          <w:ilvl w:val="1"/>
          <w:numId w:val="1"/>
        </w:numPr>
        <w:rPr/>
      </w:pPr>
      <w:bookmarkStart w:id="41" w:name="__RefHeading___Toc2059_2332052893"/>
      <w:bookmarkEnd w:id="41"/>
      <w:r>
        <w:rPr/>
        <w:t>Release 3.0</w:t>
      </w:r>
    </w:p>
    <w:p>
      <w:pPr>
        <w:pStyle w:val="ListParagraph"/>
        <w:numPr>
          <w:ilvl w:val="0"/>
          <w:numId w:val="11"/>
        </w:numPr>
        <w:rPr/>
      </w:pPr>
      <w:r>
        <w:rPr/>
        <w:t xml:space="preserve">Manual QC review data is now available </w:t>
      </w:r>
    </w:p>
    <w:p>
      <w:pPr>
        <w:pStyle w:val="Heading2"/>
        <w:numPr>
          <w:ilvl w:val="1"/>
          <w:numId w:val="1"/>
        </w:numPr>
        <w:rPr>
          <w:rFonts w:hint="eastAsia"/>
        </w:rPr>
      </w:pPr>
      <w:bookmarkStart w:id="42" w:name="__RefHeading___Toc2061_2332052893"/>
      <w:bookmarkStart w:id="43" w:name="_Toc218847453"/>
      <w:bookmarkEnd w:id="42"/>
      <w:r>
        <w:rPr/>
        <w:t>Release 2.1</w:t>
      </w:r>
      <w:bookmarkEnd w:id="43"/>
    </w:p>
    <w:p>
      <w:pPr>
        <w:pStyle w:val="ListParagraph"/>
        <w:numPr>
          <w:ilvl w:val="0"/>
          <w:numId w:val="11"/>
        </w:numPr>
        <w:rPr/>
      </w:pPr>
      <w:r>
        <w:rPr/>
        <w:t>DTI products are calculated on each shell of the multishell DWI data, as well as on the complete multishell data</w:t>
      </w:r>
    </w:p>
    <w:p>
      <w:pPr>
        <w:pStyle w:val="ListParagraph"/>
        <w:numPr>
          <w:ilvl w:val="0"/>
          <w:numId w:val="11"/>
        </w:numPr>
        <w:rPr/>
      </w:pPr>
      <w:r>
        <w:rPr/>
        <w:t>An additional skull stripping step is no longer performed on the various pipeline outputs derived from T1-weighted images (or on the T1w images in BIDS)</w:t>
      </w:r>
    </w:p>
    <w:p>
      <w:pPr>
        <w:pStyle w:val="ListParagraph"/>
        <w:numPr>
          <w:ilvl w:val="0"/>
          <w:numId w:val="11"/>
        </w:numPr>
        <w:rPr/>
      </w:pPr>
      <w:r>
        <w:rPr/>
        <w:t xml:space="preserve">Biomarker updates: gray matter density (secondary biomarker 68)  </w:t>
      </w:r>
    </w:p>
    <w:p>
      <w:pPr>
        <w:pStyle w:val="Heading2"/>
        <w:numPr>
          <w:ilvl w:val="1"/>
          <w:numId w:val="1"/>
        </w:numPr>
        <w:rPr>
          <w:rFonts w:hint="eastAsia"/>
        </w:rPr>
      </w:pPr>
      <w:bookmarkStart w:id="44" w:name="__RefHeading___Toc2063_2332052893"/>
      <w:bookmarkStart w:id="45" w:name="_Toc218847454"/>
      <w:bookmarkEnd w:id="44"/>
      <w:r>
        <w:rPr/>
        <w:t>Release 2.0</w:t>
      </w:r>
      <w:bookmarkEnd w:id="45"/>
    </w:p>
    <w:p>
      <w:pPr>
        <w:pStyle w:val="ListParagraph"/>
        <w:numPr>
          <w:ilvl w:val="0"/>
          <w:numId w:val="11"/>
        </w:numPr>
        <w:rPr/>
      </w:pPr>
      <w:r>
        <w:rPr/>
        <w:t>Several pipelines have been upgraded. For changes associated with these updates, please seem the pipeline documentation.</w:t>
      </w:r>
    </w:p>
    <w:p>
      <w:pPr>
        <w:pStyle w:val="ListParagraph"/>
        <w:numPr>
          <w:ilvl w:val="1"/>
          <w:numId w:val="11"/>
        </w:numPr>
        <w:rPr/>
      </w:pPr>
      <w:r>
        <w:rPr>
          <w:rFonts w:hint="eastAsia"/>
        </w:rPr>
        <w:t>fMRIPrep</w:t>
      </w:r>
      <w:r>
        <w:rPr/>
        <w:t xml:space="preserve">: </w:t>
      </w:r>
      <w:r>
        <w:rPr>
          <w:rFonts w:hint="eastAsia"/>
        </w:rPr>
        <w:t>20.2.x LTS</w:t>
      </w:r>
      <w:r>
        <w:rPr/>
        <w:t xml:space="preserve"> → 24.0.1</w:t>
      </w:r>
    </w:p>
    <w:p>
      <w:pPr>
        <w:pStyle w:val="ListParagraph"/>
        <w:numPr>
          <w:ilvl w:val="1"/>
          <w:numId w:val="11"/>
        </w:numPr>
        <w:rPr/>
      </w:pPr>
      <w:r>
        <w:rPr>
          <w:rFonts w:hint="eastAsia"/>
        </w:rPr>
        <w:t>FreeSurfer</w:t>
      </w:r>
      <w:r>
        <w:rPr/>
        <w:t>: 6 → 7</w:t>
      </w:r>
    </w:p>
    <w:p>
      <w:pPr>
        <w:pStyle w:val="ListParagraph"/>
        <w:numPr>
          <w:ilvl w:val="1"/>
          <w:numId w:val="11"/>
        </w:numPr>
        <w:rPr/>
      </w:pPr>
      <w:r>
        <w:rPr/>
        <w:t xml:space="preserve">CAT12: 12.8.1 </w:t>
      </w:r>
      <w:r>
        <w:rPr>
          <w:rFonts w:hint="eastAsia"/>
        </w:rPr>
        <w:t>(r2042)</w:t>
      </w:r>
      <w:r>
        <w:rPr/>
        <w:t xml:space="preserve"> → 12.9 </w:t>
      </w:r>
      <w:r>
        <w:rPr>
          <w:rFonts w:hint="eastAsia"/>
        </w:rPr>
        <w:t>(r2556)</w:t>
      </w:r>
    </w:p>
    <w:p>
      <w:pPr>
        <w:pStyle w:val="ListParagraph"/>
        <w:numPr>
          <w:ilvl w:val="1"/>
          <w:numId w:val="11"/>
        </w:numPr>
        <w:rPr/>
      </w:pPr>
      <w:r>
        <w:rPr/>
        <w:t>MRIQC: 0.15.1 → 24.0.2</w:t>
      </w:r>
    </w:p>
    <w:p>
      <w:pPr>
        <w:pStyle w:val="ListParagraph"/>
        <w:numPr>
          <w:ilvl w:val="1"/>
          <w:numId w:val="11"/>
        </w:numPr>
        <w:rPr/>
      </w:pPr>
      <w:r>
        <w:rPr>
          <w:rFonts w:hint="eastAsia"/>
        </w:rPr>
        <w:t>Functional Connectivity</w:t>
      </w:r>
      <w:r>
        <w:rPr/>
        <w:t xml:space="preserve">: </w:t>
      </w:r>
      <w:r>
        <w:rPr>
          <w:rFonts w:hint="eastAsia"/>
        </w:rPr>
        <w:t>A2CPS Pipeline 1.0/1.1</w:t>
      </w:r>
      <w:r>
        <w:rPr/>
        <w:t xml:space="preserve"> → </w:t>
      </w:r>
      <w:r>
        <w:rPr>
          <w:rFonts w:hint="eastAsia"/>
        </w:rPr>
        <w:t xml:space="preserve">A2CPS Pipeline </w:t>
      </w:r>
      <w:r>
        <w:rPr/>
        <w:t>2</w:t>
      </w:r>
      <w:r>
        <w:rPr>
          <w:rFonts w:hint="eastAsia"/>
        </w:rPr>
        <w:t>.0</w:t>
      </w:r>
    </w:p>
    <w:p>
      <w:pPr>
        <w:pStyle w:val="ListParagraph"/>
        <w:numPr>
          <w:ilvl w:val="1"/>
          <w:numId w:val="11"/>
        </w:numPr>
        <w:rPr/>
      </w:pPr>
      <w:r>
        <w:rPr>
          <w:rFonts w:hint="eastAsia"/>
        </w:rPr>
        <w:t>MRI Signatures</w:t>
      </w:r>
      <w:r>
        <w:rPr/>
        <w:t xml:space="preserve">: </w:t>
      </w:r>
      <w:r>
        <w:rPr>
          <w:rFonts w:hint="eastAsia"/>
        </w:rPr>
        <w:t>A2CPS Pipeline 1.0/1.1</w:t>
      </w:r>
      <w:r>
        <w:rPr/>
        <w:t xml:space="preserve"> → </w:t>
      </w:r>
      <w:r>
        <w:rPr>
          <w:rFonts w:hint="eastAsia"/>
        </w:rPr>
        <w:t xml:space="preserve">A2CPS Pipeline </w:t>
      </w:r>
      <w:r>
        <w:rPr/>
        <w:t>2</w:t>
      </w:r>
      <w:r>
        <w:rPr>
          <w:rFonts w:hint="eastAsia"/>
        </w:rPr>
        <w:t>.0</w:t>
      </w:r>
    </w:p>
    <w:p>
      <w:pPr>
        <w:pStyle w:val="ListParagraph"/>
        <w:numPr>
          <w:ilvl w:val="0"/>
          <w:numId w:val="11"/>
        </w:numPr>
        <w:rPr/>
      </w:pPr>
      <w:r>
        <w:rPr/>
        <w:t>In addition, outputs that are downstream from these upgraded pipelines have been rerun</w:t>
      </w:r>
    </w:p>
    <w:p>
      <w:pPr>
        <w:pStyle w:val="ListParagraph"/>
        <w:numPr>
          <w:ilvl w:val="1"/>
          <w:numId w:val="11"/>
        </w:numPr>
        <w:rPr/>
      </w:pPr>
      <w:r>
        <w:rPr>
          <w:rFonts w:hint="eastAsia"/>
        </w:rPr>
        <w:t>GIFT: 4.0.5.0/NeuroMark 2.x</w:t>
      </w:r>
    </w:p>
    <w:p>
      <w:pPr>
        <w:pStyle w:val="ListParagraph"/>
        <w:numPr>
          <w:ilvl w:val="0"/>
          <w:numId w:val="11"/>
        </w:numPr>
        <w:rPr/>
      </w:pPr>
      <w:r>
        <w:rPr/>
        <w:t>Subject 10478 withdrew from the study. Although the subject did not request removal of collected data, there were enough omissions in baseline demographic information that it was judged best to omit this ID from the Release 2 freeze list.</w:t>
      </w:r>
    </w:p>
    <w:p>
      <w:pPr>
        <w:pStyle w:val="ListParagraph"/>
        <w:numPr>
          <w:ilvl w:val="0"/>
          <w:numId w:val="11"/>
        </w:numPr>
        <w:rPr/>
      </w:pPr>
      <w:r>
        <w:rPr/>
        <w:t>In Release 1, UC100491V1’s CUFF1 scan is truncated (20% size). Prior to Release 2.0, a review identified a full replacement CUFF1 scan that was not initially processed because of a scan labeling issue. As of Release 2.0, this replacement scan is included (both rawdata and Derivatives).</w:t>
      </w:r>
    </w:p>
    <w:p>
      <w:pPr>
        <w:pStyle w:val="ListParagraph"/>
        <w:numPr>
          <w:ilvl w:val="0"/>
          <w:numId w:val="11"/>
        </w:numPr>
        <w:rPr/>
      </w:pPr>
      <w:r>
        <w:rPr>
          <w:rFonts w:hint="eastAsia"/>
        </w:rPr>
        <w:t>No longer providing multiple copies of minimally preprocessed anatomical results, as produced by fmriprep</w:t>
      </w:r>
    </w:p>
    <w:p>
      <w:pPr>
        <w:pStyle w:val="ListParagraph"/>
        <w:numPr>
          <w:ilvl w:val="1"/>
          <w:numId w:val="11"/>
        </w:numPr>
        <w:rPr/>
      </w:pPr>
      <w:r>
        <w:rPr>
          <w:rFonts w:hint="eastAsia"/>
        </w:rPr>
        <w:t>Previously, rfMRI and tfMRI scans were processed by fmriprep separately from the anatomical scans, and each produced a set of minimally preprocessed anatomical files. As of Release 2, fmriprep is run once per participant, resulting in a single set of preprocessed anatomical scans</w:t>
      </w:r>
    </w:p>
    <w:p>
      <w:pPr>
        <w:pStyle w:val="ListParagraph"/>
        <w:numPr>
          <w:ilvl w:val="0"/>
          <w:numId w:val="11"/>
        </w:numPr>
        <w:rPr/>
      </w:pPr>
      <w:r>
        <w:rPr>
          <w:rFonts w:hint="eastAsia"/>
        </w:rPr>
        <w:t>Improved masking in fMRIPrep</w:t>
      </w:r>
    </w:p>
    <w:p>
      <w:pPr>
        <w:pStyle w:val="ListParagraph"/>
        <w:numPr>
          <w:ilvl w:val="1"/>
          <w:numId w:val="11"/>
        </w:numPr>
        <w:rPr/>
      </w:pPr>
      <w:r>
        <w:rPr>
          <w:rFonts w:hint="eastAsia"/>
        </w:rPr>
        <w:t>The default masking routine for fMRIPrep has been replaced with mri_synthstrip</w:t>
      </w:r>
    </w:p>
    <w:p>
      <w:pPr>
        <w:pStyle w:val="ListParagraph"/>
        <w:numPr>
          <w:ilvl w:val="0"/>
          <w:numId w:val="11"/>
        </w:numPr>
        <w:rPr/>
      </w:pPr>
      <w:r>
        <w:rPr>
          <w:rFonts w:hint="eastAsia"/>
        </w:rPr>
        <w:t>In fMRIPrep processing, bold-anat coregistration has been reduced from 9 → 6</w:t>
      </w:r>
    </w:p>
    <w:p>
      <w:pPr>
        <w:pStyle w:val="ListParagraph"/>
        <w:numPr>
          <w:ilvl w:val="0"/>
          <w:numId w:val="11"/>
        </w:numPr>
        <w:rPr/>
      </w:pPr>
      <w:r>
        <w:rPr>
          <w:rFonts w:hint="eastAsia"/>
        </w:rPr>
        <w:t>New output spaces are included in fMRIPrep. The current list is</w:t>
      </w:r>
    </w:p>
    <w:p>
      <w:pPr>
        <w:pStyle w:val="ListParagraph"/>
        <w:numPr>
          <w:ilvl w:val="1"/>
          <w:numId w:val="11"/>
        </w:numPr>
        <w:rPr/>
      </w:pPr>
      <w:r>
        <w:rPr>
          <w:rFonts w:hint="eastAsia"/>
        </w:rPr>
        <w:t>MNI152NLin2009cAsym:res-native</w:t>
      </w:r>
    </w:p>
    <w:p>
      <w:pPr>
        <w:pStyle w:val="ListParagraph"/>
        <w:numPr>
          <w:ilvl w:val="1"/>
          <w:numId w:val="11"/>
        </w:numPr>
        <w:rPr/>
      </w:pPr>
      <w:r>
        <w:rPr>
          <w:rFonts w:hint="eastAsia"/>
        </w:rPr>
        <w:t>MNI152NLin2009cAsym:res-2</w:t>
      </w:r>
    </w:p>
    <w:p>
      <w:pPr>
        <w:pStyle w:val="ListParagraph"/>
        <w:numPr>
          <w:ilvl w:val="1"/>
          <w:numId w:val="11"/>
        </w:numPr>
        <w:rPr/>
      </w:pPr>
      <w:r>
        <w:rPr>
          <w:rFonts w:hint="eastAsia"/>
        </w:rPr>
        <w:t>MNI152NLin6Asym:res-native</w:t>
      </w:r>
    </w:p>
    <w:p>
      <w:pPr>
        <w:pStyle w:val="ListParagraph"/>
        <w:numPr>
          <w:ilvl w:val="1"/>
          <w:numId w:val="11"/>
        </w:numPr>
        <w:rPr/>
      </w:pPr>
      <w:r>
        <w:rPr>
          <w:rFonts w:hint="eastAsia"/>
        </w:rPr>
        <w:t>MNI152NLin6Asym:res-2</w:t>
      </w:r>
    </w:p>
    <w:p>
      <w:pPr>
        <w:pStyle w:val="ListParagraph"/>
        <w:numPr>
          <w:ilvl w:val="1"/>
          <w:numId w:val="11"/>
        </w:numPr>
        <w:rPr/>
      </w:pPr>
      <w:r>
        <w:rPr>
          <w:rFonts w:hint="eastAsia"/>
        </w:rPr>
        <w:t>space-fsLR_den-91k</w:t>
      </w:r>
    </w:p>
    <w:p>
      <w:pPr>
        <w:pStyle w:val="ListParagraph"/>
        <w:numPr>
          <w:ilvl w:val="0"/>
          <w:numId w:val="11"/>
        </w:numPr>
        <w:rPr/>
      </w:pPr>
      <w:r>
        <w:rPr>
          <w:rFonts w:hint="eastAsia"/>
        </w:rPr>
        <w:t>Parcellated timeseries from functional connectivity now included</w:t>
      </w:r>
    </w:p>
    <w:p>
      <w:pPr>
        <w:pStyle w:val="ListParagraph"/>
        <w:numPr>
          <w:ilvl w:val="0"/>
          <w:numId w:val="11"/>
        </w:numPr>
        <w:rPr/>
      </w:pPr>
      <w:r>
        <w:rPr>
          <w:rFonts w:hint="eastAsia"/>
        </w:rPr>
        <w:t>GIFT processing is now performed on CUFF data</w:t>
      </w:r>
    </w:p>
    <w:p>
      <w:pPr>
        <w:pStyle w:val="Heading2"/>
        <w:numPr>
          <w:ilvl w:val="1"/>
          <w:numId w:val="1"/>
        </w:numPr>
        <w:rPr>
          <w:rFonts w:hint="eastAsia"/>
        </w:rPr>
      </w:pPr>
      <w:bookmarkStart w:id="46" w:name="__RefHeading___Toc2065_2332052893"/>
      <w:bookmarkStart w:id="47" w:name="_Toc218847455"/>
      <w:bookmarkEnd w:id="46"/>
      <w:r>
        <w:rPr/>
        <w:t>Release 1.1</w:t>
      </w:r>
      <w:bookmarkEnd w:id="47"/>
    </w:p>
    <w:p>
      <w:pPr>
        <w:pStyle w:val="Normal"/>
        <w:numPr>
          <w:ilvl w:val="0"/>
          <w:numId w:val="13"/>
        </w:numPr>
        <w:rPr/>
      </w:pPr>
      <w:r>
        <w:rPr/>
        <w:t xml:space="preserve">Documentation improvements (these Release Notes have been added, and the BIDS README.MD has updated contents) </w:t>
      </w:r>
    </w:p>
    <w:p>
      <w:pPr>
        <w:pStyle w:val="Normal"/>
        <w:numPr>
          <w:ilvl w:val="0"/>
          <w:numId w:val="13"/>
        </w:numPr>
        <w:rPr/>
      </w:pPr>
      <w:r>
        <w:rPr/>
        <w:t>Updates in BIDS (InstitutionName now fixed for all scans from a site, "scanner" column now moved from participants.tsv to scans.tsv, and other additions to scans.tsv)</w:t>
      </w:r>
    </w:p>
    <w:p>
      <w:pPr>
        <w:pStyle w:val="BodyText"/>
        <w:numPr>
          <w:ilvl w:val="0"/>
          <w:numId w:val="13"/>
        </w:numPr>
        <w:rPr/>
      </w:pPr>
      <w:r>
        <w:rPr/>
        <w:t>Changes and additions in derivatives (principally, the addition of processed diffusion MRI data and standardized ICA results for fMRI from the NeuroMark package)</w:t>
      </w:r>
    </w:p>
    <w:p>
      <w:pPr>
        <w:pStyle w:val="BodyText"/>
        <w:numPr>
          <w:ilvl w:val="0"/>
          <w:numId w:val="13"/>
        </w:numPr>
        <w:rPr/>
      </w:pPr>
      <w:r>
        <w:rPr/>
        <w:t>New “Frequently Asked Questions” (see end of this document)</w:t>
      </w:r>
    </w:p>
    <w:p>
      <w:pPr>
        <w:pStyle w:val="Heading1"/>
        <w:numPr>
          <w:ilvl w:val="0"/>
          <w:numId w:val="1"/>
        </w:numPr>
        <w:rPr>
          <w:rFonts w:hint="eastAsia"/>
        </w:rPr>
      </w:pPr>
      <w:bookmarkStart w:id="48" w:name="__RefHeading___Toc2067_2332052893"/>
      <w:bookmarkStart w:id="49" w:name="_Toc218847456"/>
      <w:bookmarkEnd w:id="48"/>
      <w:r>
        <w:rPr/>
        <w:t>10. References</w:t>
      </w:r>
      <w:bookmarkEnd w:id="49"/>
    </w:p>
    <w:p>
      <w:pPr>
        <w:pStyle w:val="HangingIndent"/>
        <w:rPr/>
      </w:pPr>
      <w:r>
        <w:rPr/>
        <w:t xml:space="preserve">[Barth et al. 2016] Barth M, Breuer F, Koopmans PJ, Norris DG, and Poser BA. Simultaneous multislice (SMS) techniques. </w:t>
      </w:r>
      <w:r>
        <w:rPr>
          <w:rStyle w:val="Emphasis"/>
        </w:rPr>
        <w:t>Magn Reson Med</w:t>
      </w:r>
      <w:r>
        <w:rPr/>
        <w:t xml:space="preserve"> 2016 Jan; 75(1):63-81. [doi: </w:t>
      </w:r>
      <w:hyperlink r:id="rId15">
        <w:r>
          <w:rPr>
            <w:rStyle w:val="Hyperlink"/>
          </w:rPr>
          <w:t>10.1002/mrm.25897</w:t>
        </w:r>
      </w:hyperlink>
      <w:r>
        <w:rPr/>
        <w:t>]</w:t>
      </w:r>
    </w:p>
    <w:p>
      <w:pPr>
        <w:pStyle w:val="HangingIndent"/>
        <w:rPr/>
      </w:pPr>
      <w:r>
        <w:rPr/>
        <w:t xml:space="preserve">[Casey et al. 2018] B.J. Casey, Tariq Cannonier, May I. Conley, Alexandra O. Cohen, Deanna M. Barch, Mary M. Heitzeg, Mary E. Soules, Theresa Teslovich, Danielle V. Dellarco, Hugh Garavan, Catherine A. Orr, Tor D. Wager, Marie T. Banich, Nicole K. Speer, Matthew T. Sutherland, Michael C. Riedel, Anthony S. Dick, James M. Bjork, Kathleen M. Thomas, Bader Chaarani, Margie H. Mejia, Donald J. Hagler, M. Daniela Cornejo, Chelsea S. Sicat, Michael P. Harms, Nico U.F. Dosenbach, Monica Rosenberg, Eric Earl, Hauke Bartsch, Richard Watts, Jonathan R. Polimeni, Joshua M. Kuperman, Damien A. Fair, Anders M. Dale, The Adolescent Brain Cognitive Development (ABCD) study: Imaging acquisition across 21 sites, </w:t>
      </w:r>
      <w:r>
        <w:rPr>
          <w:rStyle w:val="Emphasis"/>
        </w:rPr>
        <w:t>Developmental Cognitive Neuroscience</w:t>
      </w:r>
      <w:r>
        <w:rPr/>
        <w:t xml:space="preserve">, Vol 32, 2018, pg 43-54, ISSN 1878-9293. </w:t>
      </w:r>
      <w:hyperlink r:id="rId16">
        <w:r>
          <w:rPr>
            <w:rStyle w:val="Hyperlink"/>
          </w:rPr>
          <w:t>https://doi.org/10.1016/j.dcn.2018.03.001</w:t>
        </w:r>
      </w:hyperlink>
      <w:r>
        <w:rPr/>
        <w:t>. (</w:t>
      </w:r>
      <w:hyperlink r:id="rId17">
        <w:r>
          <w:rPr>
            <w:rStyle w:val="Hyperlink"/>
          </w:rPr>
          <w:t>https://www.sciencedirect.com/science/article/pii/S1878929317301214</w:t>
        </w:r>
      </w:hyperlink>
      <w:r>
        <w:rPr/>
        <w:t xml:space="preserve">) </w:t>
      </w:r>
    </w:p>
    <w:p>
      <w:pPr>
        <w:pStyle w:val="HangingIndent"/>
        <w:rPr/>
      </w:pPr>
      <w:r>
        <w:rPr/>
        <w:t xml:space="preserve">[Holland et al. 2010] Dominic Holland, Joshua M. Kuperman, Anders M. Dale, Efficient correction of inhomogeneous static magnetic field-induced distortion in Echo Planar Imaging, </w:t>
      </w:r>
      <w:r>
        <w:rPr>
          <w:i/>
          <w:iCs/>
        </w:rPr>
        <w:t>NeuroImage</w:t>
      </w:r>
      <w:r>
        <w:rPr/>
        <w:t xml:space="preserve">, Vol 50, Issue 1, 2010, pg 175-183, ISSN 1053-8119, </w:t>
      </w:r>
      <w:hyperlink r:id="rId18">
        <w:r>
          <w:rPr>
            <w:rStyle w:val="Hyperlink"/>
          </w:rPr>
          <w:t>https://doi.org/10.1016/j.neuroimage.2009.11.044</w:t>
        </w:r>
      </w:hyperlink>
      <w:r>
        <w:rPr/>
        <w:t>. (https://www.sciencedirect.com/science/article/pii/S1053811909012294)</w:t>
      </w:r>
    </w:p>
    <w:p>
      <w:pPr>
        <w:pStyle w:val="HangingIndent"/>
        <w:rPr/>
      </w:pPr>
      <w:r>
        <w:rPr/>
        <w:t xml:space="preserve">[Setsompop et al. 2012] Setsompop K, Cohen‐Adad J, Gagoski BA, Raij T, Yendiki A, Keil B, Wedeen VJ, Wald LL. Improving diffusion MRI using simultaneous multi‐slice echo planar imaging. </w:t>
      </w:r>
      <w:r>
        <w:rPr>
          <w:rStyle w:val="Emphasis"/>
        </w:rPr>
        <w:t>Neuroimage</w:t>
      </w:r>
      <w:r>
        <w:rPr/>
        <w:t xml:space="preserve"> 2012;63:569–580. [</w:t>
      </w:r>
      <w:hyperlink r:id="rId19">
        <w:r>
          <w:rPr>
            <w:rStyle w:val="Hyperlink"/>
          </w:rPr>
          <w:t>PMC free article</w:t>
        </w:r>
      </w:hyperlink>
      <w:r>
        <w:rPr/>
        <w:t>]</w:t>
      </w:r>
    </w:p>
    <w:p>
      <w:pPr>
        <w:pStyle w:val="Heading1"/>
        <w:numPr>
          <w:ilvl w:val="0"/>
          <w:numId w:val="1"/>
        </w:numPr>
        <w:rPr>
          <w:rFonts w:hint="eastAsia"/>
        </w:rPr>
      </w:pPr>
      <w:bookmarkStart w:id="50" w:name="__RefHeading___Toc2069_2332052893"/>
      <w:bookmarkStart w:id="51" w:name="_Toc218847457"/>
      <w:bookmarkEnd w:id="50"/>
      <w:r>
        <w:rPr/>
        <w:t>11. Frequently Asked Questions (FAQ)</w:t>
      </w:r>
      <w:bookmarkEnd w:id="51"/>
    </w:p>
    <w:p>
      <w:pPr>
        <w:pStyle w:val="BodyText"/>
        <w:rPr/>
      </w:pPr>
      <w:r>
        <w:rPr/>
        <w:t>This section may duplicate other material – it exists to give simple, concise answers.</w:t>
      </w:r>
    </w:p>
    <w:p>
      <w:pPr>
        <w:pStyle w:val="BodyText"/>
        <w:rPr/>
      </w:pPr>
      <w:r>
        <w:rPr/>
      </w:r>
    </w:p>
    <w:p>
      <w:pPr>
        <w:pStyle w:val="BodyText"/>
        <w:keepNext w:val="true"/>
        <w:rPr/>
      </w:pPr>
      <w:r>
        <w:rPr>
          <w:b/>
          <w:bCs/>
        </w:rPr>
        <w:t xml:space="preserve">Q1. </w:t>
      </w:r>
      <w:r>
        <w:rPr/>
        <w:t xml:space="preserve">What is the plan for releases? </w:t>
      </w:r>
    </w:p>
    <w:p>
      <w:pPr>
        <w:pStyle w:val="BodyText"/>
        <w:rPr/>
      </w:pPr>
      <w:r>
        <w:rPr>
          <w:b/>
          <w:bCs/>
        </w:rPr>
        <w:t>A1.</w:t>
      </w:r>
      <w:r>
        <w:rPr/>
        <w:t xml:space="preserve"> Major releases (such as 1.0 and 2.0) define the pool of subjects for subsequent minor releases. Minor releases (such as 1.1) add to, or change, derivatives and documentation, and bug fix releases (e.g. x.y.1), if they become necessary, will provide faster updates in the event issues requiring correction are detected. We anticipate yearly major releases.</w:t>
      </w:r>
    </w:p>
    <w:p>
      <w:pPr>
        <w:pStyle w:val="BodyText"/>
        <w:rPr/>
      </w:pPr>
      <w:r>
        <w:rPr/>
      </w:r>
    </w:p>
    <w:p>
      <w:pPr>
        <w:pStyle w:val="BodyText"/>
        <w:keepNext w:val="true"/>
        <w:rPr/>
      </w:pPr>
      <w:r>
        <w:rPr>
          <w:b/>
          <w:bCs/>
        </w:rPr>
        <w:t>Q2.</w:t>
      </w:r>
      <w:r>
        <w:rPr/>
        <w:t xml:space="preserve"> Each release is described as including subjects based on a date interval for surgeries, but I noticed a subject included/omitted in a release had a surgery that should have excluded/included them. Is this expected?</w:t>
      </w:r>
    </w:p>
    <w:p>
      <w:pPr>
        <w:pStyle w:val="BodyText"/>
        <w:keepNext w:val="true"/>
        <w:rPr/>
      </w:pPr>
      <w:r>
        <w:rPr>
          <w:b/>
          <w:bCs/>
        </w:rPr>
        <w:t>A2.</w:t>
      </w:r>
      <w:r>
        <w:rPr/>
        <w:t xml:space="preserve"> Each release is based on a master participant list that is intended to include all A2CPS participants who had surgery by a cutoff date, and which is frozen after an initial review period. Due to later corrections in record keeping for surgery dates, in rare cases subjects can end up included or omitted from a release list in contradiction to their actual surgery date. The master freeze lists can be found at </w:t>
      </w:r>
      <w:hyperlink r:id="rId20">
        <w:r>
          <w:rPr>
            <w:rStyle w:val="Hyperlink"/>
          </w:rPr>
          <w:t>https://github.com/a2cps/DataFreeeze</w:t>
        </w:r>
      </w:hyperlink>
      <w:r>
        <w:rPr/>
        <w:t xml:space="preserve">. </w:t>
      </w:r>
    </w:p>
    <w:p>
      <w:pPr>
        <w:pStyle w:val="BodyText"/>
        <w:keepNext w:val="true"/>
        <w:rPr/>
      </w:pPr>
      <w:r>
        <w:rPr/>
      </w:r>
    </w:p>
    <w:p>
      <w:pPr>
        <w:pStyle w:val="BodyText"/>
        <w:keepNext w:val="true"/>
        <w:rPr/>
      </w:pPr>
      <w:r>
        <w:rPr>
          <w:b/>
          <w:bCs/>
        </w:rPr>
        <w:t xml:space="preserve">Q3. </w:t>
      </w:r>
      <w:r>
        <w:rPr/>
        <w:t>I noticed that a subject in Release 1 is not in Release 2. Shouldn’t releases be cumulative?</w:t>
      </w:r>
    </w:p>
    <w:p>
      <w:pPr>
        <w:pStyle w:val="BodyText"/>
        <w:keepNext w:val="true"/>
        <w:rPr/>
      </w:pPr>
      <w:r>
        <w:rPr>
          <w:b/>
          <w:bCs/>
        </w:rPr>
        <w:t xml:space="preserve">A3. </w:t>
      </w:r>
      <w:r>
        <w:rPr>
          <w:rFonts w:hint="eastAsia"/>
        </w:rPr>
        <w:t>Although releases are generally cumulative, there are special cases where participants that appeared one release may be excluded from subsequent ones. For example, participants may request to have their data withdrawn from the study. For a list of expected cases, see</w:t>
      </w:r>
      <w:r>
        <w:rPr/>
        <w:t xml:space="preserve"> </w:t>
      </w:r>
      <w:r>
        <w:rPr>
          <w:rFonts w:hint="eastAsia"/>
        </w:rPr>
        <w:fldChar w:fldCharType="begin"/>
      </w:r>
      <w:r>
        <w:rPr>
          <w:rFonts w:hint="eastAsia"/>
        </w:rPr>
        <w:instrText xml:space="preserve"> REF _Ref187835946 \h </w:instrText>
      </w:r>
      <w:r>
        <w:rPr>
          <w:rFonts w:hint="eastAsia"/>
        </w:rPr>
        <w:fldChar w:fldCharType="separate"/>
      </w:r>
      <w:r>
        <w:rPr>
          <w:rFonts w:hint="eastAsia"/>
        </w:rPr>
        <w:t>9. Release Changes</w:t>
      </w:r>
      <w:r>
        <w:rPr>
          <w:rFonts w:hint="eastAsia"/>
        </w:rPr>
        <w:fldChar w:fldCharType="end"/>
      </w:r>
      <w:r>
        <w:rPr>
          <w:rFonts w:hint="eastAsia"/>
        </w:rPr>
        <w:t>.</w:t>
      </w:r>
    </w:p>
    <w:p>
      <w:pPr>
        <w:pStyle w:val="BodyText"/>
        <w:keepNext w:val="true"/>
        <w:rPr/>
      </w:pPr>
      <w:r>
        <w:rPr/>
      </w:r>
    </w:p>
    <w:p>
      <w:pPr>
        <w:pStyle w:val="BodyText"/>
        <w:keepNext w:val="true"/>
        <w:rPr/>
      </w:pPr>
      <w:r>
        <w:rPr>
          <w:b/>
          <w:bCs/>
        </w:rPr>
        <w:t>Q4.</w:t>
      </w:r>
      <w:r>
        <w:rPr/>
        <w:t xml:space="preserve"> What other documentation of A2CPS imaging is available?</w:t>
      </w:r>
    </w:p>
    <w:p>
      <w:pPr>
        <w:pStyle w:val="BodyText"/>
        <w:rPr/>
      </w:pPr>
      <w:r>
        <w:rPr>
          <w:b/>
          <w:bCs/>
        </w:rPr>
        <w:t xml:space="preserve">A4. </w:t>
      </w:r>
      <w:r>
        <w:rPr/>
        <w:t>The ongoing documentation of the A2CPS project has been carried out on the A2CPS Confluence website (</w:t>
      </w:r>
      <w:hyperlink r:id="rId21">
        <w:r>
          <w:rPr>
            <w:rStyle w:val="Hyperlink"/>
          </w:rPr>
          <w:t>https://a2cps.atlassian.net/</w:t>
        </w:r>
      </w:hyperlink>
      <w:r>
        <w:rPr/>
        <w:t xml:space="preserve">), with imaging related information found specifically under the Imaging space. Please contact </w:t>
      </w:r>
      <w:hyperlink r:id="rId22">
        <w:r>
          <w:rPr>
            <w:rStyle w:val="Hyperlink"/>
          </w:rPr>
          <w:t>support@a2cps.org</w:t>
        </w:r>
      </w:hyperlink>
      <w:r>
        <w:rPr/>
        <w:t xml:space="preserve"> or your site PI to get access if you do not yet have it. One particularly useful section for users of A2CPS releases is the “Starter Kits”: </w:t>
      </w:r>
      <w:hyperlink r:id="rId23">
        <w:r>
          <w:rPr>
            <w:rStyle w:val="Hyperlink"/>
          </w:rPr>
          <w:t>https://a2cps.github.io/starterkits/</w:t>
        </w:r>
      </w:hyperlink>
      <w:r>
        <w:rPr/>
        <w:t xml:space="preserve">.  </w:t>
      </w:r>
    </w:p>
    <w:p>
      <w:pPr>
        <w:pStyle w:val="BodyText"/>
        <w:rPr>
          <w:b/>
          <w:bCs/>
        </w:rPr>
      </w:pPr>
      <w:r>
        <w:rPr>
          <w:b/>
          <w:bCs/>
        </w:rPr>
      </w:r>
    </w:p>
    <w:p>
      <w:pPr>
        <w:pStyle w:val="BodyText"/>
        <w:rPr/>
      </w:pPr>
      <w:r>
        <w:rPr>
          <w:b/>
          <w:bCs/>
        </w:rPr>
        <w:t>Q5.</w:t>
      </w:r>
      <w:r>
        <w:rPr/>
        <w:t xml:space="preserve"> How can I determine surgery type/cohort for a scan?</w:t>
      </w:r>
    </w:p>
    <w:p>
      <w:pPr>
        <w:pStyle w:val="BodyText"/>
        <w:rPr/>
      </w:pPr>
      <w:r>
        <w:rPr>
          <w:b/>
          <w:bCs/>
        </w:rPr>
        <w:t xml:space="preserve">A5. </w:t>
      </w:r>
      <w:r>
        <w:rPr/>
        <w:t>The surgery type (knee or thoracic) is encoded in the second digit of the A2CPS ID, but must be interpreted in conjunction with the site group (MCC) where the scan occurred. See the README for more details.</w:t>
      </w:r>
    </w:p>
    <w:p>
      <w:pPr>
        <w:pStyle w:val="BodyText"/>
        <w:rPr/>
      </w:pPr>
      <w:r>
        <w:rPr/>
      </w:r>
    </w:p>
    <w:p>
      <w:pPr>
        <w:pStyle w:val="BodyText"/>
        <w:keepNext w:val="true"/>
        <w:rPr/>
      </w:pPr>
      <w:r>
        <w:rPr>
          <w:b/>
          <w:bCs/>
        </w:rPr>
        <w:t>Q6.</w:t>
      </w:r>
      <w:r>
        <w:rPr/>
        <w:t xml:space="preserve"> How do I download the data?</w:t>
      </w:r>
    </w:p>
    <w:p>
      <w:pPr>
        <w:pStyle w:val="BodyText"/>
        <w:rPr/>
      </w:pPr>
      <w:r>
        <w:rPr>
          <w:b/>
          <w:bCs/>
        </w:rPr>
        <w:t xml:space="preserve">A6. </w:t>
      </w:r>
      <w:r>
        <w:rPr/>
        <w:t xml:space="preserve">Several options exist. First, there are multiple access options. </w:t>
      </w:r>
    </w:p>
    <w:p>
      <w:pPr>
        <w:pStyle w:val="BodyText"/>
        <w:numPr>
          <w:ilvl w:val="0"/>
          <w:numId w:val="8"/>
        </w:numPr>
        <w:rPr/>
      </w:pPr>
      <w:r>
        <w:rPr/>
        <w:t>Access through the Data Portal (this is the easiest to try first unless you know you prefer one of the others, but may not be suited for some large scale downloads) – see separate “How do I access the Data Portal” item</w:t>
      </w:r>
    </w:p>
    <w:p>
      <w:pPr>
        <w:pStyle w:val="BodyText"/>
        <w:numPr>
          <w:ilvl w:val="0"/>
          <w:numId w:val="8"/>
        </w:numPr>
        <w:rPr/>
      </w:pPr>
      <w:r>
        <w:rPr/>
        <w:t>Access through the secure.corral.tacc.utexas.edu server (this would allow rsync/SFTP type access, and is usually the best option for large scale downloads once you know what you want)</w:t>
      </w:r>
    </w:p>
    <w:p>
      <w:pPr>
        <w:pStyle w:val="BodyText"/>
        <w:numPr>
          <w:ilvl w:val="0"/>
          <w:numId w:val="8"/>
        </w:numPr>
        <w:rPr/>
      </w:pPr>
      <w:r>
        <w:rPr/>
        <w:t>Access via Frontera (this TACC server allows SSH access via login8.frontera.tacc.utexas.edu, and you can submit jobs via Slurm to run there, if you want to process within TACC)</w:t>
      </w:r>
    </w:p>
    <w:p>
      <w:pPr>
        <w:pStyle w:val="BodyText"/>
        <w:numPr>
          <w:ilvl w:val="0"/>
          <w:numId w:val="8"/>
        </w:numPr>
        <w:rPr/>
      </w:pPr>
      <w:r>
        <w:rPr/>
        <w:t>Access via Tapis (this would do processing on TACC, using apps controlled under the Tapis APIs; the DIRC runs processing this way, and can offer some setup help if you want this option)</w:t>
      </w:r>
    </w:p>
    <w:p>
      <w:pPr>
        <w:pStyle w:val="BodyText"/>
        <w:rPr/>
      </w:pPr>
      <w:r>
        <w:rPr/>
        <w:t>Second, there are several versions of the dataset, which are located at TACC below the /corral-secure/projects/A2CPS/products/consortium-data directory:</w:t>
      </w:r>
    </w:p>
    <w:p>
      <w:pPr>
        <w:pStyle w:val="BodyText"/>
        <w:numPr>
          <w:ilvl w:val="0"/>
          <w:numId w:val="7"/>
        </w:numPr>
        <w:rPr/>
      </w:pPr>
      <w:r>
        <w:rPr/>
        <w:t>The full dataset (pre-surgery)</w:t>
      </w:r>
    </w:p>
    <w:p>
      <w:pPr>
        <w:pStyle w:val="BodyText"/>
        <w:numPr>
          <w:ilvl w:val="0"/>
          <w:numId w:val="7"/>
        </w:numPr>
        <w:rPr/>
      </w:pPr>
      <w:r>
        <w:rPr/>
        <w:t>The MRI dataset part (mris)</w:t>
      </w:r>
    </w:p>
    <w:p>
      <w:pPr>
        <w:pStyle w:val="BodyText"/>
        <w:numPr>
          <w:ilvl w:val="0"/>
          <w:numId w:val="7"/>
        </w:numPr>
        <w:rPr/>
      </w:pPr>
      <w:r>
        <w:rPr/>
        <w:t>The BIDS dataset (mris/bids)</w:t>
      </w:r>
    </w:p>
    <w:p>
      <w:pPr>
        <w:pStyle w:val="BodyText"/>
        <w:numPr>
          <w:ilvl w:val="0"/>
          <w:numId w:val="7"/>
        </w:numPr>
        <w:rPr/>
      </w:pPr>
      <w:r>
        <w:rPr/>
        <w:t>The derivatives (mris/derivatives/[pipeline])</w:t>
      </w:r>
    </w:p>
    <w:p>
      <w:pPr>
        <w:pStyle w:val="BodyText"/>
        <w:rPr/>
      </w:pPr>
      <w:r>
        <w:rPr/>
        <w:t>For most purposes, the mris/bids dataset is likely of interest to most imaging users – this is a "curated" version of the MRI data in the rawest available form, converted to NIfTI and formatted according to the BIDS specification.</w:t>
      </w:r>
    </w:p>
    <w:p>
      <w:pPr>
        <w:pStyle w:val="BodyText"/>
        <w:rPr/>
      </w:pPr>
      <w:r>
        <w:rPr/>
        <w:t xml:space="preserve">The folder </w:t>
      </w:r>
      <w:r>
        <w:rPr>
          <w:i/>
          <w:iCs/>
        </w:rPr>
        <w:t>pre-surgery</w:t>
      </w:r>
      <w:r>
        <w:rPr/>
        <w:t xml:space="preserve"> always contains the latest release. Older releases are available underneath the consortium-data directory, as zip archives. For example, the first release is /corral-secure/projects/A2CPS/products/consortium-data/pre-surgery-release-1-0-0.zip.</w:t>
      </w:r>
    </w:p>
    <w:p>
      <w:pPr>
        <w:pStyle w:val="BodyText"/>
        <w:rPr/>
      </w:pPr>
      <w:r>
        <w:rPr/>
        <w:t xml:space="preserve">Downloading of all contents is a significant undertaking, and so users are encouraged to (a) consider doing data processing on TACC (using Jupyter, R, and MATLAB notebooks available through the portal, or using Slurm jobs) and (b) target downloads to specific contents. </w:t>
      </w:r>
    </w:p>
    <w:p>
      <w:pPr>
        <w:pStyle w:val="BodyText"/>
        <w:rPr/>
      </w:pPr>
      <w:r>
        <w:rPr/>
      </w:r>
    </w:p>
    <w:p>
      <w:pPr>
        <w:pStyle w:val="BodyText"/>
        <w:rPr/>
      </w:pPr>
      <w:r>
        <w:rPr>
          <w:b/>
          <w:bCs/>
        </w:rPr>
        <w:t>Q7.</w:t>
      </w:r>
      <w:r>
        <w:rPr/>
        <w:t xml:space="preserve"> What are the “rawdata” and “Derivatives” folders in the imaging portion of the release? Which should I download? </w:t>
      </w:r>
    </w:p>
    <w:p>
      <w:pPr>
        <w:pStyle w:val="BodyText"/>
        <w:rPr/>
      </w:pPr>
      <w:r>
        <w:rPr>
          <w:b/>
          <w:bCs/>
        </w:rPr>
        <w:t>A7.</w:t>
      </w:r>
      <w:r>
        <w:rPr/>
        <w:t xml:space="preserve"> Both these folders have contents of potential interest and usefulness. Refer to the BIDS standard (see Key Points and the link to the BIDS standard there) for an explanation of why these particular terms are used.</w:t>
      </w:r>
    </w:p>
    <w:p>
      <w:pPr>
        <w:pStyle w:val="BodyText"/>
        <w:rPr/>
      </w:pPr>
      <w:r>
        <w:rPr/>
        <w:t xml:space="preserve">The “rawdata” is the raw DICOM data converted to NIfTI format and a layout under the BIDS standard, so this is the data you'd use for any processing “from scratch”. The "Derivatives" are results derived from the raw data by various components of the A2CPS pipeline, including biomarkers and other end results you could analyze directly (e.g., cortical thickness or regional connectivity values) and also other products that would be useful as inputs for further analysis (ICA components of fMRI, various preprocessed files for fMRI, DWI, and T1w scans — such as realignments to standard spaces — and so on). </w:t>
      </w:r>
    </w:p>
    <w:p>
      <w:pPr>
        <w:pStyle w:val="BodyText"/>
        <w:rPr/>
      </w:pPr>
      <w:r>
        <w:rPr/>
        <w:t>See the Data Contents section for a list of the top level folders that exist.</w:t>
      </w:r>
    </w:p>
    <w:p>
      <w:pPr>
        <w:pStyle w:val="BodyText"/>
        <w:rPr/>
      </w:pPr>
      <w:r>
        <w:rPr/>
      </w:r>
    </w:p>
    <w:p>
      <w:pPr>
        <w:pStyle w:val="BodyText"/>
        <w:keepNext w:val="true"/>
        <w:rPr/>
      </w:pPr>
      <w:r>
        <w:rPr>
          <w:b/>
          <w:bCs/>
        </w:rPr>
        <w:t xml:space="preserve">Q8. </w:t>
      </w:r>
      <w:r>
        <w:rPr/>
        <w:t>How do I access the A2CPS Data Portal?</w:t>
      </w:r>
    </w:p>
    <w:p>
      <w:pPr>
        <w:pStyle w:val="BodyText"/>
        <w:rPr/>
      </w:pPr>
      <w:r>
        <w:rPr>
          <w:b/>
          <w:bCs/>
        </w:rPr>
        <w:t>A8.</w:t>
      </w:r>
      <w:r>
        <w:rPr/>
        <w:t xml:space="preserve"> You must first have a TACC account (see the A2CPS Confluence page </w:t>
      </w:r>
      <w:hyperlink r:id="rId24">
        <w:r>
          <w:rPr>
            <w:rStyle w:val="Hyperlink"/>
          </w:rPr>
          <w:t>https://a2cps.atlassian.net/wiki/spaces/DAS/pages/5080604/How+do+I+get+added+to+the+A2CPS+Intranet</w:t>
        </w:r>
      </w:hyperlink>
      <w:r>
        <w:rPr/>
        <w:t xml:space="preserve">). </w:t>
      </w:r>
    </w:p>
    <w:p>
      <w:pPr>
        <w:pStyle w:val="BodyText"/>
        <w:rPr/>
      </w:pPr>
      <w:r>
        <w:rPr/>
        <w:t xml:space="preserve">When this is completed, there is a one time requirement to “push keys” to enable portal access: you would log in to the portal, choose “push keys” to your “My Data” system and then to the “Community Data” system, in the process giving your MFA token when prompted on login and when pushing keys. </w:t>
      </w:r>
    </w:p>
    <w:p>
      <w:pPr>
        <w:pStyle w:val="BodyText"/>
        <w:rPr/>
      </w:pPr>
      <w:r>
        <w:rPr/>
        <w:t>The Data Portal is ideal for “browsing” the data, and also supports analysis via Jupyter, R, and MATLAB notebooks. For some limited multi-file downloads you can use the “compress” option to create an archive (see Figure 2 – the option for “Compress” appears when multiple qualifying files are selected), though this is not a viable option for more than a few items. For bulk downloads, e.g. of data for all subjects, refer to the alternatives mentioned above in an earlier FAQ item.</w:t>
      </w:r>
    </w:p>
    <w:p>
      <w:pPr>
        <w:pStyle w:val="BodyText"/>
        <w:keepNext w:val="true"/>
        <w:rPr/>
      </w:pPr>
      <w:r>
        <w:rPr/>
        <w:drawing>
          <wp:inline distT="0" distB="0" distL="0" distR="0">
            <wp:extent cx="6336665" cy="3437890"/>
            <wp:effectExtent l="0" t="0" r="0" b="0"/>
            <wp:docPr id="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10;&#10;AI-generated content may be incorrect."/>
                    <pic:cNvPicPr>
                      <a:picLocks noChangeAspect="1" noChangeArrowheads="1"/>
                    </pic:cNvPicPr>
                  </pic:nvPicPr>
                  <pic:blipFill>
                    <a:blip r:embed="rId25"/>
                    <a:stretch>
                      <a:fillRect/>
                    </a:stretch>
                  </pic:blipFill>
                  <pic:spPr bwMode="auto">
                    <a:xfrm>
                      <a:off x="0" y="0"/>
                      <a:ext cx="6336665" cy="3437890"/>
                    </a:xfrm>
                    <a:prstGeom prst="rect">
                      <a:avLst/>
                    </a:prstGeom>
                    <a:noFill/>
                  </pic:spPr>
                </pic:pic>
              </a:graphicData>
            </a:graphic>
          </wp:inline>
        </w:drawing>
      </w:r>
    </w:p>
    <w:p>
      <w:pPr>
        <w:pStyle w:val="Captio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rPr>
        <w:t>3</w:t>
      </w:r>
      <w:r>
        <w:rPr>
          <w:rFonts w:hint="eastAsia"/>
        </w:rPr>
        <w:fldChar w:fldCharType="end"/>
      </w:r>
      <w:r>
        <w:rPr/>
        <w:t>: Data Portal interface showing the "Compress" option.</w:t>
      </w:r>
    </w:p>
    <w:p>
      <w:pPr>
        <w:pStyle w:val="BodyText"/>
        <w:rPr/>
      </w:pPr>
      <w:r>
        <w:rPr/>
      </w:r>
    </w:p>
    <w:p>
      <w:pPr>
        <w:pStyle w:val="BodyText"/>
        <w:rPr/>
      </w:pPr>
      <w:r>
        <w:rPr>
          <w:b/>
          <w:bCs/>
        </w:rPr>
        <w:t>Q9.</w:t>
      </w:r>
      <w:r>
        <w:rPr/>
        <w:t xml:space="preserve"> I have questions about the dataset, or feedback (e.g. identified issues or requests for specific outputs). Is there a contact address?</w:t>
      </w:r>
    </w:p>
    <w:p>
      <w:pPr>
        <w:pStyle w:val="BodyText"/>
        <w:rPr/>
        <w:sectPr>
          <w:headerReference w:type="even" r:id="rId27"/>
          <w:headerReference w:type="default" r:id="rId28"/>
          <w:headerReference w:type="first" r:id="rId29"/>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pPr>
      <w:r>
        <w:rPr>
          <w:b/>
          <w:bCs/>
        </w:rPr>
        <w:t xml:space="preserve">A9. </w:t>
      </w:r>
      <w:r>
        <w:rPr/>
        <w:t xml:space="preserve">All problem reports, questions, and feedback can be sent to the A2CPS DIRC imaging group, </w:t>
      </w:r>
      <w:hyperlink r:id="rId26">
        <w:r>
          <w:rPr>
            <w:rStyle w:val="Hyperlink"/>
          </w:rPr>
          <w:t>a2cps-dirc-report-imaging@a2cps.org</w:t>
        </w:r>
      </w:hyperlink>
      <w:r>
        <w:rPr/>
        <w:t xml:space="preserve"> or to the </w:t>
      </w:r>
      <w:r>
        <w:rPr>
          <w:b/>
          <w:bCs/>
        </w:rPr>
        <w:t>#help-imaging</w:t>
      </w:r>
      <w:r>
        <w:rPr/>
        <w:t xml:space="preserve"> channel in the A2CPS Slack workspace.</w:t>
      </w:r>
    </w:p>
    <w:p>
      <w:pPr>
        <w:pStyle w:val="BodyText"/>
        <w:spacing w:before="0" w:after="140"/>
        <w:rPr/>
      </w:pPr>
      <w:r>
        <w:rPr>
          <w:rStyle w:val="Emphasis"/>
          <w:sz w:val="20"/>
          <w:szCs w:val="20"/>
        </w:rPr>
        <w:t>Siemens</w:t>
      </w:r>
      <w:r>
        <w:rPr>
          <w:rStyle w:val="Strong"/>
          <w:sz w:val="20"/>
          <w:szCs w:val="20"/>
        </w:rPr>
        <w:t xml:space="preserve"> </w:t>
      </w:r>
    </w:p>
    <w:p>
      <w:pPr>
        <w:pStyle w:val="BodyText"/>
        <w:rPr>
          <w:sz w:val="20"/>
          <w:szCs w:val="20"/>
        </w:rPr>
      </w:pPr>
      <w:r>
        <w:rPr>
          <w:sz w:val="20"/>
          <w:szCs w:val="20"/>
        </w:rPr>
        <w:t>Reference site: MCC1/Northshore, Alternate: MCC2/Wayne State</w:t>
      </w:r>
    </w:p>
    <w:tbl>
      <w:tblPr>
        <w:tblW w:w="10950" w:type="dxa"/>
        <w:jc w:val="start"/>
        <w:tblInd w:w="55" w:type="dxa"/>
        <w:tblLayout w:type="fixed"/>
        <w:tblCellMar>
          <w:top w:w="55" w:type="dxa"/>
          <w:start w:w="55" w:type="dxa"/>
          <w:bottom w:w="55" w:type="dxa"/>
          <w:end w:w="55" w:type="dxa"/>
        </w:tblCellMar>
        <w:tblLook w:firstRow="1" w:noVBand="1" w:lastRow="0" w:firstColumn="1" w:lastColumn="0" w:noHBand="0" w:val="04a0"/>
      </w:tblPr>
      <w:tblGrid>
        <w:gridCol w:w="674"/>
        <w:gridCol w:w="576"/>
        <w:gridCol w:w="484"/>
        <w:gridCol w:w="565"/>
        <w:gridCol w:w="910"/>
        <w:gridCol w:w="1038"/>
        <w:gridCol w:w="576"/>
        <w:gridCol w:w="565"/>
        <w:gridCol w:w="542"/>
        <w:gridCol w:w="1003"/>
        <w:gridCol w:w="1037"/>
        <w:gridCol w:w="1441"/>
        <w:gridCol w:w="1539"/>
      </w:tblGrid>
      <w:tr>
        <w:trPr/>
        <w:tc>
          <w:tcPr>
            <w:tcW w:w="674" w:type="dxa"/>
            <w:tcBorders>
              <w:top w:val="single" w:sz="4" w:space="0" w:color="000000"/>
              <w:start w:val="single" w:sz="4" w:space="0" w:color="000000"/>
              <w:bottom w:val="single" w:sz="4" w:space="0" w:color="000000"/>
            </w:tcBorders>
            <w:vAlign w:val="center"/>
          </w:tcPr>
          <w:p>
            <w:pPr>
              <w:pStyle w:val="TableContents"/>
              <w:rPr/>
            </w:pPr>
            <w:r>
              <w:rPr/>
            </w:r>
          </w:p>
        </w:tc>
        <w:tc>
          <w:tcPr>
            <w:tcW w:w="576" w:type="dxa"/>
            <w:tcBorders>
              <w:top w:val="single" w:sz="4" w:space="0" w:color="000000"/>
              <w:start w:val="single" w:sz="4" w:space="0" w:color="000000"/>
              <w:bottom w:val="single" w:sz="4" w:space="0" w:color="000000"/>
            </w:tcBorders>
            <w:vAlign w:val="center"/>
          </w:tcPr>
          <w:p>
            <w:pPr>
              <w:pStyle w:val="TableContents"/>
              <w:rPr/>
            </w:pPr>
            <w:r>
              <w:rPr>
                <w:rStyle w:val="Strong"/>
              </w:rPr>
              <w:t>Matrix</w:t>
            </w:r>
          </w:p>
        </w:tc>
        <w:tc>
          <w:tcPr>
            <w:tcW w:w="484" w:type="dxa"/>
            <w:tcBorders>
              <w:top w:val="single" w:sz="4" w:space="0" w:color="000000"/>
              <w:start w:val="single" w:sz="4" w:space="0" w:color="000000"/>
              <w:bottom w:val="single" w:sz="4" w:space="0" w:color="000000"/>
            </w:tcBorders>
            <w:vAlign w:val="center"/>
          </w:tcPr>
          <w:p>
            <w:pPr>
              <w:pStyle w:val="TableContents"/>
              <w:rPr/>
            </w:pPr>
            <w:r>
              <w:rPr>
                <w:rStyle w:val="Strong"/>
              </w:rPr>
              <w:t>Slices</w:t>
            </w:r>
          </w:p>
        </w:tc>
        <w:tc>
          <w:tcPr>
            <w:tcW w:w="565" w:type="dxa"/>
            <w:tcBorders>
              <w:top w:val="single" w:sz="4" w:space="0" w:color="000000"/>
              <w:start w:val="single" w:sz="4" w:space="0" w:color="000000"/>
              <w:bottom w:val="single" w:sz="4" w:space="0" w:color="000000"/>
            </w:tcBorders>
            <w:vAlign w:val="center"/>
          </w:tcPr>
          <w:p>
            <w:pPr>
              <w:pStyle w:val="TableContents"/>
              <w:rPr/>
            </w:pPr>
            <w:r>
              <w:rPr>
                <w:rStyle w:val="Strong"/>
              </w:rPr>
              <w:t>FOV</w:t>
            </w:r>
          </w:p>
        </w:tc>
        <w:tc>
          <w:tcPr>
            <w:tcW w:w="910" w:type="dxa"/>
            <w:tcBorders>
              <w:top w:val="single" w:sz="4" w:space="0" w:color="000000"/>
              <w:start w:val="single" w:sz="4" w:space="0" w:color="000000"/>
              <w:bottom w:val="single" w:sz="4" w:space="0" w:color="000000"/>
            </w:tcBorders>
            <w:vAlign w:val="center"/>
          </w:tcPr>
          <w:p>
            <w:pPr>
              <w:pStyle w:val="TableContents"/>
              <w:rPr/>
            </w:pPr>
            <w:r>
              <w:rPr>
                <w:rStyle w:val="Strong"/>
              </w:rPr>
              <w:t>% FOV phase</w:t>
            </w:r>
          </w:p>
        </w:tc>
        <w:tc>
          <w:tcPr>
            <w:tcW w:w="1038" w:type="dxa"/>
            <w:tcBorders>
              <w:top w:val="single" w:sz="4" w:space="0" w:color="000000"/>
              <w:start w:val="single" w:sz="4" w:space="0" w:color="000000"/>
              <w:bottom w:val="single" w:sz="4" w:space="0" w:color="000000"/>
            </w:tcBorders>
            <w:vAlign w:val="center"/>
          </w:tcPr>
          <w:p>
            <w:pPr>
              <w:pStyle w:val="TableContents"/>
              <w:rPr/>
            </w:pPr>
            <w:r>
              <w:rPr>
                <w:rStyle w:val="Strong"/>
              </w:rPr>
              <w:t>Resolution (mm)</w:t>
            </w:r>
          </w:p>
        </w:tc>
        <w:tc>
          <w:tcPr>
            <w:tcW w:w="576" w:type="dxa"/>
            <w:tcBorders>
              <w:top w:val="single" w:sz="4" w:space="0" w:color="000000"/>
              <w:start w:val="single" w:sz="4" w:space="0" w:color="000000"/>
              <w:bottom w:val="single" w:sz="4" w:space="0" w:color="000000"/>
            </w:tcBorders>
            <w:vAlign w:val="center"/>
          </w:tcPr>
          <w:p>
            <w:pPr>
              <w:pStyle w:val="TableContents"/>
              <w:rPr/>
            </w:pPr>
            <w:r>
              <w:rPr>
                <w:rStyle w:val="Strong"/>
              </w:rPr>
              <w:t>TR (ms)</w:t>
            </w:r>
          </w:p>
        </w:tc>
        <w:tc>
          <w:tcPr>
            <w:tcW w:w="565" w:type="dxa"/>
            <w:tcBorders>
              <w:top w:val="single" w:sz="4" w:space="0" w:color="000000"/>
              <w:start w:val="single" w:sz="4" w:space="0" w:color="000000"/>
              <w:bottom w:val="single" w:sz="4" w:space="0" w:color="000000"/>
            </w:tcBorders>
            <w:vAlign w:val="center"/>
          </w:tcPr>
          <w:p>
            <w:pPr>
              <w:pStyle w:val="TableContents"/>
              <w:rPr/>
            </w:pPr>
            <w:r>
              <w:rPr>
                <w:rStyle w:val="Strong"/>
              </w:rPr>
              <w:t>TE (ms)</w:t>
            </w:r>
          </w:p>
        </w:tc>
        <w:tc>
          <w:tcPr>
            <w:tcW w:w="542" w:type="dxa"/>
            <w:tcBorders>
              <w:top w:val="single" w:sz="4" w:space="0" w:color="000000"/>
              <w:start w:val="single" w:sz="4" w:space="0" w:color="000000"/>
              <w:bottom w:val="single" w:sz="4" w:space="0" w:color="000000"/>
            </w:tcBorders>
            <w:vAlign w:val="center"/>
          </w:tcPr>
          <w:p>
            <w:pPr>
              <w:pStyle w:val="TableContents"/>
              <w:rPr/>
            </w:pPr>
            <w:r>
              <w:rPr>
                <w:rStyle w:val="Strong"/>
              </w:rPr>
              <w:t>TI (ms)</w:t>
            </w:r>
          </w:p>
        </w:tc>
        <w:tc>
          <w:tcPr>
            <w:tcW w:w="1003" w:type="dxa"/>
            <w:tcBorders>
              <w:top w:val="single" w:sz="4" w:space="0" w:color="000000"/>
              <w:start w:val="single" w:sz="4" w:space="0" w:color="000000"/>
              <w:bottom w:val="single" w:sz="4" w:space="0" w:color="000000"/>
            </w:tcBorders>
            <w:vAlign w:val="center"/>
          </w:tcPr>
          <w:p>
            <w:pPr>
              <w:pStyle w:val="TableContents"/>
              <w:rPr/>
            </w:pPr>
            <w:r>
              <w:rPr>
                <w:rStyle w:val="Strong"/>
              </w:rPr>
              <w:t>Flip Angle (deg)</w:t>
            </w:r>
          </w:p>
        </w:tc>
        <w:tc>
          <w:tcPr>
            <w:tcW w:w="1037" w:type="dxa"/>
            <w:tcBorders>
              <w:top w:val="single" w:sz="4" w:space="0" w:color="000000"/>
              <w:start w:val="single" w:sz="4" w:space="0" w:color="000000"/>
              <w:bottom w:val="single" w:sz="4" w:space="0" w:color="000000"/>
            </w:tcBorders>
            <w:vAlign w:val="center"/>
          </w:tcPr>
          <w:p>
            <w:pPr>
              <w:pStyle w:val="TableContents"/>
              <w:rPr/>
            </w:pPr>
            <w:r>
              <w:rPr>
                <w:rStyle w:val="Strong"/>
              </w:rPr>
              <w:t>Parallel Imaging</w:t>
            </w:r>
          </w:p>
        </w:tc>
        <w:tc>
          <w:tcPr>
            <w:tcW w:w="1441" w:type="dxa"/>
            <w:tcBorders>
              <w:top w:val="single" w:sz="4" w:space="0" w:color="000000"/>
              <w:start w:val="single" w:sz="4" w:space="0" w:color="000000"/>
              <w:bottom w:val="single" w:sz="4" w:space="0" w:color="000000"/>
            </w:tcBorders>
            <w:vAlign w:val="center"/>
          </w:tcPr>
          <w:p>
            <w:pPr>
              <w:pStyle w:val="TableContents"/>
              <w:rPr/>
            </w:pPr>
            <w:r>
              <w:rPr>
                <w:rStyle w:val="Strong"/>
              </w:rPr>
              <w:t>MultiBand Acceleration</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Phase partial Fourier</w:t>
            </w:r>
          </w:p>
        </w:tc>
      </w:tr>
      <w:tr>
        <w:trPr/>
        <w:tc>
          <w:tcPr>
            <w:tcW w:w="674" w:type="dxa"/>
            <w:tcBorders>
              <w:start w:val="single" w:sz="4" w:space="0" w:color="000000"/>
              <w:bottom w:val="single" w:sz="4" w:space="0" w:color="000000"/>
            </w:tcBorders>
            <w:vAlign w:val="center"/>
          </w:tcPr>
          <w:p>
            <w:pPr>
              <w:pStyle w:val="TableContents"/>
              <w:rPr/>
            </w:pPr>
            <w:r>
              <w:rPr>
                <w:rStyle w:val="Strong"/>
              </w:rPr>
              <w:t>T1</w:t>
            </w:r>
          </w:p>
        </w:tc>
        <w:tc>
          <w:tcPr>
            <w:tcW w:w="576" w:type="dxa"/>
            <w:tcBorders>
              <w:start w:val="single" w:sz="4" w:space="0" w:color="000000"/>
              <w:bottom w:val="single" w:sz="4" w:space="0" w:color="000000"/>
            </w:tcBorders>
            <w:vAlign w:val="center"/>
          </w:tcPr>
          <w:p>
            <w:pPr>
              <w:pStyle w:val="TableContents"/>
              <w:rPr/>
            </w:pPr>
            <w:r>
              <w:rPr/>
              <w:t>256x256</w:t>
            </w:r>
          </w:p>
        </w:tc>
        <w:tc>
          <w:tcPr>
            <w:tcW w:w="484" w:type="dxa"/>
            <w:tcBorders>
              <w:start w:val="single" w:sz="4" w:space="0" w:color="000000"/>
              <w:bottom w:val="single" w:sz="4" w:space="0" w:color="000000"/>
            </w:tcBorders>
            <w:vAlign w:val="center"/>
          </w:tcPr>
          <w:p>
            <w:pPr>
              <w:pStyle w:val="TableContents"/>
              <w:rPr/>
            </w:pPr>
            <w:r>
              <w:rPr/>
              <w:t>176</w:t>
            </w:r>
          </w:p>
        </w:tc>
        <w:tc>
          <w:tcPr>
            <w:tcW w:w="565" w:type="dxa"/>
            <w:tcBorders>
              <w:start w:val="single" w:sz="4" w:space="0" w:color="000000"/>
              <w:bottom w:val="single" w:sz="4" w:space="0" w:color="000000"/>
            </w:tcBorders>
            <w:vAlign w:val="center"/>
          </w:tcPr>
          <w:p>
            <w:pPr>
              <w:pStyle w:val="TableContents"/>
              <w:rPr/>
            </w:pPr>
            <w:r>
              <w:rPr/>
              <w:t>256x256</w:t>
            </w:r>
          </w:p>
        </w:tc>
        <w:tc>
          <w:tcPr>
            <w:tcW w:w="910"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1.0x1.0x1.0</w:t>
            </w:r>
          </w:p>
        </w:tc>
        <w:tc>
          <w:tcPr>
            <w:tcW w:w="576" w:type="dxa"/>
            <w:tcBorders>
              <w:start w:val="single" w:sz="4" w:space="0" w:color="000000"/>
              <w:bottom w:val="single" w:sz="4" w:space="0" w:color="000000"/>
            </w:tcBorders>
            <w:vAlign w:val="center"/>
          </w:tcPr>
          <w:p>
            <w:pPr>
              <w:pStyle w:val="TableContents"/>
              <w:rPr/>
            </w:pPr>
            <w:r>
              <w:rPr/>
              <w:t>2500</w:t>
            </w:r>
          </w:p>
        </w:tc>
        <w:tc>
          <w:tcPr>
            <w:tcW w:w="565" w:type="dxa"/>
            <w:tcBorders>
              <w:start w:val="single" w:sz="4" w:space="0" w:color="000000"/>
              <w:bottom w:val="single" w:sz="4" w:space="0" w:color="000000"/>
            </w:tcBorders>
            <w:vAlign w:val="center"/>
          </w:tcPr>
          <w:p>
            <w:pPr>
              <w:pStyle w:val="TableContents"/>
              <w:rPr/>
            </w:pPr>
            <w:r>
              <w:rPr/>
              <w:t>2.84</w:t>
            </w:r>
          </w:p>
        </w:tc>
        <w:tc>
          <w:tcPr>
            <w:tcW w:w="542" w:type="dxa"/>
            <w:tcBorders>
              <w:start w:val="single" w:sz="4" w:space="0" w:color="000000"/>
              <w:bottom w:val="single" w:sz="4" w:space="0" w:color="000000"/>
            </w:tcBorders>
            <w:vAlign w:val="center"/>
          </w:tcPr>
          <w:p>
            <w:pPr>
              <w:pStyle w:val="TableContents"/>
              <w:rPr/>
            </w:pPr>
            <w:r>
              <w:rPr/>
              <w:t>1060</w:t>
            </w:r>
          </w:p>
        </w:tc>
        <w:tc>
          <w:tcPr>
            <w:tcW w:w="1003" w:type="dxa"/>
            <w:tcBorders>
              <w:start w:val="single" w:sz="4" w:space="0" w:color="000000"/>
              <w:bottom w:val="single" w:sz="4" w:space="0" w:color="000000"/>
            </w:tcBorders>
            <w:vAlign w:val="center"/>
          </w:tcPr>
          <w:p>
            <w:pPr>
              <w:pStyle w:val="TableContents"/>
              <w:rPr/>
            </w:pPr>
            <w:r>
              <w:rPr/>
              <w:t>8</w:t>
            </w:r>
          </w:p>
        </w:tc>
        <w:tc>
          <w:tcPr>
            <w:tcW w:w="1037" w:type="dxa"/>
            <w:tcBorders>
              <w:start w:val="single" w:sz="4" w:space="0" w:color="000000"/>
              <w:bottom w:val="single" w:sz="4" w:space="0" w:color="000000"/>
            </w:tcBorders>
            <w:vAlign w:val="center"/>
          </w:tcPr>
          <w:p>
            <w:pPr>
              <w:pStyle w:val="TableContents"/>
              <w:rPr/>
            </w:pPr>
            <w:r>
              <w:rPr/>
              <w:t>2x</w:t>
            </w:r>
          </w:p>
        </w:tc>
        <w:tc>
          <w:tcPr>
            <w:tcW w:w="1441" w:type="dxa"/>
            <w:tcBorders>
              <w:start w:val="single" w:sz="4" w:space="0" w:color="000000"/>
              <w:bottom w:val="single" w:sz="4" w:space="0" w:color="000000"/>
            </w:tcBorders>
            <w:vAlign w:val="center"/>
          </w:tcPr>
          <w:p>
            <w:pPr>
              <w:pStyle w:val="TableContents"/>
              <w:rPr/>
            </w:pPr>
            <w:r>
              <w:rPr/>
              <w:t>Off</w:t>
            </w:r>
          </w:p>
        </w:tc>
        <w:tc>
          <w:tcPr>
            <w:tcW w:w="1539" w:type="dxa"/>
            <w:tcBorders>
              <w:start w:val="single" w:sz="4" w:space="0" w:color="000000"/>
              <w:bottom w:val="single" w:sz="4" w:space="0" w:color="000000"/>
              <w:end w:val="single" w:sz="4" w:space="0" w:color="000000"/>
            </w:tcBorders>
            <w:vAlign w:val="center"/>
          </w:tcPr>
          <w:p>
            <w:pPr>
              <w:pStyle w:val="TableContents"/>
              <w:rPr/>
            </w:pPr>
            <w:r>
              <w:rPr/>
              <w:t>Off</w:t>
            </w:r>
          </w:p>
        </w:tc>
      </w:tr>
      <w:tr>
        <w:trPr/>
        <w:tc>
          <w:tcPr>
            <w:tcW w:w="674" w:type="dxa"/>
            <w:tcBorders>
              <w:start w:val="single" w:sz="4" w:space="0" w:color="000000"/>
              <w:bottom w:val="single" w:sz="4" w:space="0" w:color="000000"/>
            </w:tcBorders>
            <w:vAlign w:val="center"/>
          </w:tcPr>
          <w:p>
            <w:pPr>
              <w:pStyle w:val="TableContents"/>
              <w:rPr/>
            </w:pPr>
            <w:r>
              <w:rPr>
                <w:rStyle w:val="Strong"/>
              </w:rPr>
              <w:t>Diffusion</w:t>
            </w:r>
          </w:p>
        </w:tc>
        <w:tc>
          <w:tcPr>
            <w:tcW w:w="576" w:type="dxa"/>
            <w:tcBorders>
              <w:start w:val="single" w:sz="4" w:space="0" w:color="000000"/>
              <w:bottom w:val="single" w:sz="4" w:space="0" w:color="000000"/>
            </w:tcBorders>
            <w:vAlign w:val="center"/>
          </w:tcPr>
          <w:p>
            <w:pPr>
              <w:pStyle w:val="TableContents"/>
              <w:rPr/>
            </w:pPr>
            <w:r>
              <w:rPr/>
              <w:t>140x140</w:t>
            </w:r>
          </w:p>
        </w:tc>
        <w:tc>
          <w:tcPr>
            <w:tcW w:w="484" w:type="dxa"/>
            <w:tcBorders>
              <w:start w:val="single" w:sz="4" w:space="0" w:color="000000"/>
              <w:bottom w:val="single" w:sz="4" w:space="0" w:color="000000"/>
            </w:tcBorders>
            <w:vAlign w:val="center"/>
          </w:tcPr>
          <w:p>
            <w:pPr>
              <w:pStyle w:val="TableContents"/>
              <w:rPr/>
            </w:pPr>
            <w:r>
              <w:rPr/>
              <w:t>81</w:t>
            </w:r>
          </w:p>
        </w:tc>
        <w:tc>
          <w:tcPr>
            <w:tcW w:w="565" w:type="dxa"/>
            <w:tcBorders>
              <w:start w:val="single" w:sz="4" w:space="0" w:color="000000"/>
              <w:bottom w:val="single" w:sz="4" w:space="0" w:color="000000"/>
            </w:tcBorders>
            <w:vAlign w:val="center"/>
          </w:tcPr>
          <w:p>
            <w:pPr>
              <w:pStyle w:val="TableContents"/>
              <w:rPr/>
            </w:pPr>
            <w:r>
              <w:rPr/>
              <w:t>240x240</w:t>
            </w:r>
          </w:p>
        </w:tc>
        <w:tc>
          <w:tcPr>
            <w:tcW w:w="910"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1.7x1.7x1.7</w:t>
            </w:r>
          </w:p>
        </w:tc>
        <w:tc>
          <w:tcPr>
            <w:tcW w:w="576" w:type="dxa"/>
            <w:tcBorders>
              <w:start w:val="single" w:sz="4" w:space="0" w:color="000000"/>
              <w:bottom w:val="single" w:sz="4" w:space="0" w:color="000000"/>
            </w:tcBorders>
            <w:vAlign w:val="center"/>
          </w:tcPr>
          <w:p>
            <w:pPr>
              <w:pStyle w:val="TableContents"/>
              <w:rPr/>
            </w:pPr>
            <w:r>
              <w:rPr/>
              <w:t>8000/5500</w:t>
            </w:r>
          </w:p>
        </w:tc>
        <w:tc>
          <w:tcPr>
            <w:tcW w:w="565" w:type="dxa"/>
            <w:tcBorders>
              <w:start w:val="single" w:sz="4" w:space="0" w:color="000000"/>
              <w:bottom w:val="single" w:sz="4" w:space="0" w:color="000000"/>
            </w:tcBorders>
            <w:vAlign w:val="center"/>
          </w:tcPr>
          <w:p>
            <w:pPr>
              <w:pStyle w:val="TableContents"/>
              <w:rPr/>
            </w:pPr>
            <w:r>
              <w:rPr/>
              <w:t>105/112</w:t>
            </w:r>
          </w:p>
        </w:tc>
        <w:tc>
          <w:tcPr>
            <w:tcW w:w="542" w:type="dxa"/>
            <w:tcBorders>
              <w:start w:val="single" w:sz="4" w:space="0" w:color="000000"/>
              <w:bottom w:val="single" w:sz="4" w:space="0" w:color="000000"/>
            </w:tcBorders>
            <w:vAlign w:val="center"/>
          </w:tcPr>
          <w:p>
            <w:pPr>
              <w:pStyle w:val="TableContents"/>
              <w:rPr/>
            </w:pPr>
            <w:r>
              <w:rPr/>
              <w:t>N/A</w:t>
            </w:r>
          </w:p>
        </w:tc>
        <w:tc>
          <w:tcPr>
            <w:tcW w:w="1003" w:type="dxa"/>
            <w:tcBorders>
              <w:start w:val="single" w:sz="4" w:space="0" w:color="000000"/>
              <w:bottom w:val="single" w:sz="4" w:space="0" w:color="000000"/>
            </w:tcBorders>
            <w:vAlign w:val="center"/>
          </w:tcPr>
          <w:p>
            <w:pPr>
              <w:pStyle w:val="TableContents"/>
              <w:rPr/>
            </w:pPr>
            <w:r>
              <w:rPr/>
              <w:t>90</w:t>
            </w:r>
          </w:p>
        </w:tc>
        <w:tc>
          <w:tcPr>
            <w:tcW w:w="1037" w:type="dxa"/>
            <w:tcBorders>
              <w:start w:val="single" w:sz="4" w:space="0" w:color="000000"/>
              <w:bottom w:val="single" w:sz="4" w:space="0" w:color="000000"/>
            </w:tcBorders>
            <w:vAlign w:val="center"/>
          </w:tcPr>
          <w:p>
            <w:pPr>
              <w:pStyle w:val="TableContents"/>
              <w:rPr/>
            </w:pPr>
            <w:r>
              <w:rPr/>
              <w:t>Off</w:t>
            </w:r>
          </w:p>
        </w:tc>
        <w:tc>
          <w:tcPr>
            <w:tcW w:w="1441" w:type="dxa"/>
            <w:tcBorders>
              <w:start w:val="single" w:sz="4" w:space="0" w:color="000000"/>
              <w:bottom w:val="single" w:sz="4" w:space="0" w:color="000000"/>
            </w:tcBorders>
            <w:vAlign w:val="center"/>
          </w:tcPr>
          <w:p>
            <w:pPr>
              <w:pStyle w:val="TableContents"/>
              <w:rPr/>
            </w:pPr>
            <w:r>
              <w:rPr/>
              <w:t>3</w:t>
            </w:r>
          </w:p>
        </w:tc>
        <w:tc>
          <w:tcPr>
            <w:tcW w:w="1539" w:type="dxa"/>
            <w:tcBorders>
              <w:start w:val="single" w:sz="4" w:space="0" w:color="000000"/>
              <w:bottom w:val="single" w:sz="4" w:space="0" w:color="000000"/>
              <w:end w:val="single" w:sz="4" w:space="0" w:color="000000"/>
            </w:tcBorders>
            <w:vAlign w:val="center"/>
          </w:tcPr>
          <w:p>
            <w:pPr>
              <w:pStyle w:val="TableContents"/>
              <w:rPr/>
            </w:pPr>
            <w:r>
              <w:rPr/>
              <w:t>6/8 (both)</w:t>
            </w:r>
          </w:p>
        </w:tc>
      </w:tr>
      <w:tr>
        <w:trPr/>
        <w:tc>
          <w:tcPr>
            <w:tcW w:w="674" w:type="dxa"/>
            <w:tcBorders>
              <w:start w:val="single" w:sz="4" w:space="0" w:color="000000"/>
              <w:bottom w:val="single" w:sz="4" w:space="0" w:color="000000"/>
            </w:tcBorders>
            <w:vAlign w:val="center"/>
          </w:tcPr>
          <w:p>
            <w:pPr>
              <w:pStyle w:val="TableContents"/>
              <w:rPr/>
            </w:pPr>
            <w:r>
              <w:rPr>
                <w:rStyle w:val="Strong"/>
              </w:rPr>
              <w:t>fMRI</w:t>
            </w:r>
          </w:p>
        </w:tc>
        <w:tc>
          <w:tcPr>
            <w:tcW w:w="576" w:type="dxa"/>
            <w:tcBorders>
              <w:start w:val="single" w:sz="4" w:space="0" w:color="000000"/>
              <w:bottom w:val="single" w:sz="4" w:space="0" w:color="000000"/>
            </w:tcBorders>
            <w:vAlign w:val="center"/>
          </w:tcPr>
          <w:p>
            <w:pPr>
              <w:pStyle w:val="TableContents"/>
              <w:rPr/>
            </w:pPr>
            <w:r>
              <w:rPr/>
              <w:t>90x90</w:t>
            </w:r>
          </w:p>
        </w:tc>
        <w:tc>
          <w:tcPr>
            <w:tcW w:w="484" w:type="dxa"/>
            <w:tcBorders>
              <w:start w:val="single" w:sz="4" w:space="0" w:color="000000"/>
              <w:bottom w:val="single" w:sz="4" w:space="0" w:color="000000"/>
            </w:tcBorders>
            <w:vAlign w:val="center"/>
          </w:tcPr>
          <w:p>
            <w:pPr>
              <w:pStyle w:val="TableContents"/>
              <w:rPr/>
            </w:pPr>
            <w:r>
              <w:rPr/>
              <w:t>54/60</w:t>
            </w:r>
          </w:p>
        </w:tc>
        <w:tc>
          <w:tcPr>
            <w:tcW w:w="565" w:type="dxa"/>
            <w:tcBorders>
              <w:start w:val="single" w:sz="4" w:space="0" w:color="000000"/>
              <w:bottom w:val="single" w:sz="4" w:space="0" w:color="000000"/>
            </w:tcBorders>
            <w:vAlign w:val="center"/>
          </w:tcPr>
          <w:p>
            <w:pPr>
              <w:pStyle w:val="TableContents"/>
              <w:rPr/>
            </w:pPr>
            <w:r>
              <w:rPr/>
              <w:t>216x216</w:t>
            </w:r>
          </w:p>
        </w:tc>
        <w:tc>
          <w:tcPr>
            <w:tcW w:w="910"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2.4x2.4x2.4</w:t>
            </w:r>
          </w:p>
        </w:tc>
        <w:tc>
          <w:tcPr>
            <w:tcW w:w="576" w:type="dxa"/>
            <w:tcBorders>
              <w:start w:val="single" w:sz="4" w:space="0" w:color="000000"/>
              <w:bottom w:val="single" w:sz="4" w:space="0" w:color="000000"/>
            </w:tcBorders>
            <w:vAlign w:val="center"/>
          </w:tcPr>
          <w:p>
            <w:pPr>
              <w:pStyle w:val="TableContents"/>
              <w:rPr/>
            </w:pPr>
            <w:r>
              <w:rPr/>
              <w:t>800</w:t>
            </w:r>
          </w:p>
        </w:tc>
        <w:tc>
          <w:tcPr>
            <w:tcW w:w="565" w:type="dxa"/>
            <w:tcBorders>
              <w:start w:val="single" w:sz="4" w:space="0" w:color="000000"/>
              <w:bottom w:val="single" w:sz="4" w:space="0" w:color="000000"/>
            </w:tcBorders>
            <w:vAlign w:val="center"/>
          </w:tcPr>
          <w:p>
            <w:pPr>
              <w:pStyle w:val="TableContents"/>
              <w:rPr/>
            </w:pPr>
            <w:r>
              <w:rPr/>
              <w:t>30/32</w:t>
            </w:r>
          </w:p>
        </w:tc>
        <w:tc>
          <w:tcPr>
            <w:tcW w:w="542" w:type="dxa"/>
            <w:tcBorders>
              <w:start w:val="single" w:sz="4" w:space="0" w:color="000000"/>
              <w:bottom w:val="single" w:sz="4" w:space="0" w:color="000000"/>
            </w:tcBorders>
            <w:vAlign w:val="center"/>
          </w:tcPr>
          <w:p>
            <w:pPr>
              <w:pStyle w:val="TableContents"/>
              <w:rPr/>
            </w:pPr>
            <w:r>
              <w:rPr/>
              <w:t>N/A</w:t>
            </w:r>
          </w:p>
        </w:tc>
        <w:tc>
          <w:tcPr>
            <w:tcW w:w="1003" w:type="dxa"/>
            <w:tcBorders>
              <w:start w:val="single" w:sz="4" w:space="0" w:color="000000"/>
              <w:bottom w:val="single" w:sz="4" w:space="0" w:color="000000"/>
            </w:tcBorders>
            <w:vAlign w:val="center"/>
          </w:tcPr>
          <w:p>
            <w:pPr>
              <w:pStyle w:val="TableContents"/>
              <w:rPr/>
            </w:pPr>
            <w:r>
              <w:rPr/>
              <w:t>52</w:t>
            </w:r>
          </w:p>
        </w:tc>
        <w:tc>
          <w:tcPr>
            <w:tcW w:w="1037" w:type="dxa"/>
            <w:tcBorders>
              <w:start w:val="single" w:sz="4" w:space="0" w:color="000000"/>
              <w:bottom w:val="single" w:sz="4" w:space="0" w:color="000000"/>
            </w:tcBorders>
            <w:vAlign w:val="center"/>
          </w:tcPr>
          <w:p>
            <w:pPr>
              <w:pStyle w:val="TableContents"/>
              <w:rPr/>
            </w:pPr>
            <w:r>
              <w:rPr/>
              <w:t>Off</w:t>
            </w:r>
          </w:p>
        </w:tc>
        <w:tc>
          <w:tcPr>
            <w:tcW w:w="1441" w:type="dxa"/>
            <w:tcBorders>
              <w:start w:val="single" w:sz="4" w:space="0" w:color="000000"/>
              <w:bottom w:val="single" w:sz="4" w:space="0" w:color="000000"/>
            </w:tcBorders>
            <w:vAlign w:val="center"/>
          </w:tcPr>
          <w:p>
            <w:pPr>
              <w:pStyle w:val="TableContents"/>
              <w:rPr/>
            </w:pPr>
            <w:r>
              <w:rPr/>
              <w:t>6</w:t>
            </w:r>
          </w:p>
        </w:tc>
        <w:tc>
          <w:tcPr>
            <w:tcW w:w="1539" w:type="dxa"/>
            <w:tcBorders>
              <w:start w:val="single" w:sz="4" w:space="0" w:color="000000"/>
              <w:bottom w:val="single" w:sz="4" w:space="0" w:color="000000"/>
              <w:end w:val="single" w:sz="4" w:space="0" w:color="000000"/>
            </w:tcBorders>
            <w:vAlign w:val="center"/>
          </w:tcPr>
          <w:p>
            <w:pPr>
              <w:pStyle w:val="TableContents"/>
              <w:rPr/>
            </w:pPr>
            <w:r>
              <w:rPr/>
              <w:t>Off</w:t>
            </w:r>
          </w:p>
        </w:tc>
      </w:tr>
    </w:tbl>
    <w:p>
      <w:pPr>
        <w:pStyle w:val="BodyText"/>
        <w:rPr>
          <w:rStyle w:val="Emphasis"/>
          <w:sz w:val="14"/>
          <w:szCs w:val="14"/>
        </w:rPr>
      </w:pPr>
      <w:r>
        <w:rPr>
          <w:sz w:val="14"/>
          <w:szCs w:val="14"/>
        </w:rPr>
      </w:r>
    </w:p>
    <w:p>
      <w:pPr>
        <w:pStyle w:val="BodyText"/>
        <w:rPr/>
      </w:pPr>
      <w:r>
        <w:rPr>
          <w:rStyle w:val="Emphasis"/>
          <w:sz w:val="20"/>
          <w:szCs w:val="20"/>
        </w:rPr>
        <w:t>Philips</w:t>
      </w:r>
    </w:p>
    <w:p>
      <w:pPr>
        <w:pStyle w:val="BodyText"/>
        <w:rPr>
          <w:sz w:val="20"/>
          <w:szCs w:val="20"/>
        </w:rPr>
      </w:pPr>
      <w:r>
        <w:rPr>
          <w:sz w:val="20"/>
          <w:szCs w:val="20"/>
        </w:rPr>
        <w:t xml:space="preserve">Reference site: U of Chicago </w:t>
      </w:r>
    </w:p>
    <w:tbl>
      <w:tblPr>
        <w:tblW w:w="11400" w:type="dxa"/>
        <w:jc w:val="start"/>
        <w:tblInd w:w="55" w:type="dxa"/>
        <w:tblLayout w:type="fixed"/>
        <w:tblCellMar>
          <w:top w:w="55" w:type="dxa"/>
          <w:start w:w="55" w:type="dxa"/>
          <w:bottom w:w="55" w:type="dxa"/>
          <w:end w:w="55" w:type="dxa"/>
        </w:tblCellMar>
        <w:tblLook w:firstRow="1" w:noVBand="1" w:lastRow="0" w:firstColumn="1" w:lastColumn="0" w:noHBand="0" w:val="04a0"/>
      </w:tblPr>
      <w:tblGrid>
        <w:gridCol w:w="688"/>
        <w:gridCol w:w="1620"/>
        <w:gridCol w:w="448"/>
        <w:gridCol w:w="602"/>
        <w:gridCol w:w="750"/>
        <w:gridCol w:w="993"/>
        <w:gridCol w:w="627"/>
        <w:gridCol w:w="391"/>
        <w:gridCol w:w="521"/>
        <w:gridCol w:w="993"/>
        <w:gridCol w:w="1026"/>
        <w:gridCol w:w="1425"/>
        <w:gridCol w:w="1316"/>
      </w:tblGrid>
      <w:tr>
        <w:trPr/>
        <w:tc>
          <w:tcPr>
            <w:tcW w:w="688" w:type="dxa"/>
            <w:tcBorders>
              <w:top w:val="single" w:sz="4" w:space="0" w:color="000000"/>
              <w:start w:val="single" w:sz="4" w:space="0" w:color="000000"/>
              <w:bottom w:val="single" w:sz="4" w:space="0" w:color="000000"/>
            </w:tcBorders>
            <w:vAlign w:val="center"/>
          </w:tcPr>
          <w:p>
            <w:pPr>
              <w:pStyle w:val="TableContents"/>
              <w:rPr/>
            </w:pPr>
            <w:r>
              <w:rPr/>
            </w:r>
          </w:p>
        </w:tc>
        <w:tc>
          <w:tcPr>
            <w:tcW w:w="1620" w:type="dxa"/>
            <w:tcBorders>
              <w:top w:val="single" w:sz="4" w:space="0" w:color="000000"/>
              <w:start w:val="single" w:sz="4" w:space="0" w:color="000000"/>
              <w:bottom w:val="single" w:sz="4" w:space="0" w:color="000000"/>
            </w:tcBorders>
          </w:tcPr>
          <w:p>
            <w:pPr>
              <w:pStyle w:val="TableContents"/>
              <w:rPr/>
            </w:pPr>
            <w:r>
              <w:rPr>
                <w:rStyle w:val="Strong"/>
              </w:rPr>
              <w:t>Matrix</w:t>
            </w:r>
          </w:p>
        </w:tc>
        <w:tc>
          <w:tcPr>
            <w:tcW w:w="448" w:type="dxa"/>
            <w:tcBorders>
              <w:top w:val="single" w:sz="4" w:space="0" w:color="000000"/>
              <w:start w:val="single" w:sz="4" w:space="0" w:color="000000"/>
              <w:bottom w:val="single" w:sz="4" w:space="0" w:color="000000"/>
            </w:tcBorders>
          </w:tcPr>
          <w:p>
            <w:pPr>
              <w:pStyle w:val="TableContents"/>
              <w:rPr/>
            </w:pPr>
            <w:r>
              <w:rPr>
                <w:rStyle w:val="Strong"/>
              </w:rPr>
              <w:t>Slices</w:t>
            </w:r>
          </w:p>
        </w:tc>
        <w:tc>
          <w:tcPr>
            <w:tcW w:w="602" w:type="dxa"/>
            <w:tcBorders>
              <w:top w:val="single" w:sz="4" w:space="0" w:color="000000"/>
              <w:start w:val="single" w:sz="4" w:space="0" w:color="000000"/>
              <w:bottom w:val="single" w:sz="4" w:space="0" w:color="000000"/>
            </w:tcBorders>
          </w:tcPr>
          <w:p>
            <w:pPr>
              <w:pStyle w:val="TableContents"/>
              <w:rPr/>
            </w:pPr>
            <w:r>
              <w:rPr>
                <w:rStyle w:val="Strong"/>
              </w:rPr>
              <w:t>FOV</w:t>
            </w:r>
          </w:p>
        </w:tc>
        <w:tc>
          <w:tcPr>
            <w:tcW w:w="750" w:type="dxa"/>
            <w:tcBorders>
              <w:top w:val="single" w:sz="4" w:space="0" w:color="000000"/>
              <w:start w:val="single" w:sz="4" w:space="0" w:color="000000"/>
              <w:bottom w:val="single" w:sz="4" w:space="0" w:color="000000"/>
            </w:tcBorders>
          </w:tcPr>
          <w:p>
            <w:pPr>
              <w:pStyle w:val="TableContents"/>
              <w:rPr/>
            </w:pPr>
            <w:r>
              <w:rPr>
                <w:rStyle w:val="Strong"/>
              </w:rPr>
              <w:t>% FOV phase</w:t>
            </w:r>
          </w:p>
        </w:tc>
        <w:tc>
          <w:tcPr>
            <w:tcW w:w="993" w:type="dxa"/>
            <w:tcBorders>
              <w:top w:val="single" w:sz="4" w:space="0" w:color="000000"/>
              <w:start w:val="single" w:sz="4" w:space="0" w:color="000000"/>
              <w:bottom w:val="single" w:sz="4" w:space="0" w:color="000000"/>
            </w:tcBorders>
          </w:tcPr>
          <w:p>
            <w:pPr>
              <w:pStyle w:val="TableContents"/>
              <w:rPr/>
            </w:pPr>
            <w:r>
              <w:rPr>
                <w:rStyle w:val="Strong"/>
              </w:rPr>
              <w:t>Resolution (mm)</w:t>
            </w:r>
          </w:p>
        </w:tc>
        <w:tc>
          <w:tcPr>
            <w:tcW w:w="627" w:type="dxa"/>
            <w:tcBorders>
              <w:top w:val="single" w:sz="4" w:space="0" w:color="000000"/>
              <w:start w:val="single" w:sz="4" w:space="0" w:color="000000"/>
              <w:bottom w:val="single" w:sz="4" w:space="0" w:color="000000"/>
            </w:tcBorders>
          </w:tcPr>
          <w:p>
            <w:pPr>
              <w:pStyle w:val="TableContents"/>
              <w:rPr/>
            </w:pPr>
            <w:r>
              <w:rPr>
                <w:rStyle w:val="Strong"/>
              </w:rPr>
              <w:t>TR (ms)</w:t>
            </w:r>
          </w:p>
        </w:tc>
        <w:tc>
          <w:tcPr>
            <w:tcW w:w="391" w:type="dxa"/>
            <w:tcBorders>
              <w:top w:val="single" w:sz="4" w:space="0" w:color="000000"/>
              <w:start w:val="single" w:sz="4" w:space="0" w:color="000000"/>
              <w:bottom w:val="single" w:sz="4" w:space="0" w:color="000000"/>
            </w:tcBorders>
          </w:tcPr>
          <w:p>
            <w:pPr>
              <w:pStyle w:val="TableContents"/>
              <w:rPr/>
            </w:pPr>
            <w:r>
              <w:rPr>
                <w:rStyle w:val="Strong"/>
              </w:rPr>
              <w:t>TE (ms)</w:t>
            </w:r>
          </w:p>
        </w:tc>
        <w:tc>
          <w:tcPr>
            <w:tcW w:w="521" w:type="dxa"/>
            <w:tcBorders>
              <w:top w:val="single" w:sz="4" w:space="0" w:color="000000"/>
              <w:start w:val="single" w:sz="4" w:space="0" w:color="000000"/>
              <w:bottom w:val="single" w:sz="4" w:space="0" w:color="000000"/>
            </w:tcBorders>
          </w:tcPr>
          <w:p>
            <w:pPr>
              <w:pStyle w:val="TableContents"/>
              <w:rPr/>
            </w:pPr>
            <w:r>
              <w:rPr>
                <w:rStyle w:val="Strong"/>
              </w:rPr>
              <w:t>TI (ms)</w:t>
            </w:r>
          </w:p>
        </w:tc>
        <w:tc>
          <w:tcPr>
            <w:tcW w:w="993" w:type="dxa"/>
            <w:tcBorders>
              <w:top w:val="single" w:sz="4" w:space="0" w:color="000000"/>
              <w:start w:val="single" w:sz="4" w:space="0" w:color="000000"/>
              <w:bottom w:val="single" w:sz="4" w:space="0" w:color="000000"/>
            </w:tcBorders>
          </w:tcPr>
          <w:p>
            <w:pPr>
              <w:pStyle w:val="TableContents"/>
              <w:rPr/>
            </w:pPr>
            <w:r>
              <w:rPr>
                <w:rStyle w:val="Strong"/>
              </w:rPr>
              <w:t>Flip Angle (deg)</w:t>
            </w:r>
          </w:p>
        </w:tc>
        <w:tc>
          <w:tcPr>
            <w:tcW w:w="1026" w:type="dxa"/>
            <w:tcBorders>
              <w:top w:val="single" w:sz="4" w:space="0" w:color="000000"/>
              <w:start w:val="single" w:sz="4" w:space="0" w:color="000000"/>
              <w:bottom w:val="single" w:sz="4" w:space="0" w:color="000000"/>
            </w:tcBorders>
          </w:tcPr>
          <w:p>
            <w:pPr>
              <w:pStyle w:val="TableContents"/>
              <w:rPr/>
            </w:pPr>
            <w:r>
              <w:rPr>
                <w:rStyle w:val="Strong"/>
              </w:rPr>
              <w:t>Parallel Imaging</w:t>
            </w:r>
          </w:p>
        </w:tc>
        <w:tc>
          <w:tcPr>
            <w:tcW w:w="1425" w:type="dxa"/>
            <w:tcBorders>
              <w:top w:val="single" w:sz="4" w:space="0" w:color="000000"/>
              <w:start w:val="single" w:sz="4" w:space="0" w:color="000000"/>
              <w:bottom w:val="single" w:sz="4" w:space="0" w:color="000000"/>
            </w:tcBorders>
          </w:tcPr>
          <w:p>
            <w:pPr>
              <w:pStyle w:val="TableContents"/>
              <w:rPr/>
            </w:pPr>
            <w:r>
              <w:rPr>
                <w:rStyle w:val="Strong"/>
              </w:rPr>
              <w:t>MultiBand Acceleration</w:t>
            </w:r>
          </w:p>
        </w:tc>
        <w:tc>
          <w:tcPr>
            <w:tcW w:w="1316" w:type="dxa"/>
            <w:tcBorders>
              <w:top w:val="single" w:sz="4" w:space="0" w:color="000000"/>
              <w:start w:val="single" w:sz="4" w:space="0" w:color="000000"/>
              <w:bottom w:val="single" w:sz="4" w:space="0" w:color="000000"/>
              <w:end w:val="single" w:sz="4" w:space="0" w:color="000000"/>
            </w:tcBorders>
          </w:tcPr>
          <w:p>
            <w:pPr>
              <w:pStyle w:val="TableContents"/>
              <w:rPr/>
            </w:pPr>
            <w:r>
              <w:rPr>
                <w:rStyle w:val="Strong"/>
              </w:rPr>
              <w:t>Half Scan Factor</w:t>
            </w:r>
          </w:p>
        </w:tc>
      </w:tr>
      <w:tr>
        <w:trPr/>
        <w:tc>
          <w:tcPr>
            <w:tcW w:w="688" w:type="dxa"/>
            <w:tcBorders>
              <w:start w:val="single" w:sz="4" w:space="0" w:color="000000"/>
              <w:bottom w:val="single" w:sz="4" w:space="0" w:color="000000"/>
            </w:tcBorders>
            <w:vAlign w:val="center"/>
          </w:tcPr>
          <w:p>
            <w:pPr>
              <w:pStyle w:val="TableContents"/>
              <w:rPr/>
            </w:pPr>
            <w:r>
              <w:rPr>
                <w:rStyle w:val="Strong"/>
              </w:rPr>
              <w:t>T1</w:t>
            </w:r>
          </w:p>
        </w:tc>
        <w:tc>
          <w:tcPr>
            <w:tcW w:w="1620" w:type="dxa"/>
            <w:tcBorders>
              <w:start w:val="single" w:sz="4" w:space="0" w:color="000000"/>
              <w:bottom w:val="single" w:sz="4" w:space="0" w:color="000000"/>
            </w:tcBorders>
            <w:vAlign w:val="center"/>
          </w:tcPr>
          <w:p>
            <w:pPr>
              <w:pStyle w:val="TableContents"/>
              <w:rPr/>
            </w:pPr>
            <w:r>
              <w:rPr/>
              <w:t>256x240 acq, 256x256 rec</w:t>
            </w:r>
          </w:p>
        </w:tc>
        <w:tc>
          <w:tcPr>
            <w:tcW w:w="448" w:type="dxa"/>
            <w:tcBorders>
              <w:start w:val="single" w:sz="4" w:space="0" w:color="000000"/>
              <w:bottom w:val="single" w:sz="4" w:space="0" w:color="000000"/>
            </w:tcBorders>
            <w:vAlign w:val="center"/>
          </w:tcPr>
          <w:p>
            <w:pPr>
              <w:pStyle w:val="TableContents"/>
              <w:rPr/>
            </w:pPr>
            <w:r>
              <w:rPr/>
              <w:t>225</w:t>
            </w:r>
          </w:p>
        </w:tc>
        <w:tc>
          <w:tcPr>
            <w:tcW w:w="602" w:type="dxa"/>
            <w:tcBorders>
              <w:start w:val="single" w:sz="4" w:space="0" w:color="000000"/>
              <w:bottom w:val="single" w:sz="4" w:space="0" w:color="000000"/>
            </w:tcBorders>
            <w:vAlign w:val="center"/>
          </w:tcPr>
          <w:p>
            <w:pPr>
              <w:pStyle w:val="TableContents"/>
              <w:rPr/>
            </w:pPr>
            <w:r>
              <w:rPr/>
              <w:t>256x240</w:t>
            </w:r>
          </w:p>
        </w:tc>
        <w:tc>
          <w:tcPr>
            <w:tcW w:w="750" w:type="dxa"/>
            <w:tcBorders>
              <w:start w:val="single" w:sz="4" w:space="0" w:color="000000"/>
              <w:bottom w:val="single" w:sz="4" w:space="0" w:color="000000"/>
            </w:tcBorders>
            <w:vAlign w:val="center"/>
          </w:tcPr>
          <w:p>
            <w:pPr>
              <w:pStyle w:val="TableContents"/>
              <w:rPr/>
            </w:pPr>
            <w:r>
              <w:rPr/>
              <w:t>93.75%</w:t>
            </w:r>
          </w:p>
        </w:tc>
        <w:tc>
          <w:tcPr>
            <w:tcW w:w="993" w:type="dxa"/>
            <w:tcBorders>
              <w:start w:val="single" w:sz="4" w:space="0" w:color="000000"/>
              <w:bottom w:val="single" w:sz="4" w:space="0" w:color="000000"/>
            </w:tcBorders>
            <w:vAlign w:val="center"/>
          </w:tcPr>
          <w:p>
            <w:pPr>
              <w:pStyle w:val="TableContents"/>
              <w:rPr/>
            </w:pPr>
            <w:r>
              <w:rPr/>
              <w:t>1.0x1.0x1.0</w:t>
            </w:r>
          </w:p>
        </w:tc>
        <w:tc>
          <w:tcPr>
            <w:tcW w:w="627" w:type="dxa"/>
            <w:tcBorders>
              <w:start w:val="single" w:sz="4" w:space="0" w:color="000000"/>
              <w:bottom w:val="single" w:sz="4" w:space="0" w:color="000000"/>
            </w:tcBorders>
            <w:vAlign w:val="center"/>
          </w:tcPr>
          <w:p>
            <w:pPr>
              <w:pStyle w:val="TableContents"/>
              <w:rPr/>
            </w:pPr>
            <w:r>
              <w:rPr/>
              <w:t>6.66</w:t>
            </w:r>
          </w:p>
        </w:tc>
        <w:tc>
          <w:tcPr>
            <w:tcW w:w="391" w:type="dxa"/>
            <w:tcBorders>
              <w:start w:val="single" w:sz="4" w:space="0" w:color="000000"/>
              <w:bottom w:val="single" w:sz="4" w:space="0" w:color="000000"/>
            </w:tcBorders>
            <w:vAlign w:val="center"/>
          </w:tcPr>
          <w:p>
            <w:pPr>
              <w:pStyle w:val="TableContents"/>
              <w:rPr/>
            </w:pPr>
            <w:r>
              <w:rPr/>
              <w:t>3.0</w:t>
            </w:r>
          </w:p>
        </w:tc>
        <w:tc>
          <w:tcPr>
            <w:tcW w:w="521" w:type="dxa"/>
            <w:tcBorders>
              <w:start w:val="single" w:sz="4" w:space="0" w:color="000000"/>
              <w:bottom w:val="single" w:sz="4" w:space="0" w:color="000000"/>
            </w:tcBorders>
            <w:vAlign w:val="center"/>
          </w:tcPr>
          <w:p>
            <w:pPr>
              <w:pStyle w:val="TableContents"/>
              <w:rPr/>
            </w:pPr>
            <w:r>
              <w:rPr/>
              <w:t>1060</w:t>
            </w:r>
          </w:p>
        </w:tc>
        <w:tc>
          <w:tcPr>
            <w:tcW w:w="993" w:type="dxa"/>
            <w:tcBorders>
              <w:start w:val="single" w:sz="4" w:space="0" w:color="000000"/>
              <w:bottom w:val="single" w:sz="4" w:space="0" w:color="000000"/>
            </w:tcBorders>
            <w:vAlign w:val="center"/>
          </w:tcPr>
          <w:p>
            <w:pPr>
              <w:pStyle w:val="TableContents"/>
              <w:rPr/>
            </w:pPr>
            <w:r>
              <w:rPr/>
              <w:t>8</w:t>
            </w:r>
          </w:p>
        </w:tc>
        <w:tc>
          <w:tcPr>
            <w:tcW w:w="1026" w:type="dxa"/>
            <w:tcBorders>
              <w:start w:val="single" w:sz="4" w:space="0" w:color="000000"/>
              <w:bottom w:val="single" w:sz="4" w:space="0" w:color="000000"/>
            </w:tcBorders>
            <w:vAlign w:val="center"/>
          </w:tcPr>
          <w:p>
            <w:pPr>
              <w:pStyle w:val="TableContents"/>
              <w:rPr/>
            </w:pPr>
            <w:r>
              <w:rPr/>
              <w:t>2x1</w:t>
            </w:r>
          </w:p>
        </w:tc>
        <w:tc>
          <w:tcPr>
            <w:tcW w:w="1425" w:type="dxa"/>
            <w:tcBorders>
              <w:start w:val="single" w:sz="4" w:space="0" w:color="000000"/>
              <w:bottom w:val="single" w:sz="4" w:space="0" w:color="000000"/>
            </w:tcBorders>
            <w:vAlign w:val="center"/>
          </w:tcPr>
          <w:p>
            <w:pPr>
              <w:pStyle w:val="TableContents"/>
              <w:rPr/>
            </w:pPr>
            <w:r>
              <w:rPr/>
              <w:t>Off</w:t>
            </w:r>
          </w:p>
        </w:tc>
        <w:tc>
          <w:tcPr>
            <w:tcW w:w="1316" w:type="dxa"/>
            <w:tcBorders>
              <w:start w:val="single" w:sz="4" w:space="0" w:color="000000"/>
              <w:bottom w:val="single" w:sz="4" w:space="0" w:color="000000"/>
              <w:end w:val="single" w:sz="4" w:space="0" w:color="000000"/>
            </w:tcBorders>
            <w:vAlign w:val="center"/>
          </w:tcPr>
          <w:p>
            <w:pPr>
              <w:pStyle w:val="TableContents"/>
              <w:rPr/>
            </w:pPr>
            <w:r>
              <w:rPr/>
              <w:t>N/A</w:t>
            </w:r>
          </w:p>
        </w:tc>
      </w:tr>
      <w:tr>
        <w:trPr/>
        <w:tc>
          <w:tcPr>
            <w:tcW w:w="688" w:type="dxa"/>
            <w:tcBorders>
              <w:start w:val="single" w:sz="4" w:space="0" w:color="000000"/>
              <w:bottom w:val="single" w:sz="4" w:space="0" w:color="000000"/>
            </w:tcBorders>
            <w:vAlign w:val="center"/>
          </w:tcPr>
          <w:p>
            <w:pPr>
              <w:pStyle w:val="TableContents"/>
              <w:rPr/>
            </w:pPr>
            <w:r>
              <w:rPr>
                <w:rStyle w:val="Strong"/>
              </w:rPr>
              <w:t>Diffusion</w:t>
            </w:r>
          </w:p>
        </w:tc>
        <w:tc>
          <w:tcPr>
            <w:tcW w:w="1620" w:type="dxa"/>
            <w:tcBorders>
              <w:start w:val="single" w:sz="4" w:space="0" w:color="000000"/>
              <w:bottom w:val="single" w:sz="4" w:space="0" w:color="000000"/>
            </w:tcBorders>
            <w:vAlign w:val="center"/>
          </w:tcPr>
          <w:p>
            <w:pPr>
              <w:pStyle w:val="TableContents"/>
              <w:rPr/>
            </w:pPr>
            <w:r>
              <w:rPr/>
              <w:t>140x141 acq, 144x144 rec</w:t>
            </w:r>
          </w:p>
        </w:tc>
        <w:tc>
          <w:tcPr>
            <w:tcW w:w="448" w:type="dxa"/>
            <w:tcBorders>
              <w:start w:val="single" w:sz="4" w:space="0" w:color="000000"/>
              <w:bottom w:val="single" w:sz="4" w:space="0" w:color="000000"/>
            </w:tcBorders>
            <w:vAlign w:val="center"/>
          </w:tcPr>
          <w:p>
            <w:pPr>
              <w:pStyle w:val="TableContents"/>
              <w:rPr/>
            </w:pPr>
            <w:r>
              <w:rPr/>
              <w:t>81</w:t>
            </w:r>
          </w:p>
        </w:tc>
        <w:tc>
          <w:tcPr>
            <w:tcW w:w="602" w:type="dxa"/>
            <w:tcBorders>
              <w:start w:val="single" w:sz="4" w:space="0" w:color="000000"/>
              <w:bottom w:val="single" w:sz="4" w:space="0" w:color="000000"/>
            </w:tcBorders>
            <w:vAlign w:val="center"/>
          </w:tcPr>
          <w:p>
            <w:pPr>
              <w:pStyle w:val="TableContents"/>
              <w:rPr/>
            </w:pPr>
            <w:r>
              <w:rPr/>
              <w:t>240x240</w:t>
            </w:r>
          </w:p>
        </w:tc>
        <w:tc>
          <w:tcPr>
            <w:tcW w:w="750" w:type="dxa"/>
            <w:tcBorders>
              <w:start w:val="single" w:sz="4" w:space="0" w:color="000000"/>
              <w:bottom w:val="single" w:sz="4" w:space="0" w:color="000000"/>
            </w:tcBorders>
            <w:vAlign w:val="center"/>
          </w:tcPr>
          <w:p>
            <w:pPr>
              <w:pStyle w:val="TableContents"/>
              <w:rPr/>
            </w:pPr>
            <w:r>
              <w:rPr/>
              <w:t>100%</w:t>
            </w:r>
          </w:p>
        </w:tc>
        <w:tc>
          <w:tcPr>
            <w:tcW w:w="993" w:type="dxa"/>
            <w:tcBorders>
              <w:start w:val="single" w:sz="4" w:space="0" w:color="000000"/>
              <w:bottom w:val="single" w:sz="4" w:space="0" w:color="000000"/>
            </w:tcBorders>
            <w:vAlign w:val="center"/>
          </w:tcPr>
          <w:p>
            <w:pPr>
              <w:pStyle w:val="TableContents"/>
              <w:rPr/>
            </w:pPr>
            <w:r>
              <w:rPr/>
              <w:t>1.67x1.67x1.7</w:t>
            </w:r>
          </w:p>
        </w:tc>
        <w:tc>
          <w:tcPr>
            <w:tcW w:w="627" w:type="dxa"/>
            <w:tcBorders>
              <w:start w:val="single" w:sz="4" w:space="0" w:color="000000"/>
              <w:bottom w:val="single" w:sz="4" w:space="0" w:color="000000"/>
            </w:tcBorders>
            <w:vAlign w:val="center"/>
          </w:tcPr>
          <w:p>
            <w:pPr>
              <w:pStyle w:val="TableContents"/>
              <w:rPr/>
            </w:pPr>
            <w:r>
              <w:rPr/>
              <w:t>8093.6</w:t>
            </w:r>
          </w:p>
        </w:tc>
        <w:tc>
          <w:tcPr>
            <w:tcW w:w="391" w:type="dxa"/>
            <w:tcBorders>
              <w:start w:val="single" w:sz="4" w:space="0" w:color="000000"/>
              <w:bottom w:val="single" w:sz="4" w:space="0" w:color="000000"/>
            </w:tcBorders>
            <w:vAlign w:val="center"/>
          </w:tcPr>
          <w:p>
            <w:pPr>
              <w:pStyle w:val="TableContents"/>
              <w:rPr/>
            </w:pPr>
            <w:r>
              <w:rPr/>
              <w:t>103</w:t>
            </w:r>
          </w:p>
        </w:tc>
        <w:tc>
          <w:tcPr>
            <w:tcW w:w="521" w:type="dxa"/>
            <w:tcBorders>
              <w:start w:val="single" w:sz="4" w:space="0" w:color="000000"/>
              <w:bottom w:val="single" w:sz="4" w:space="0" w:color="000000"/>
            </w:tcBorders>
            <w:vAlign w:val="center"/>
          </w:tcPr>
          <w:p>
            <w:pPr>
              <w:pStyle w:val="TableContents"/>
              <w:rPr/>
            </w:pPr>
            <w:r>
              <w:rPr/>
              <w:t>N/A</w:t>
            </w:r>
          </w:p>
        </w:tc>
        <w:tc>
          <w:tcPr>
            <w:tcW w:w="993" w:type="dxa"/>
            <w:tcBorders>
              <w:start w:val="single" w:sz="4" w:space="0" w:color="000000"/>
              <w:bottom w:val="single" w:sz="4" w:space="0" w:color="000000"/>
            </w:tcBorders>
            <w:vAlign w:val="center"/>
          </w:tcPr>
          <w:p>
            <w:pPr>
              <w:pStyle w:val="TableContents"/>
              <w:rPr/>
            </w:pPr>
            <w:r>
              <w:rPr/>
              <w:t>78</w:t>
            </w:r>
          </w:p>
        </w:tc>
        <w:tc>
          <w:tcPr>
            <w:tcW w:w="1026" w:type="dxa"/>
            <w:tcBorders>
              <w:start w:val="single" w:sz="4" w:space="0" w:color="000000"/>
              <w:bottom w:val="single" w:sz="4" w:space="0" w:color="000000"/>
            </w:tcBorders>
            <w:vAlign w:val="center"/>
          </w:tcPr>
          <w:p>
            <w:pPr>
              <w:pStyle w:val="TableContents"/>
              <w:rPr/>
            </w:pPr>
            <w:r>
              <w:rPr/>
              <w:t>Off</w:t>
            </w:r>
          </w:p>
        </w:tc>
        <w:tc>
          <w:tcPr>
            <w:tcW w:w="1425" w:type="dxa"/>
            <w:tcBorders>
              <w:start w:val="single" w:sz="4" w:space="0" w:color="000000"/>
              <w:bottom w:val="single" w:sz="4" w:space="0" w:color="000000"/>
            </w:tcBorders>
            <w:vAlign w:val="center"/>
          </w:tcPr>
          <w:p>
            <w:pPr>
              <w:pStyle w:val="TableContents"/>
              <w:rPr/>
            </w:pPr>
            <w:r>
              <w:rPr/>
              <w:t>3</w:t>
            </w:r>
          </w:p>
        </w:tc>
        <w:tc>
          <w:tcPr>
            <w:tcW w:w="1316" w:type="dxa"/>
            <w:tcBorders>
              <w:start w:val="single" w:sz="4" w:space="0" w:color="000000"/>
              <w:bottom w:val="single" w:sz="4" w:space="0" w:color="000000"/>
              <w:end w:val="single" w:sz="4" w:space="0" w:color="000000"/>
            </w:tcBorders>
            <w:vAlign w:val="center"/>
          </w:tcPr>
          <w:p>
            <w:pPr>
              <w:pStyle w:val="TableContents"/>
              <w:rPr/>
            </w:pPr>
            <w:r>
              <w:rPr/>
              <w:t>0.6</w:t>
            </w:r>
          </w:p>
        </w:tc>
      </w:tr>
      <w:tr>
        <w:trPr/>
        <w:tc>
          <w:tcPr>
            <w:tcW w:w="688" w:type="dxa"/>
            <w:tcBorders>
              <w:start w:val="single" w:sz="4" w:space="0" w:color="000000"/>
              <w:bottom w:val="single" w:sz="4" w:space="0" w:color="000000"/>
            </w:tcBorders>
            <w:vAlign w:val="center"/>
          </w:tcPr>
          <w:p>
            <w:pPr>
              <w:pStyle w:val="TableContents"/>
              <w:rPr/>
            </w:pPr>
            <w:r>
              <w:rPr>
                <w:rStyle w:val="Strong"/>
              </w:rPr>
              <w:t>fMRI</w:t>
            </w:r>
          </w:p>
        </w:tc>
        <w:tc>
          <w:tcPr>
            <w:tcW w:w="1620" w:type="dxa"/>
            <w:tcBorders>
              <w:start w:val="single" w:sz="4" w:space="0" w:color="000000"/>
              <w:bottom w:val="single" w:sz="4" w:space="0" w:color="000000"/>
            </w:tcBorders>
            <w:vAlign w:val="center"/>
          </w:tcPr>
          <w:p>
            <w:pPr>
              <w:pStyle w:val="TableContents"/>
              <w:rPr/>
            </w:pPr>
            <w:r>
              <w:rPr/>
              <w:t>88x89</w:t>
            </w:r>
          </w:p>
        </w:tc>
        <w:tc>
          <w:tcPr>
            <w:tcW w:w="448" w:type="dxa"/>
            <w:tcBorders>
              <w:start w:val="single" w:sz="4" w:space="0" w:color="000000"/>
              <w:bottom w:val="single" w:sz="4" w:space="0" w:color="000000"/>
            </w:tcBorders>
            <w:vAlign w:val="center"/>
          </w:tcPr>
          <w:p>
            <w:pPr>
              <w:pStyle w:val="TableContents"/>
              <w:rPr/>
            </w:pPr>
            <w:r>
              <w:rPr/>
              <w:t>54*</w:t>
            </w:r>
          </w:p>
        </w:tc>
        <w:tc>
          <w:tcPr>
            <w:tcW w:w="602" w:type="dxa"/>
            <w:tcBorders>
              <w:start w:val="single" w:sz="4" w:space="0" w:color="000000"/>
              <w:bottom w:val="single" w:sz="4" w:space="0" w:color="000000"/>
            </w:tcBorders>
            <w:vAlign w:val="center"/>
          </w:tcPr>
          <w:p>
            <w:pPr>
              <w:pStyle w:val="TableContents"/>
              <w:rPr/>
            </w:pPr>
            <w:r>
              <w:rPr/>
              <w:t>216x216</w:t>
            </w:r>
          </w:p>
        </w:tc>
        <w:tc>
          <w:tcPr>
            <w:tcW w:w="750" w:type="dxa"/>
            <w:tcBorders>
              <w:start w:val="single" w:sz="4" w:space="0" w:color="000000"/>
              <w:bottom w:val="single" w:sz="4" w:space="0" w:color="000000"/>
            </w:tcBorders>
            <w:vAlign w:val="center"/>
          </w:tcPr>
          <w:p>
            <w:pPr>
              <w:pStyle w:val="TableContents"/>
              <w:rPr/>
            </w:pPr>
            <w:r>
              <w:rPr/>
              <w:t>100%</w:t>
            </w:r>
          </w:p>
        </w:tc>
        <w:tc>
          <w:tcPr>
            <w:tcW w:w="993" w:type="dxa"/>
            <w:tcBorders>
              <w:start w:val="single" w:sz="4" w:space="0" w:color="000000"/>
              <w:bottom w:val="single" w:sz="4" w:space="0" w:color="000000"/>
            </w:tcBorders>
            <w:vAlign w:val="center"/>
          </w:tcPr>
          <w:p>
            <w:pPr>
              <w:pStyle w:val="TableContents"/>
              <w:rPr/>
            </w:pPr>
            <w:r>
              <w:rPr/>
              <w:t>2.22x2.22x2.4</w:t>
            </w:r>
          </w:p>
        </w:tc>
        <w:tc>
          <w:tcPr>
            <w:tcW w:w="627" w:type="dxa"/>
            <w:tcBorders>
              <w:start w:val="single" w:sz="4" w:space="0" w:color="000000"/>
              <w:bottom w:val="single" w:sz="4" w:space="0" w:color="000000"/>
            </w:tcBorders>
            <w:vAlign w:val="center"/>
          </w:tcPr>
          <w:p>
            <w:pPr>
              <w:pStyle w:val="TableContents"/>
              <w:rPr/>
            </w:pPr>
            <w:r>
              <w:rPr/>
              <w:t>800</w:t>
            </w:r>
          </w:p>
        </w:tc>
        <w:tc>
          <w:tcPr>
            <w:tcW w:w="391" w:type="dxa"/>
            <w:tcBorders>
              <w:start w:val="single" w:sz="4" w:space="0" w:color="000000"/>
              <w:bottom w:val="single" w:sz="4" w:space="0" w:color="000000"/>
            </w:tcBorders>
            <w:vAlign w:val="center"/>
          </w:tcPr>
          <w:p>
            <w:pPr>
              <w:pStyle w:val="TableContents"/>
              <w:rPr/>
            </w:pPr>
            <w:r>
              <w:rPr/>
              <w:t>30</w:t>
            </w:r>
          </w:p>
        </w:tc>
        <w:tc>
          <w:tcPr>
            <w:tcW w:w="521" w:type="dxa"/>
            <w:tcBorders>
              <w:start w:val="single" w:sz="4" w:space="0" w:color="000000"/>
              <w:bottom w:val="single" w:sz="4" w:space="0" w:color="000000"/>
            </w:tcBorders>
            <w:vAlign w:val="center"/>
          </w:tcPr>
          <w:p>
            <w:pPr>
              <w:pStyle w:val="TableContents"/>
              <w:rPr/>
            </w:pPr>
            <w:r>
              <w:rPr/>
              <w:t>N/A</w:t>
            </w:r>
          </w:p>
        </w:tc>
        <w:tc>
          <w:tcPr>
            <w:tcW w:w="993" w:type="dxa"/>
            <w:tcBorders>
              <w:start w:val="single" w:sz="4" w:space="0" w:color="000000"/>
              <w:bottom w:val="single" w:sz="4" w:space="0" w:color="000000"/>
            </w:tcBorders>
            <w:vAlign w:val="center"/>
          </w:tcPr>
          <w:p>
            <w:pPr>
              <w:pStyle w:val="TableContents"/>
              <w:rPr/>
            </w:pPr>
            <w:r>
              <w:rPr/>
              <w:t>52</w:t>
            </w:r>
          </w:p>
        </w:tc>
        <w:tc>
          <w:tcPr>
            <w:tcW w:w="1026" w:type="dxa"/>
            <w:tcBorders>
              <w:start w:val="single" w:sz="4" w:space="0" w:color="000000"/>
              <w:bottom w:val="single" w:sz="4" w:space="0" w:color="000000"/>
            </w:tcBorders>
            <w:vAlign w:val="center"/>
          </w:tcPr>
          <w:p>
            <w:pPr>
              <w:pStyle w:val="TableContents"/>
              <w:rPr/>
            </w:pPr>
            <w:r>
              <w:rPr/>
              <w:t>Off</w:t>
            </w:r>
          </w:p>
        </w:tc>
        <w:tc>
          <w:tcPr>
            <w:tcW w:w="1425" w:type="dxa"/>
            <w:tcBorders>
              <w:start w:val="single" w:sz="4" w:space="0" w:color="000000"/>
              <w:bottom w:val="single" w:sz="4" w:space="0" w:color="000000"/>
            </w:tcBorders>
            <w:vAlign w:val="center"/>
          </w:tcPr>
          <w:p>
            <w:pPr>
              <w:pStyle w:val="TableContents"/>
              <w:rPr/>
            </w:pPr>
            <w:r>
              <w:rPr/>
              <w:t>6</w:t>
            </w:r>
          </w:p>
        </w:tc>
        <w:tc>
          <w:tcPr>
            <w:tcW w:w="1316" w:type="dxa"/>
            <w:tcBorders>
              <w:start w:val="single" w:sz="4" w:space="0" w:color="000000"/>
              <w:bottom w:val="single" w:sz="4" w:space="0" w:color="000000"/>
              <w:end w:val="single" w:sz="4" w:space="0" w:color="000000"/>
            </w:tcBorders>
            <w:vAlign w:val="center"/>
          </w:tcPr>
          <w:p>
            <w:pPr>
              <w:pStyle w:val="TableContents"/>
              <w:rPr/>
            </w:pPr>
            <w:r>
              <w:rPr/>
              <w:t>0.9</w:t>
            </w:r>
          </w:p>
        </w:tc>
      </w:tr>
    </w:tbl>
    <w:p>
      <w:pPr>
        <w:pStyle w:val="BodyText"/>
        <w:rPr>
          <w:sz w:val="14"/>
          <w:szCs w:val="14"/>
        </w:rPr>
      </w:pPr>
      <w:r>
        <w:rPr>
          <w:sz w:val="14"/>
          <w:szCs w:val="14"/>
        </w:rPr>
      </w:r>
    </w:p>
    <w:p>
      <w:pPr>
        <w:pStyle w:val="BodyText"/>
        <w:rPr/>
      </w:pPr>
      <w:r>
        <w:rPr>
          <w:rStyle w:val="Emphasis"/>
          <w:sz w:val="20"/>
          <w:szCs w:val="20"/>
        </w:rPr>
        <w:t>GE</w:t>
      </w:r>
    </w:p>
    <w:p>
      <w:pPr>
        <w:pStyle w:val="BodyText"/>
        <w:rPr>
          <w:sz w:val="20"/>
          <w:szCs w:val="20"/>
        </w:rPr>
      </w:pPr>
      <w:r>
        <w:rPr>
          <w:sz w:val="20"/>
          <w:szCs w:val="20"/>
        </w:rPr>
        <w:t>Reference site: UIC</w:t>
      </w:r>
    </w:p>
    <w:tbl>
      <w:tblPr>
        <w:tblW w:w="10860" w:type="dxa"/>
        <w:jc w:val="start"/>
        <w:tblInd w:w="55" w:type="dxa"/>
        <w:tblLayout w:type="fixed"/>
        <w:tblCellMar>
          <w:top w:w="55" w:type="dxa"/>
          <w:start w:w="55" w:type="dxa"/>
          <w:bottom w:w="55" w:type="dxa"/>
          <w:end w:w="55" w:type="dxa"/>
        </w:tblCellMar>
        <w:tblLook w:firstRow="1" w:noVBand="1" w:lastRow="0" w:firstColumn="1" w:lastColumn="0" w:noHBand="0" w:val="04a0"/>
      </w:tblPr>
      <w:tblGrid>
        <w:gridCol w:w="724"/>
        <w:gridCol w:w="620"/>
        <w:gridCol w:w="455"/>
        <w:gridCol w:w="631"/>
        <w:gridCol w:w="670"/>
        <w:gridCol w:w="1047"/>
        <w:gridCol w:w="569"/>
        <w:gridCol w:w="568"/>
        <w:gridCol w:w="531"/>
        <w:gridCol w:w="1010"/>
        <w:gridCol w:w="1035"/>
        <w:gridCol w:w="1453"/>
        <w:gridCol w:w="1547"/>
      </w:tblGrid>
      <w:tr>
        <w:trPr>
          <w:trHeight w:val="510" w:hRule="atLeast"/>
        </w:trPr>
        <w:tc>
          <w:tcPr>
            <w:tcW w:w="724" w:type="dxa"/>
            <w:tcBorders>
              <w:top w:val="single" w:sz="4" w:space="0" w:color="000000"/>
              <w:start w:val="single" w:sz="4" w:space="0" w:color="000000"/>
              <w:bottom w:val="single" w:sz="4" w:space="0" w:color="000000"/>
            </w:tcBorders>
            <w:vAlign w:val="center"/>
          </w:tcPr>
          <w:p>
            <w:pPr>
              <w:pStyle w:val="TableContents"/>
              <w:rPr/>
            </w:pPr>
            <w:r>
              <w:rPr/>
            </w:r>
          </w:p>
        </w:tc>
        <w:tc>
          <w:tcPr>
            <w:tcW w:w="620" w:type="dxa"/>
            <w:tcBorders>
              <w:top w:val="single" w:sz="4" w:space="0" w:color="000000"/>
              <w:start w:val="single" w:sz="4" w:space="0" w:color="000000"/>
              <w:bottom w:val="single" w:sz="4" w:space="0" w:color="000000"/>
            </w:tcBorders>
            <w:vAlign w:val="center"/>
          </w:tcPr>
          <w:p>
            <w:pPr>
              <w:pStyle w:val="TableContents"/>
              <w:rPr/>
            </w:pPr>
            <w:r>
              <w:rPr>
                <w:rStyle w:val="Strong"/>
              </w:rPr>
              <w:t>Matrix</w:t>
            </w:r>
          </w:p>
        </w:tc>
        <w:tc>
          <w:tcPr>
            <w:tcW w:w="455" w:type="dxa"/>
            <w:tcBorders>
              <w:top w:val="single" w:sz="4" w:space="0" w:color="000000"/>
              <w:start w:val="single" w:sz="4" w:space="0" w:color="000000"/>
              <w:bottom w:val="single" w:sz="4" w:space="0" w:color="000000"/>
            </w:tcBorders>
            <w:vAlign w:val="center"/>
          </w:tcPr>
          <w:p>
            <w:pPr>
              <w:pStyle w:val="TableContents"/>
              <w:rPr/>
            </w:pPr>
            <w:r>
              <w:rPr>
                <w:rStyle w:val="Strong"/>
              </w:rPr>
              <w:t>Slices</w:t>
            </w:r>
          </w:p>
        </w:tc>
        <w:tc>
          <w:tcPr>
            <w:tcW w:w="631" w:type="dxa"/>
            <w:tcBorders>
              <w:top w:val="single" w:sz="4" w:space="0" w:color="000000"/>
              <w:start w:val="single" w:sz="4" w:space="0" w:color="000000"/>
              <w:bottom w:val="single" w:sz="4" w:space="0" w:color="000000"/>
            </w:tcBorders>
            <w:vAlign w:val="center"/>
          </w:tcPr>
          <w:p>
            <w:pPr>
              <w:pStyle w:val="TableContents"/>
              <w:rPr/>
            </w:pPr>
            <w:r>
              <w:rPr>
                <w:rStyle w:val="Strong"/>
              </w:rPr>
              <w:t>FOV</w:t>
            </w:r>
          </w:p>
        </w:tc>
        <w:tc>
          <w:tcPr>
            <w:tcW w:w="670" w:type="dxa"/>
            <w:tcBorders>
              <w:top w:val="single" w:sz="4" w:space="0" w:color="000000"/>
              <w:start w:val="single" w:sz="4" w:space="0" w:color="000000"/>
              <w:bottom w:val="single" w:sz="4" w:space="0" w:color="000000"/>
            </w:tcBorders>
            <w:vAlign w:val="center"/>
          </w:tcPr>
          <w:p>
            <w:pPr>
              <w:pStyle w:val="TableContents"/>
              <w:rPr/>
            </w:pPr>
            <w:r>
              <w:rPr>
                <w:rStyle w:val="Strong"/>
              </w:rPr>
              <w:t>% FOV phase</w:t>
            </w:r>
          </w:p>
        </w:tc>
        <w:tc>
          <w:tcPr>
            <w:tcW w:w="1047" w:type="dxa"/>
            <w:tcBorders>
              <w:top w:val="single" w:sz="4" w:space="0" w:color="000000"/>
              <w:start w:val="single" w:sz="4" w:space="0" w:color="000000"/>
              <w:bottom w:val="single" w:sz="4" w:space="0" w:color="000000"/>
            </w:tcBorders>
            <w:vAlign w:val="center"/>
          </w:tcPr>
          <w:p>
            <w:pPr>
              <w:pStyle w:val="TableContents"/>
              <w:rPr/>
            </w:pPr>
            <w:r>
              <w:rPr>
                <w:rStyle w:val="Strong"/>
              </w:rPr>
              <w:t>Resolution (mm)</w:t>
            </w:r>
          </w:p>
        </w:tc>
        <w:tc>
          <w:tcPr>
            <w:tcW w:w="569" w:type="dxa"/>
            <w:tcBorders>
              <w:top w:val="single" w:sz="4" w:space="0" w:color="000000"/>
              <w:start w:val="single" w:sz="4" w:space="0" w:color="000000"/>
              <w:bottom w:val="single" w:sz="4" w:space="0" w:color="000000"/>
            </w:tcBorders>
            <w:vAlign w:val="center"/>
          </w:tcPr>
          <w:p>
            <w:pPr>
              <w:pStyle w:val="TableContents"/>
              <w:rPr/>
            </w:pPr>
            <w:r>
              <w:rPr>
                <w:rStyle w:val="Strong"/>
              </w:rPr>
              <w:t>TR (ms)</w:t>
            </w:r>
          </w:p>
        </w:tc>
        <w:tc>
          <w:tcPr>
            <w:tcW w:w="568" w:type="dxa"/>
            <w:tcBorders>
              <w:top w:val="single" w:sz="4" w:space="0" w:color="000000"/>
              <w:start w:val="single" w:sz="4" w:space="0" w:color="000000"/>
              <w:bottom w:val="single" w:sz="4" w:space="0" w:color="000000"/>
            </w:tcBorders>
            <w:vAlign w:val="center"/>
          </w:tcPr>
          <w:p>
            <w:pPr>
              <w:pStyle w:val="TableContents"/>
              <w:rPr/>
            </w:pPr>
            <w:r>
              <w:rPr>
                <w:rStyle w:val="Strong"/>
              </w:rPr>
              <w:t>TE (ms)</w:t>
            </w:r>
          </w:p>
        </w:tc>
        <w:tc>
          <w:tcPr>
            <w:tcW w:w="531" w:type="dxa"/>
            <w:tcBorders>
              <w:top w:val="single" w:sz="4" w:space="0" w:color="000000"/>
              <w:start w:val="single" w:sz="4" w:space="0" w:color="000000"/>
              <w:bottom w:val="single" w:sz="4" w:space="0" w:color="000000"/>
            </w:tcBorders>
            <w:vAlign w:val="center"/>
          </w:tcPr>
          <w:p>
            <w:pPr>
              <w:pStyle w:val="TableContents"/>
              <w:rPr/>
            </w:pPr>
            <w:r>
              <w:rPr>
                <w:rStyle w:val="Strong"/>
              </w:rPr>
              <w:t>TI (ms)</w:t>
            </w:r>
          </w:p>
        </w:tc>
        <w:tc>
          <w:tcPr>
            <w:tcW w:w="1010" w:type="dxa"/>
            <w:tcBorders>
              <w:top w:val="single" w:sz="4" w:space="0" w:color="000000"/>
              <w:start w:val="single" w:sz="4" w:space="0" w:color="000000"/>
              <w:bottom w:val="single" w:sz="4" w:space="0" w:color="000000"/>
            </w:tcBorders>
            <w:vAlign w:val="center"/>
          </w:tcPr>
          <w:p>
            <w:pPr>
              <w:pStyle w:val="TableContents"/>
              <w:rPr/>
            </w:pPr>
            <w:r>
              <w:rPr>
                <w:rStyle w:val="Strong"/>
              </w:rPr>
              <w:t>Flip Angle (deg)</w:t>
            </w:r>
          </w:p>
        </w:tc>
        <w:tc>
          <w:tcPr>
            <w:tcW w:w="1035" w:type="dxa"/>
            <w:tcBorders>
              <w:top w:val="single" w:sz="4" w:space="0" w:color="000000"/>
              <w:start w:val="single" w:sz="4" w:space="0" w:color="000000"/>
              <w:bottom w:val="single" w:sz="4" w:space="0" w:color="000000"/>
            </w:tcBorders>
            <w:vAlign w:val="center"/>
          </w:tcPr>
          <w:p>
            <w:pPr>
              <w:pStyle w:val="TableContents"/>
              <w:rPr/>
            </w:pPr>
            <w:r>
              <w:rPr>
                <w:rStyle w:val="Strong"/>
              </w:rPr>
              <w:t>Parallel Imaging</w:t>
            </w:r>
          </w:p>
        </w:tc>
        <w:tc>
          <w:tcPr>
            <w:tcW w:w="1453" w:type="dxa"/>
            <w:tcBorders>
              <w:top w:val="single" w:sz="4" w:space="0" w:color="000000"/>
              <w:start w:val="single" w:sz="4" w:space="0" w:color="000000"/>
              <w:bottom w:val="single" w:sz="4" w:space="0" w:color="000000"/>
            </w:tcBorders>
            <w:vAlign w:val="center"/>
          </w:tcPr>
          <w:p>
            <w:pPr>
              <w:pStyle w:val="TableContents"/>
              <w:rPr/>
            </w:pPr>
            <w:r>
              <w:rPr>
                <w:rStyle w:val="Strong"/>
              </w:rPr>
              <w:t>MultiBand Acceleration</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Phase partial Fourier</w:t>
            </w:r>
          </w:p>
        </w:tc>
      </w:tr>
      <w:tr>
        <w:trPr>
          <w:trHeight w:val="486" w:hRule="atLeast"/>
        </w:trPr>
        <w:tc>
          <w:tcPr>
            <w:tcW w:w="724" w:type="dxa"/>
            <w:tcBorders>
              <w:start w:val="single" w:sz="4" w:space="0" w:color="000000"/>
              <w:bottom w:val="single" w:sz="4" w:space="0" w:color="000000"/>
            </w:tcBorders>
            <w:vAlign w:val="center"/>
          </w:tcPr>
          <w:p>
            <w:pPr>
              <w:pStyle w:val="TableContents"/>
              <w:rPr/>
            </w:pPr>
            <w:r>
              <w:rPr>
                <w:rStyle w:val="Strong"/>
              </w:rPr>
              <w:t>T1</w:t>
            </w:r>
          </w:p>
        </w:tc>
        <w:tc>
          <w:tcPr>
            <w:tcW w:w="620" w:type="dxa"/>
            <w:tcBorders>
              <w:start w:val="single" w:sz="4" w:space="0" w:color="000000"/>
              <w:bottom w:val="single" w:sz="4" w:space="0" w:color="000000"/>
            </w:tcBorders>
            <w:vAlign w:val="center"/>
          </w:tcPr>
          <w:p>
            <w:pPr>
              <w:pStyle w:val="TableContents"/>
              <w:rPr/>
            </w:pPr>
            <w:r>
              <w:rPr/>
              <w:t>256x256</w:t>
            </w:r>
          </w:p>
        </w:tc>
        <w:tc>
          <w:tcPr>
            <w:tcW w:w="455" w:type="dxa"/>
            <w:tcBorders>
              <w:start w:val="single" w:sz="4" w:space="0" w:color="000000"/>
              <w:bottom w:val="single" w:sz="4" w:space="0" w:color="000000"/>
            </w:tcBorders>
            <w:vAlign w:val="center"/>
          </w:tcPr>
          <w:p>
            <w:pPr>
              <w:pStyle w:val="TableContents"/>
              <w:rPr/>
            </w:pPr>
            <w:r>
              <w:rPr/>
              <w:t>208</w:t>
            </w:r>
          </w:p>
        </w:tc>
        <w:tc>
          <w:tcPr>
            <w:tcW w:w="631" w:type="dxa"/>
            <w:tcBorders>
              <w:start w:val="single" w:sz="4" w:space="0" w:color="000000"/>
              <w:bottom w:val="single" w:sz="4" w:space="0" w:color="000000"/>
            </w:tcBorders>
            <w:vAlign w:val="center"/>
          </w:tcPr>
          <w:p>
            <w:pPr>
              <w:pStyle w:val="TableContents"/>
              <w:rPr/>
            </w:pPr>
            <w:r>
              <w:rPr/>
              <w:t>256x256</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1.0x1.0x1.0</w:t>
            </w:r>
          </w:p>
        </w:tc>
        <w:tc>
          <w:tcPr>
            <w:tcW w:w="569" w:type="dxa"/>
            <w:tcBorders>
              <w:start w:val="single" w:sz="4" w:space="0" w:color="000000"/>
              <w:bottom w:val="single" w:sz="4" w:space="0" w:color="000000"/>
            </w:tcBorders>
            <w:vAlign w:val="center"/>
          </w:tcPr>
          <w:p>
            <w:pPr>
              <w:pStyle w:val="TableContents"/>
              <w:rPr/>
            </w:pPr>
            <w:r>
              <w:rPr/>
              <w:t>6.952</w:t>
            </w:r>
          </w:p>
        </w:tc>
        <w:tc>
          <w:tcPr>
            <w:tcW w:w="568" w:type="dxa"/>
            <w:tcBorders>
              <w:start w:val="single" w:sz="4" w:space="0" w:color="000000"/>
              <w:bottom w:val="single" w:sz="4" w:space="0" w:color="000000"/>
            </w:tcBorders>
            <w:vAlign w:val="center"/>
          </w:tcPr>
          <w:p>
            <w:pPr>
              <w:pStyle w:val="TableContents"/>
              <w:rPr/>
            </w:pPr>
            <w:r>
              <w:rPr/>
              <w:t>2.92</w:t>
            </w:r>
          </w:p>
        </w:tc>
        <w:tc>
          <w:tcPr>
            <w:tcW w:w="531" w:type="dxa"/>
            <w:tcBorders>
              <w:start w:val="single" w:sz="4" w:space="0" w:color="000000"/>
              <w:bottom w:val="single" w:sz="4" w:space="0" w:color="000000"/>
            </w:tcBorders>
            <w:vAlign w:val="center"/>
          </w:tcPr>
          <w:p>
            <w:pPr>
              <w:pStyle w:val="TableContents"/>
              <w:rPr/>
            </w:pPr>
            <w:r>
              <w:rPr/>
              <w:t>1060</w:t>
            </w:r>
          </w:p>
        </w:tc>
        <w:tc>
          <w:tcPr>
            <w:tcW w:w="1010" w:type="dxa"/>
            <w:tcBorders>
              <w:start w:val="single" w:sz="4" w:space="0" w:color="000000"/>
              <w:bottom w:val="single" w:sz="4" w:space="0" w:color="000000"/>
            </w:tcBorders>
            <w:vAlign w:val="center"/>
          </w:tcPr>
          <w:p>
            <w:pPr>
              <w:pStyle w:val="TableContents"/>
              <w:rPr/>
            </w:pPr>
            <w:r>
              <w:rPr/>
              <w:t>8</w:t>
            </w:r>
          </w:p>
        </w:tc>
        <w:tc>
          <w:tcPr>
            <w:tcW w:w="1035" w:type="dxa"/>
            <w:tcBorders>
              <w:start w:val="single" w:sz="4" w:space="0" w:color="000000"/>
              <w:bottom w:val="single" w:sz="4" w:space="0" w:color="000000"/>
            </w:tcBorders>
            <w:vAlign w:val="center"/>
          </w:tcPr>
          <w:p>
            <w:pPr>
              <w:pStyle w:val="TableContents"/>
              <w:rPr/>
            </w:pPr>
            <w:r>
              <w:rPr/>
              <w:t>2x</w:t>
            </w:r>
          </w:p>
        </w:tc>
        <w:tc>
          <w:tcPr>
            <w:tcW w:w="1453" w:type="dxa"/>
            <w:tcBorders>
              <w:start w:val="single" w:sz="4" w:space="0" w:color="000000"/>
              <w:bottom w:val="single" w:sz="4" w:space="0" w:color="000000"/>
            </w:tcBorders>
            <w:vAlign w:val="center"/>
          </w:tcPr>
          <w:p>
            <w:pPr>
              <w:pStyle w:val="TableContents"/>
              <w:rPr/>
            </w:pPr>
            <w:r>
              <w:rPr/>
              <w:t>Off</w:t>
            </w:r>
          </w:p>
        </w:tc>
        <w:tc>
          <w:tcPr>
            <w:tcW w:w="1547" w:type="dxa"/>
            <w:tcBorders>
              <w:start w:val="single" w:sz="4" w:space="0" w:color="000000"/>
              <w:bottom w:val="single" w:sz="4" w:space="0" w:color="000000"/>
              <w:end w:val="single" w:sz="4" w:space="0" w:color="000000"/>
            </w:tcBorders>
            <w:vAlign w:val="center"/>
          </w:tcPr>
          <w:p>
            <w:pPr>
              <w:pStyle w:val="TableContents"/>
              <w:rPr/>
            </w:pPr>
            <w:r>
              <w:rPr/>
              <w:t>Off</w:t>
            </w:r>
          </w:p>
        </w:tc>
      </w:tr>
      <w:tr>
        <w:trPr>
          <w:trHeight w:val="391" w:hRule="atLeast"/>
        </w:trPr>
        <w:tc>
          <w:tcPr>
            <w:tcW w:w="724" w:type="dxa"/>
            <w:tcBorders>
              <w:start w:val="single" w:sz="4" w:space="0" w:color="000000"/>
              <w:bottom w:val="single" w:sz="4" w:space="0" w:color="000000"/>
            </w:tcBorders>
            <w:vAlign w:val="center"/>
          </w:tcPr>
          <w:p>
            <w:pPr>
              <w:pStyle w:val="TableContents"/>
              <w:rPr/>
            </w:pPr>
            <w:r>
              <w:rPr>
                <w:rStyle w:val="Strong"/>
              </w:rPr>
              <w:t>Diffusion</w:t>
            </w:r>
          </w:p>
        </w:tc>
        <w:tc>
          <w:tcPr>
            <w:tcW w:w="620" w:type="dxa"/>
            <w:tcBorders>
              <w:start w:val="single" w:sz="4" w:space="0" w:color="000000"/>
              <w:bottom w:val="single" w:sz="4" w:space="0" w:color="000000"/>
            </w:tcBorders>
            <w:vAlign w:val="center"/>
          </w:tcPr>
          <w:p>
            <w:pPr>
              <w:pStyle w:val="TableContents"/>
              <w:rPr/>
            </w:pPr>
            <w:r>
              <w:rPr/>
              <w:t>140x140</w:t>
            </w:r>
          </w:p>
        </w:tc>
        <w:tc>
          <w:tcPr>
            <w:tcW w:w="455" w:type="dxa"/>
            <w:tcBorders>
              <w:start w:val="single" w:sz="4" w:space="0" w:color="000000"/>
              <w:bottom w:val="single" w:sz="4" w:space="0" w:color="000000"/>
            </w:tcBorders>
            <w:vAlign w:val="center"/>
          </w:tcPr>
          <w:p>
            <w:pPr>
              <w:pStyle w:val="TableContents"/>
              <w:rPr/>
            </w:pPr>
            <w:r>
              <w:rPr/>
              <w:t>81</w:t>
            </w:r>
          </w:p>
        </w:tc>
        <w:tc>
          <w:tcPr>
            <w:tcW w:w="631" w:type="dxa"/>
            <w:tcBorders>
              <w:start w:val="single" w:sz="4" w:space="0" w:color="000000"/>
              <w:bottom w:val="single" w:sz="4" w:space="0" w:color="000000"/>
            </w:tcBorders>
            <w:vAlign w:val="center"/>
          </w:tcPr>
          <w:p>
            <w:pPr>
              <w:pStyle w:val="TableContents"/>
              <w:rPr/>
            </w:pPr>
            <w:r>
              <w:rPr/>
              <w:t>240x240</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1.7x1.7x1.7</w:t>
            </w:r>
          </w:p>
        </w:tc>
        <w:tc>
          <w:tcPr>
            <w:tcW w:w="569" w:type="dxa"/>
            <w:tcBorders>
              <w:start w:val="single" w:sz="4" w:space="0" w:color="000000"/>
              <w:bottom w:val="single" w:sz="4" w:space="0" w:color="000000"/>
            </w:tcBorders>
            <w:vAlign w:val="center"/>
          </w:tcPr>
          <w:p>
            <w:pPr>
              <w:pStyle w:val="TableContents"/>
              <w:rPr/>
            </w:pPr>
            <w:r>
              <w:rPr/>
              <w:t>4100</w:t>
            </w:r>
          </w:p>
        </w:tc>
        <w:tc>
          <w:tcPr>
            <w:tcW w:w="568" w:type="dxa"/>
            <w:tcBorders>
              <w:start w:val="single" w:sz="4" w:space="0" w:color="000000"/>
              <w:bottom w:val="single" w:sz="4" w:space="0" w:color="000000"/>
            </w:tcBorders>
            <w:vAlign w:val="center"/>
          </w:tcPr>
          <w:p>
            <w:pPr>
              <w:pStyle w:val="TableContents"/>
              <w:rPr/>
            </w:pPr>
            <w:r>
              <w:rPr/>
              <w:t>81.7</w:t>
            </w:r>
          </w:p>
        </w:tc>
        <w:tc>
          <w:tcPr>
            <w:tcW w:w="531" w:type="dxa"/>
            <w:tcBorders>
              <w:start w:val="single" w:sz="4" w:space="0" w:color="000000"/>
              <w:bottom w:val="single" w:sz="4" w:space="0" w:color="000000"/>
            </w:tcBorders>
            <w:vAlign w:val="center"/>
          </w:tcPr>
          <w:p>
            <w:pPr>
              <w:pStyle w:val="TableContents"/>
              <w:rPr/>
            </w:pPr>
            <w:r>
              <w:rPr/>
              <w:t>N/A</w:t>
            </w:r>
          </w:p>
        </w:tc>
        <w:tc>
          <w:tcPr>
            <w:tcW w:w="1010" w:type="dxa"/>
            <w:tcBorders>
              <w:start w:val="single" w:sz="4" w:space="0" w:color="000000"/>
              <w:bottom w:val="single" w:sz="4" w:space="0" w:color="000000"/>
            </w:tcBorders>
            <w:vAlign w:val="center"/>
          </w:tcPr>
          <w:p>
            <w:pPr>
              <w:pStyle w:val="TableContents"/>
              <w:rPr/>
            </w:pPr>
            <w:r>
              <w:rPr/>
              <w:t>90</w:t>
            </w:r>
          </w:p>
        </w:tc>
        <w:tc>
          <w:tcPr>
            <w:tcW w:w="1035" w:type="dxa"/>
            <w:tcBorders>
              <w:start w:val="single" w:sz="4" w:space="0" w:color="000000"/>
              <w:bottom w:val="single" w:sz="4" w:space="0" w:color="000000"/>
            </w:tcBorders>
            <w:vAlign w:val="center"/>
          </w:tcPr>
          <w:p>
            <w:pPr>
              <w:pStyle w:val="TableContents"/>
              <w:rPr/>
            </w:pPr>
            <w:r>
              <w:rPr/>
              <w:t>Off</w:t>
            </w:r>
          </w:p>
        </w:tc>
        <w:tc>
          <w:tcPr>
            <w:tcW w:w="1453" w:type="dxa"/>
            <w:tcBorders>
              <w:start w:val="single" w:sz="4" w:space="0" w:color="000000"/>
              <w:bottom w:val="single" w:sz="4" w:space="0" w:color="000000"/>
            </w:tcBorders>
            <w:vAlign w:val="center"/>
          </w:tcPr>
          <w:p>
            <w:pPr>
              <w:pStyle w:val="TableContents"/>
              <w:rPr/>
            </w:pPr>
            <w:r>
              <w:rPr/>
              <w:t>3</w:t>
            </w:r>
          </w:p>
        </w:tc>
        <w:tc>
          <w:tcPr>
            <w:tcW w:w="1547" w:type="dxa"/>
            <w:tcBorders>
              <w:start w:val="single" w:sz="4" w:space="0" w:color="000000"/>
              <w:bottom w:val="single" w:sz="4" w:space="0" w:color="000000"/>
              <w:end w:val="single" w:sz="4" w:space="0" w:color="000000"/>
            </w:tcBorders>
            <w:vAlign w:val="center"/>
          </w:tcPr>
          <w:p>
            <w:pPr>
              <w:pStyle w:val="TableContents"/>
              <w:rPr/>
            </w:pPr>
            <w:r>
              <w:rPr/>
              <w:t>5.5/8</w:t>
            </w:r>
          </w:p>
        </w:tc>
      </w:tr>
      <w:tr>
        <w:trPr/>
        <w:tc>
          <w:tcPr>
            <w:tcW w:w="724" w:type="dxa"/>
            <w:tcBorders>
              <w:start w:val="single" w:sz="4" w:space="0" w:color="000000"/>
              <w:bottom w:val="single" w:sz="4" w:space="0" w:color="000000"/>
            </w:tcBorders>
            <w:vAlign w:val="center"/>
          </w:tcPr>
          <w:p>
            <w:pPr>
              <w:pStyle w:val="TableContents"/>
              <w:rPr/>
            </w:pPr>
            <w:r>
              <w:rPr>
                <w:rStyle w:val="Strong"/>
              </w:rPr>
              <w:t>fMRI</w:t>
            </w:r>
          </w:p>
        </w:tc>
        <w:tc>
          <w:tcPr>
            <w:tcW w:w="620" w:type="dxa"/>
            <w:tcBorders>
              <w:start w:val="single" w:sz="4" w:space="0" w:color="000000"/>
              <w:bottom w:val="single" w:sz="4" w:space="0" w:color="000000"/>
            </w:tcBorders>
            <w:vAlign w:val="center"/>
          </w:tcPr>
          <w:p>
            <w:pPr>
              <w:pStyle w:val="TableContents"/>
              <w:rPr/>
            </w:pPr>
            <w:r>
              <w:rPr/>
              <w:t>90x90</w:t>
            </w:r>
          </w:p>
        </w:tc>
        <w:tc>
          <w:tcPr>
            <w:tcW w:w="455" w:type="dxa"/>
            <w:tcBorders>
              <w:start w:val="single" w:sz="4" w:space="0" w:color="000000"/>
              <w:bottom w:val="single" w:sz="4" w:space="0" w:color="000000"/>
            </w:tcBorders>
            <w:vAlign w:val="center"/>
          </w:tcPr>
          <w:p>
            <w:pPr>
              <w:pStyle w:val="TableContents"/>
              <w:rPr/>
            </w:pPr>
            <w:r>
              <w:rPr/>
              <w:t>60</w:t>
            </w:r>
          </w:p>
        </w:tc>
        <w:tc>
          <w:tcPr>
            <w:tcW w:w="631" w:type="dxa"/>
            <w:tcBorders>
              <w:start w:val="single" w:sz="4" w:space="0" w:color="000000"/>
              <w:bottom w:val="single" w:sz="4" w:space="0" w:color="000000"/>
            </w:tcBorders>
            <w:vAlign w:val="center"/>
          </w:tcPr>
          <w:p>
            <w:pPr>
              <w:pStyle w:val="TableContents"/>
              <w:rPr/>
            </w:pPr>
            <w:r>
              <w:rPr/>
              <w:t>216x216</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2.4x2.4x2.4</w:t>
            </w:r>
          </w:p>
        </w:tc>
        <w:tc>
          <w:tcPr>
            <w:tcW w:w="569" w:type="dxa"/>
            <w:tcBorders>
              <w:start w:val="single" w:sz="4" w:space="0" w:color="000000"/>
              <w:bottom w:val="single" w:sz="4" w:space="0" w:color="000000"/>
            </w:tcBorders>
            <w:vAlign w:val="center"/>
          </w:tcPr>
          <w:p>
            <w:pPr>
              <w:pStyle w:val="TableContents"/>
              <w:rPr/>
            </w:pPr>
            <w:r>
              <w:rPr/>
              <w:t>800</w:t>
            </w:r>
          </w:p>
        </w:tc>
        <w:tc>
          <w:tcPr>
            <w:tcW w:w="568" w:type="dxa"/>
            <w:tcBorders>
              <w:start w:val="single" w:sz="4" w:space="0" w:color="000000"/>
              <w:bottom w:val="single" w:sz="4" w:space="0" w:color="000000"/>
            </w:tcBorders>
            <w:vAlign w:val="center"/>
          </w:tcPr>
          <w:p>
            <w:pPr>
              <w:pStyle w:val="TableContents"/>
              <w:rPr/>
            </w:pPr>
            <w:r>
              <w:rPr/>
              <w:t>30</w:t>
            </w:r>
          </w:p>
        </w:tc>
        <w:tc>
          <w:tcPr>
            <w:tcW w:w="531" w:type="dxa"/>
            <w:tcBorders>
              <w:start w:val="single" w:sz="4" w:space="0" w:color="000000"/>
              <w:bottom w:val="single" w:sz="4" w:space="0" w:color="000000"/>
            </w:tcBorders>
            <w:vAlign w:val="center"/>
          </w:tcPr>
          <w:p>
            <w:pPr>
              <w:pStyle w:val="TableContents"/>
              <w:rPr/>
            </w:pPr>
            <w:r>
              <w:rPr/>
              <w:t>N/A</w:t>
            </w:r>
          </w:p>
        </w:tc>
        <w:tc>
          <w:tcPr>
            <w:tcW w:w="1010" w:type="dxa"/>
            <w:tcBorders>
              <w:start w:val="single" w:sz="4" w:space="0" w:color="000000"/>
              <w:bottom w:val="single" w:sz="4" w:space="0" w:color="000000"/>
            </w:tcBorders>
            <w:vAlign w:val="center"/>
          </w:tcPr>
          <w:p>
            <w:pPr>
              <w:pStyle w:val="TableContents"/>
              <w:rPr/>
            </w:pPr>
            <w:r>
              <w:rPr/>
              <w:t>52</w:t>
            </w:r>
          </w:p>
        </w:tc>
        <w:tc>
          <w:tcPr>
            <w:tcW w:w="1035" w:type="dxa"/>
            <w:tcBorders>
              <w:start w:val="single" w:sz="4" w:space="0" w:color="000000"/>
              <w:bottom w:val="single" w:sz="4" w:space="0" w:color="000000"/>
            </w:tcBorders>
            <w:vAlign w:val="center"/>
          </w:tcPr>
          <w:p>
            <w:pPr>
              <w:pStyle w:val="TableContents"/>
              <w:rPr/>
            </w:pPr>
            <w:r>
              <w:rPr/>
              <w:t>Off</w:t>
            </w:r>
          </w:p>
        </w:tc>
        <w:tc>
          <w:tcPr>
            <w:tcW w:w="1453" w:type="dxa"/>
            <w:tcBorders>
              <w:start w:val="single" w:sz="4" w:space="0" w:color="000000"/>
              <w:bottom w:val="single" w:sz="4" w:space="0" w:color="000000"/>
            </w:tcBorders>
            <w:vAlign w:val="center"/>
          </w:tcPr>
          <w:p>
            <w:pPr>
              <w:pStyle w:val="TableContents"/>
              <w:rPr/>
            </w:pPr>
            <w:r>
              <w:rPr/>
              <w:t>6</w:t>
            </w:r>
          </w:p>
        </w:tc>
        <w:tc>
          <w:tcPr>
            <w:tcW w:w="1547" w:type="dxa"/>
            <w:tcBorders>
              <w:start w:val="single" w:sz="4" w:space="0" w:color="000000"/>
              <w:bottom w:val="single" w:sz="4" w:space="0" w:color="000000"/>
              <w:end w:val="single" w:sz="4" w:space="0" w:color="000000"/>
            </w:tcBorders>
            <w:vAlign w:val="center"/>
          </w:tcPr>
          <w:p>
            <w:pPr>
              <w:pStyle w:val="TableContents"/>
              <w:rPr/>
            </w:pPr>
            <w:r>
              <w:rPr/>
              <w:t>Off</w:t>
            </w:r>
          </w:p>
        </w:tc>
      </w:tr>
    </w:tbl>
    <w:p>
      <w:pPr>
        <w:pStyle w:val="Normal"/>
        <w:rPr>
          <w:sz w:val="14"/>
          <w:szCs w:val="14"/>
        </w:rPr>
      </w:pPr>
      <w:r>
        <w:rPr>
          <w:sz w:val="14"/>
          <w:szCs w:val="14"/>
        </w:rPr>
      </w:r>
    </w:p>
    <w:p>
      <w:pPr>
        <w:pStyle w:val="Normal"/>
        <w:rPr>
          <w:sz w:val="20"/>
          <w:szCs w:val="20"/>
        </w:rPr>
      </w:pPr>
      <w:r>
        <w:rPr>
          <w:sz w:val="20"/>
          <w:szCs w:val="20"/>
        </w:rPr>
      </w:r>
    </w:p>
    <w:p>
      <w:pPr>
        <w:pStyle w:val="Normal"/>
        <w:rPr>
          <w:i/>
          <w:iCs/>
          <w:sz w:val="20"/>
          <w:szCs w:val="20"/>
        </w:rPr>
      </w:pPr>
      <w:r>
        <w:rPr>
          <w:i/>
          <w:iCs/>
          <w:sz w:val="20"/>
          <w:szCs w:val="20"/>
        </w:rPr>
        <w:t>Diffusion Weight Imaging (all platforms)</w:t>
      </w:r>
    </w:p>
    <w:p>
      <w:pPr>
        <w:pStyle w:val="Normal"/>
        <w:rPr>
          <w:sz w:val="20"/>
          <w:szCs w:val="20"/>
        </w:rPr>
      </w:pPr>
      <w:r>
        <w:rPr>
          <w:sz w:val="20"/>
          <w:szCs w:val="20"/>
        </w:rPr>
      </w:r>
    </w:p>
    <w:p>
      <w:pPr>
        <w:pStyle w:val="Normal"/>
        <w:rPr>
          <w:sz w:val="18"/>
          <w:szCs w:val="18"/>
        </w:rPr>
      </w:pPr>
      <w:r>
        <w:rPr>
          <w:sz w:val="18"/>
          <w:szCs w:val="18"/>
        </w:rPr>
        <w:t>Diffusion directions: 96</w:t>
      </w:r>
    </w:p>
    <w:p>
      <w:pPr>
        <w:pStyle w:val="Normal"/>
        <w:rPr>
          <w:sz w:val="18"/>
          <w:szCs w:val="18"/>
        </w:rPr>
      </w:pPr>
      <w:r>
        <w:rPr>
          <w:sz w:val="18"/>
          <w:szCs w:val="18"/>
        </w:rPr>
        <w:t>b-values: 500 (6-dirs) 1000 (15-dirs) 2000 (15-dirs) 3000 (60-dirs)</w:t>
      </w:r>
    </w:p>
    <w:sectPr>
      <w:headerReference w:type="even" r:id="rId30"/>
      <w:headerReference w:type="default" r:id="rId31"/>
      <w:headerReference w:type="first" r:id="rId32"/>
      <w:footnotePr>
        <w:numFmt w:val="decimal"/>
      </w:footnote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onsolas">
    <w:charset w:val="00" w:characterSet="windows-1252"/>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 w:name="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spacing w:lineRule="auto" w:line="276" w:before="86" w:after="58"/>
        <w:rPr/>
      </w:pPr>
      <w:r>
        <w:rPr>
          <w:rStyle w:val="FootnoteCharacters"/>
        </w:rPr>
        <w:footnoteRef/>
      </w:r>
      <w:r>
        <w:rPr/>
        <w:t xml:space="preserve"> </w:t>
      </w:r>
      <w:r>
        <w:rPr/>
        <w:t>https://abcdstudy.org/wp-content/uploads/2021/05/ABCD_Website_MRI_Acq.pdf</w:t>
      </w:r>
    </w:p>
  </w:footnote>
  <w:footnote w:id="3">
    <w:p>
      <w:pPr>
        <w:pStyle w:val="FootnoteText"/>
        <w:rPr/>
      </w:pPr>
      <w:r>
        <w:rPr>
          <w:rStyle w:val="FootnoteCharacters"/>
        </w:rPr>
        <w:footnoteRef/>
      </w:r>
      <w:r>
        <w:rPr/>
        <w:tab/>
        <w:t xml:space="preserve">See “Site Specific Information”, </w:t>
      </w:r>
      <w:hyperlink r:id="rId1">
        <w:r>
          <w:rPr>
            <w:rStyle w:val="Hyperlink"/>
          </w:rPr>
          <w:t>https://a2cps.atlassian.net/wiki/spaces/DOC/pages/5406782/Site+Specific+Information</w:t>
        </w:r>
      </w:hyperlink>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sz w:val="20"/>
        <w:szCs w:val="20"/>
      </w:rPr>
    </w:pPr>
    <w:r>
      <w:rPr>
        <w:i/>
        <w:iCs/>
        <w:sz w:val="20"/>
        <w:szCs w:val="20"/>
      </w:rPr>
      <w:t>Updated 14-Jan-2026</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sz w:val="20"/>
        <w:szCs w:val="20"/>
      </w:rPr>
    </w:pPr>
    <w:r>
      <w:rPr>
        <w:i/>
        <w:iCs/>
        <w:sz w:val="20"/>
        <w:szCs w:val="20"/>
      </w:rPr>
      <w:t>Updated 14-Jan-2026</w: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sz w:val="20"/>
        <w:szCs w:val="20"/>
      </w:rPr>
    </w:pPr>
    <w:r>
      <w:rPr>
        <w:i/>
        <w:iCs/>
        <w:sz w:val="20"/>
        <w:szCs w:val="20"/>
      </w:rPr>
      <w:t>Updated 9-Jan-2026</w:t>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sz w:val="20"/>
        <w:szCs w:val="20"/>
      </w:rPr>
    </w:pPr>
    <w:r>
      <w:rPr>
        <w:i/>
        <w:iCs/>
        <w:sz w:val="20"/>
        <w:szCs w:val="20"/>
      </w:rPr>
      <w:t>Updated 9-Jan-2026</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956"/>
        </w:tabs>
        <w:ind w:start="956" w:hanging="360"/>
      </w:pPr>
      <w:rPr>
        <w:rFonts w:ascii="Symbol" w:hAnsi="Symbol" w:cs="Symbol" w:hint="default"/>
      </w:rPr>
    </w:lvl>
    <w:lvl w:ilvl="1">
      <w:start w:val="1"/>
      <w:numFmt w:val="bullet"/>
      <w:lvlText w:val="◦"/>
      <w:lvlJc w:val="start"/>
      <w:pPr>
        <w:tabs>
          <w:tab w:val="num" w:pos="1316"/>
        </w:tabs>
        <w:ind w:start="1316" w:hanging="360"/>
      </w:pPr>
      <w:rPr>
        <w:rFonts w:ascii="OpenSymbol" w:hAnsi="OpenSymbol" w:cs="OpenSymbol" w:hint="default"/>
      </w:rPr>
    </w:lvl>
    <w:lvl w:ilvl="2">
      <w:start w:val="1"/>
      <w:numFmt w:val="bullet"/>
      <w:lvlText w:val="▪"/>
      <w:lvlJc w:val="start"/>
      <w:pPr>
        <w:tabs>
          <w:tab w:val="num" w:pos="1676"/>
        </w:tabs>
        <w:ind w:start="1676" w:hanging="360"/>
      </w:pPr>
      <w:rPr>
        <w:rFonts w:ascii="OpenSymbol" w:hAnsi="OpenSymbol" w:cs="OpenSymbol" w:hint="default"/>
      </w:rPr>
    </w:lvl>
    <w:lvl w:ilvl="3">
      <w:start w:val="1"/>
      <w:numFmt w:val="bullet"/>
      <w:lvlText w:val=""/>
      <w:lvlJc w:val="start"/>
      <w:pPr>
        <w:tabs>
          <w:tab w:val="num" w:pos="2036"/>
        </w:tabs>
        <w:ind w:start="2036" w:hanging="360"/>
      </w:pPr>
      <w:rPr>
        <w:rFonts w:ascii="Symbol" w:hAnsi="Symbol" w:cs="Symbol" w:hint="default"/>
      </w:rPr>
    </w:lvl>
    <w:lvl w:ilvl="4">
      <w:start w:val="1"/>
      <w:numFmt w:val="bullet"/>
      <w:lvlText w:val="◦"/>
      <w:lvlJc w:val="start"/>
      <w:pPr>
        <w:tabs>
          <w:tab w:val="num" w:pos="2396"/>
        </w:tabs>
        <w:ind w:start="2396" w:hanging="360"/>
      </w:pPr>
      <w:rPr>
        <w:rFonts w:ascii="OpenSymbol" w:hAnsi="OpenSymbol" w:cs="OpenSymbol" w:hint="default"/>
      </w:rPr>
    </w:lvl>
    <w:lvl w:ilvl="5">
      <w:start w:val="1"/>
      <w:numFmt w:val="bullet"/>
      <w:lvlText w:val="▪"/>
      <w:lvlJc w:val="start"/>
      <w:pPr>
        <w:tabs>
          <w:tab w:val="num" w:pos="2756"/>
        </w:tabs>
        <w:ind w:start="2756" w:hanging="360"/>
      </w:pPr>
      <w:rPr>
        <w:rFonts w:ascii="OpenSymbol" w:hAnsi="OpenSymbol" w:cs="OpenSymbol" w:hint="default"/>
      </w:rPr>
    </w:lvl>
    <w:lvl w:ilvl="6">
      <w:start w:val="1"/>
      <w:numFmt w:val="bullet"/>
      <w:lvlText w:val=""/>
      <w:lvlJc w:val="start"/>
      <w:pPr>
        <w:tabs>
          <w:tab w:val="num" w:pos="3116"/>
        </w:tabs>
        <w:ind w:start="3116" w:hanging="360"/>
      </w:pPr>
      <w:rPr>
        <w:rFonts w:ascii="Symbol" w:hAnsi="Symbol" w:cs="Symbol" w:hint="default"/>
      </w:rPr>
    </w:lvl>
    <w:lvl w:ilvl="7">
      <w:start w:val="1"/>
      <w:numFmt w:val="bullet"/>
      <w:lvlText w:val="◦"/>
      <w:lvlJc w:val="start"/>
      <w:pPr>
        <w:tabs>
          <w:tab w:val="num" w:pos="3476"/>
        </w:tabs>
        <w:ind w:start="3476" w:hanging="360"/>
      </w:pPr>
      <w:rPr>
        <w:rFonts w:ascii="OpenSymbol" w:hAnsi="OpenSymbol" w:cs="OpenSymbol" w:hint="default"/>
      </w:rPr>
    </w:lvl>
    <w:lvl w:ilvl="8">
      <w:start w:val="1"/>
      <w:numFmt w:val="bullet"/>
      <w:lvlText w:val="▪"/>
      <w:lvlJc w:val="start"/>
      <w:pPr>
        <w:tabs>
          <w:tab w:val="num" w:pos="3836"/>
        </w:tabs>
        <w:ind w:start="3836"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11">
    <w:lvl w:ilvl="0">
      <w:start w:val="1"/>
      <w:numFmt w:val="bullet"/>
      <w:lvlText w:val=""/>
      <w:lvlJc w:val="start"/>
      <w:pPr>
        <w:tabs>
          <w:tab w:val="num" w:pos="956"/>
        </w:tabs>
        <w:ind w:start="956" w:hanging="360"/>
      </w:pPr>
      <w:rPr>
        <w:rFonts w:ascii="Symbol" w:hAnsi="Symbol" w:cs="Symbol" w:hint="default"/>
      </w:rPr>
    </w:lvl>
    <w:lvl w:ilvl="1">
      <w:start w:val="1"/>
      <w:numFmt w:val="bullet"/>
      <w:lvlText w:val="◦"/>
      <w:lvlJc w:val="start"/>
      <w:pPr>
        <w:tabs>
          <w:tab w:val="num" w:pos="1316"/>
        </w:tabs>
        <w:ind w:start="1316" w:hanging="360"/>
      </w:pPr>
      <w:rPr>
        <w:rFonts w:ascii="OpenSymbol" w:hAnsi="OpenSymbol" w:cs="OpenSymbol" w:hint="default"/>
      </w:rPr>
    </w:lvl>
    <w:lvl w:ilvl="2">
      <w:start w:val="1"/>
      <w:numFmt w:val="bullet"/>
      <w:lvlText w:val="▪"/>
      <w:lvlJc w:val="start"/>
      <w:pPr>
        <w:tabs>
          <w:tab w:val="num" w:pos="1676"/>
        </w:tabs>
        <w:ind w:start="1676" w:hanging="360"/>
      </w:pPr>
      <w:rPr>
        <w:rFonts w:ascii="OpenSymbol" w:hAnsi="OpenSymbol" w:cs="OpenSymbol" w:hint="default"/>
      </w:rPr>
    </w:lvl>
    <w:lvl w:ilvl="3">
      <w:start w:val="1"/>
      <w:numFmt w:val="bullet"/>
      <w:lvlText w:val=""/>
      <w:lvlJc w:val="start"/>
      <w:pPr>
        <w:tabs>
          <w:tab w:val="num" w:pos="2036"/>
        </w:tabs>
        <w:ind w:start="2036" w:hanging="360"/>
      </w:pPr>
      <w:rPr>
        <w:rFonts w:ascii="Symbol" w:hAnsi="Symbol" w:cs="Symbol" w:hint="default"/>
      </w:rPr>
    </w:lvl>
    <w:lvl w:ilvl="4">
      <w:start w:val="1"/>
      <w:numFmt w:val="bullet"/>
      <w:lvlText w:val="◦"/>
      <w:lvlJc w:val="start"/>
      <w:pPr>
        <w:tabs>
          <w:tab w:val="num" w:pos="2396"/>
        </w:tabs>
        <w:ind w:start="2396" w:hanging="360"/>
      </w:pPr>
      <w:rPr>
        <w:rFonts w:ascii="OpenSymbol" w:hAnsi="OpenSymbol" w:cs="OpenSymbol" w:hint="default"/>
      </w:rPr>
    </w:lvl>
    <w:lvl w:ilvl="5">
      <w:start w:val="1"/>
      <w:numFmt w:val="bullet"/>
      <w:lvlText w:val="▪"/>
      <w:lvlJc w:val="start"/>
      <w:pPr>
        <w:tabs>
          <w:tab w:val="num" w:pos="2756"/>
        </w:tabs>
        <w:ind w:start="2756" w:hanging="360"/>
      </w:pPr>
      <w:rPr>
        <w:rFonts w:ascii="OpenSymbol" w:hAnsi="OpenSymbol" w:cs="OpenSymbol" w:hint="default"/>
      </w:rPr>
    </w:lvl>
    <w:lvl w:ilvl="6">
      <w:start w:val="1"/>
      <w:numFmt w:val="bullet"/>
      <w:lvlText w:val=""/>
      <w:lvlJc w:val="start"/>
      <w:pPr>
        <w:tabs>
          <w:tab w:val="num" w:pos="3116"/>
        </w:tabs>
        <w:ind w:start="3116" w:hanging="360"/>
      </w:pPr>
      <w:rPr>
        <w:rFonts w:ascii="Symbol" w:hAnsi="Symbol" w:cs="Symbol" w:hint="default"/>
      </w:rPr>
    </w:lvl>
    <w:lvl w:ilvl="7">
      <w:start w:val="1"/>
      <w:numFmt w:val="bullet"/>
      <w:lvlText w:val="◦"/>
      <w:lvlJc w:val="start"/>
      <w:pPr>
        <w:tabs>
          <w:tab w:val="num" w:pos="3476"/>
        </w:tabs>
        <w:ind w:start="3476" w:hanging="360"/>
      </w:pPr>
      <w:rPr>
        <w:rFonts w:ascii="OpenSymbol" w:hAnsi="OpenSymbol" w:cs="OpenSymbol" w:hint="default"/>
      </w:rPr>
    </w:lvl>
    <w:lvl w:ilvl="8">
      <w:start w:val="1"/>
      <w:numFmt w:val="bullet"/>
      <w:lvlText w:val="▪"/>
      <w:lvlJc w:val="start"/>
      <w:pPr>
        <w:tabs>
          <w:tab w:val="num" w:pos="3836"/>
        </w:tabs>
        <w:ind w:start="3836"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72"/>
  <w:defaultTabStop w:val="11340"/>
  <w:autoHyphenation w:val="true"/>
  <w:hyphenationZone w:val="36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2cd2"/>
    <w:pPr>
      <w:widowControl/>
      <w:suppressAutoHyphens w:val="true"/>
      <w:bidi w:val="0"/>
      <w:spacing w:before="0" w:after="0"/>
      <w:jc w:val="start"/>
    </w:pPr>
    <w:rPr>
      <w:rFonts w:ascii="Arial" w:hAnsi="Arial" w:eastAsia="NSimSun" w:cs="Lucida Sans" w:asciiTheme="minorHAnsi" w:hAnsiTheme="minorHAnsi"/>
      <w:color w:val="auto"/>
      <w:kern w:val="2"/>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after="120"/>
      <w:outlineLvl w:val="2"/>
    </w:pPr>
    <w:rPr>
      <w:b/>
      <w:bCs/>
    </w:rPr>
  </w:style>
  <w:style w:type="character" w:styleId="DefaultParagraphFont" w:default="1">
    <w:name w:val="Default Paragraph Font"/>
    <w:uiPriority w:val="1"/>
    <w:unhideWhenUsed/>
    <w:qFormat/>
    <w:rPr/>
  </w:style>
  <w:style w:type="character" w:styleId="Emphasis">
    <w:name w:val="Emphasis"/>
    <w:qFormat/>
    <w:rPr>
      <w:i/>
      <w:iCs/>
    </w:rPr>
  </w:style>
  <w:style w:type="character" w:styleId="Hyperlink">
    <w:name w:val="Hyperlink"/>
    <w:uiPriority w:val="99"/>
    <w:rPr>
      <w:color w:val="000080"/>
      <w:u w:val="single"/>
    </w:rPr>
  </w:style>
  <w:style w:type="character" w:styleId="Bullets" w:customStyle="1">
    <w:name w:val="Bullets"/>
    <w:qFormat/>
    <w:rsid w:val="00ba5795"/>
    <w:rPr/>
  </w:style>
  <w:style w:type="character" w:styleId="Strong">
    <w:name w:val="Strong"/>
    <w:qFormat/>
    <w:rPr>
      <w:b/>
      <w:bCs/>
    </w:rPr>
  </w:style>
  <w:style w:type="character" w:styleId="NumberingSymbols" w:customStyle="1">
    <w:name w:val="Numbering Symbols"/>
    <w:qFormat/>
    <w:rPr/>
  </w:style>
  <w:style w:type="character" w:styleId="FootnoteCharacters" w:customStyle="1">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c34de7"/>
    <w:rPr>
      <w:color w:val="605E5C"/>
      <w:shd w:fill="E1DFDD" w:val="clear"/>
    </w:rPr>
  </w:style>
  <w:style w:type="character" w:styleId="FollowedHyperlink">
    <w:name w:val="FollowedHyperlink"/>
    <w:basedOn w:val="DefaultParagraphFont"/>
    <w:uiPriority w:val="99"/>
    <w:semiHidden/>
    <w:unhideWhenUsed/>
    <w:rsid w:val="00382220"/>
    <w:rPr>
      <w:color w:themeColor="followedHyperlink" w:val="551A8B"/>
      <w:u w:val="single"/>
    </w:rPr>
  </w:style>
  <w:style w:type="character" w:styleId="LineNumber">
    <w:name w:val="line number"/>
    <w:rPr/>
  </w:style>
  <w:style w:type="character" w:styleId="BodyTextChar" w:customStyle="1">
    <w:name w:val="Body Text Char"/>
    <w:basedOn w:val="DefaultParagraphFont"/>
    <w:qFormat/>
    <w:rsid w:val="00164afc"/>
    <w:rPr/>
  </w:style>
  <w:style w:type="character" w:styleId="HeaderChar" w:customStyle="1">
    <w:name w:val="Header Char"/>
    <w:basedOn w:val="DefaultParagraphFont"/>
    <w:link w:val="Header"/>
    <w:uiPriority w:val="99"/>
    <w:qFormat/>
    <w:rsid w:val="00727ec7"/>
    <w:rPr>
      <w:rFonts w:cs="Mangal"/>
      <w:szCs w:val="21"/>
    </w:rPr>
  </w:style>
  <w:style w:type="character" w:styleId="FooterChar" w:customStyle="1">
    <w:name w:val="Footer Char"/>
    <w:basedOn w:val="DefaultParagraphFont"/>
    <w:link w:val="Footer"/>
    <w:uiPriority w:val="99"/>
    <w:qFormat/>
    <w:rsid w:val="00727ec7"/>
    <w:rPr>
      <w:rFonts w:cs="Mangal"/>
      <w:szCs w:val="21"/>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link w:val="BodyTextChar"/>
    <w:pPr>
      <w:spacing w:lineRule="auto" w:line="276" w:before="86" w:after="58"/>
    </w:pPr>
    <w:rPr/>
  </w:style>
  <w:style w:type="paragraph" w:styleId="List">
    <w:name w:val="List"/>
    <w:basedOn w:val="BodyText"/>
    <w:pPr/>
    <w:rPr/>
  </w:style>
  <w:style w:type="paragraph" w:styleId="Caption">
    <w:name w:val="caption"/>
    <w:basedOn w:val="Normal"/>
    <w:qFormat/>
    <w:pPr>
      <w:keepNext w:val="true"/>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Heading"/>
    <w:next w:val="BodyText"/>
    <w:uiPriority w:val="10"/>
    <w:qFormat/>
    <w:pPr>
      <w:jc w:val="center"/>
    </w:pPr>
    <w:rPr>
      <w:b/>
      <w:bCs/>
      <w:sz w:val="56"/>
      <w:szCs w:val="56"/>
    </w:rPr>
  </w:style>
  <w:style w:type="paragraph" w:styleId="TableContents" w:customStyle="1">
    <w:name w:val="Table Contents"/>
    <w:basedOn w:val="Normal"/>
    <w:qFormat/>
    <w:pPr>
      <w:widowControl w:val="false"/>
      <w:suppressLineNumbers/>
    </w:pPr>
    <w:rPr>
      <w:sz w:val="14"/>
      <w:szCs w:val="14"/>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cs="Liberation Mono"/>
      <w:sz w:val="20"/>
      <w:szCs w:val="20"/>
    </w:rPr>
  </w:style>
  <w:style w:type="paragraph" w:styleId="HangingIndent" w:customStyle="1">
    <w:name w:val="Hanging Indent"/>
    <w:basedOn w:val="BodyText"/>
    <w:qFormat/>
    <w:pPr>
      <w:tabs>
        <w:tab w:val="clear" w:pos="11340"/>
        <w:tab w:val="left" w:pos="0" w:leader="none"/>
      </w:tabs>
      <w:ind w:hanging="283" w:start="567"/>
    </w:pPr>
    <w:rPr/>
  </w:style>
  <w:style w:type="paragraph" w:styleId="FootnoteText">
    <w:name w:val="footnote text"/>
    <w:basedOn w:val="Normal"/>
    <w:pPr>
      <w:suppressLineNumbers/>
      <w:ind w:hanging="340" w:start="340"/>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uiPriority w:val="39"/>
    <w:pPr>
      <w:tabs>
        <w:tab w:val="clear" w:pos="11340"/>
        <w:tab w:val="right" w:pos="9972" w:leader="dot"/>
      </w:tabs>
    </w:pPr>
    <w:rPr/>
  </w:style>
  <w:style w:type="paragraph" w:styleId="TOC2">
    <w:name w:val="toc 2"/>
    <w:basedOn w:val="Index"/>
    <w:uiPriority w:val="39"/>
    <w:pPr>
      <w:tabs>
        <w:tab w:val="clear" w:pos="11340"/>
        <w:tab w:val="right" w:pos="9689" w:leader="dot"/>
      </w:tabs>
      <w:ind w:start="283"/>
    </w:pPr>
    <w:rPr/>
  </w:style>
  <w:style w:type="paragraph" w:styleId="Revision">
    <w:name w:val="Revision"/>
    <w:uiPriority w:val="99"/>
    <w:semiHidden/>
    <w:qFormat/>
    <w:rsid w:val="00382220"/>
    <w:pPr>
      <w:widowControl/>
      <w:suppressAutoHyphens w:val="false"/>
      <w:bidi w:val="0"/>
      <w:spacing w:before="0" w:after="0"/>
      <w:jc w:val="start"/>
    </w:pPr>
    <w:rPr>
      <w:rFonts w:ascii="Liberation Serif" w:hAnsi="Liberation Serif" w:eastAsia="NSimSun" w:cs="Mangal"/>
      <w:color w:val="auto"/>
      <w:kern w:val="2"/>
      <w:sz w:val="24"/>
      <w:szCs w:val="21"/>
      <w:lang w:val="en-US" w:eastAsia="zh-CN" w:bidi="hi-IN"/>
    </w:rPr>
  </w:style>
  <w:style w:type="paragraph" w:styleId="ListParagraph">
    <w:name w:val="List Paragraph"/>
    <w:basedOn w:val="Normal"/>
    <w:uiPriority w:val="34"/>
    <w:qFormat/>
    <w:rsid w:val="002042e2"/>
    <w:pPr>
      <w:spacing w:before="0" w:after="0"/>
      <w:ind w:start="720"/>
      <w:contextualSpacing/>
    </w:pPr>
    <w:rPr>
      <w:rFonts w:cs="Mangal"/>
      <w:szCs w:val="21"/>
    </w:rPr>
  </w:style>
  <w:style w:type="paragraph" w:styleId="HeaderandFooter">
    <w:name w:val="Header and Footer"/>
    <w:basedOn w:val="Normal"/>
    <w:qFormat/>
    <w:pPr/>
    <w:rPr/>
  </w:style>
  <w:style w:type="paragraph" w:styleId="Header">
    <w:name w:val="header"/>
    <w:basedOn w:val="Normal"/>
    <w:link w:val="HeaderChar"/>
    <w:uiPriority w:val="99"/>
    <w:unhideWhenUsed/>
    <w:rsid w:val="00727ec7"/>
    <w:pPr>
      <w:tabs>
        <w:tab w:val="clear" w:pos="11340"/>
        <w:tab w:val="center" w:pos="4680" w:leader="none"/>
        <w:tab w:val="right" w:pos="9360" w:leader="none"/>
      </w:tabs>
    </w:pPr>
    <w:rPr>
      <w:rFonts w:cs="Mangal"/>
      <w:szCs w:val="21"/>
    </w:rPr>
  </w:style>
  <w:style w:type="paragraph" w:styleId="Footer">
    <w:name w:val="footer"/>
    <w:basedOn w:val="Normal"/>
    <w:link w:val="FooterChar"/>
    <w:uiPriority w:val="99"/>
    <w:unhideWhenUsed/>
    <w:rsid w:val="00727ec7"/>
    <w:pPr>
      <w:tabs>
        <w:tab w:val="clear" w:pos="11340"/>
        <w:tab w:val="center" w:pos="4680" w:leader="none"/>
        <w:tab w:val="right" w:pos="9360" w:leader="none"/>
      </w:tabs>
    </w:pPr>
    <w:rPr>
      <w:rFonts w:cs="Mangal"/>
      <w:szCs w:val="21"/>
    </w:rPr>
  </w:style>
  <w:style w:type="paragraph" w:styleId="text-start" w:customStyle="1">
    <w:name w:val="text-start"/>
    <w:basedOn w:val="Normal"/>
    <w:qFormat/>
    <w:rsid w:val="00f66c3e"/>
    <w:pPr>
      <w:suppressAutoHyphens w:val="false"/>
      <w:spacing w:beforeAutospacing="1" w:afterAutospacing="1"/>
    </w:pPr>
    <w:rPr>
      <w:rFonts w:ascii="Times New Roman" w:hAnsi="Times New Roman" w:eastAsia="Times New Roman" w:cs="Times New Roman"/>
      <w:kern w:val="0"/>
      <w:lang w:eastAsia="en-US" w:bidi="ar-SA"/>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Numbering123" w:customStyle="1">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2cps.org/researchers/accessing-our-data/" TargetMode="External"/><Relationship Id="rId3" Type="http://schemas.openxmlformats.org/officeDocument/2006/relationships/image" Target="media/image1.png"/><Relationship Id="rId4" Type="http://schemas.openxmlformats.org/officeDocument/2006/relationships/hyperlink" Target="https://a2cps.github.io/starterkits/ImagingCRF_data_quality_checks_and_reformat.html" TargetMode="External"/><Relationship Id="rId5" Type="http://schemas.openxmlformats.org/officeDocument/2006/relationships/hyperlink" Target="https://a2cps.github.io/starterkits/raw-mri.html" TargetMode="External"/><Relationship Id="rId6" Type="http://schemas.openxmlformats.org/officeDocument/2006/relationships/hyperlink" Target="https://a2cps.github.io/starterkits/brainager.html" TargetMode="External"/><Relationship Id="rId7" Type="http://schemas.openxmlformats.org/officeDocument/2006/relationships/hyperlink" Target="https://a2cps.github.io/starterkits/cat12.html" TargetMode="External"/><Relationship Id="rId8" Type="http://schemas.openxmlformats.org/officeDocument/2006/relationships/hyperlink" Target="https://a2cps.github.io/starterkits/fcn.html" TargetMode="External"/><Relationship Id="rId9" Type="http://schemas.openxmlformats.org/officeDocument/2006/relationships/hyperlink" Target="https://a2cps.github.io/starterkits/freesurfer.html" TargetMode="External"/><Relationship Id="rId10" Type="http://schemas.openxmlformats.org/officeDocument/2006/relationships/hyperlink" Target="https://a2cps.github.io/starterkits/neural-pain-signatures.html" TargetMode="External"/><Relationship Id="rId11" Type="http://schemas.openxmlformats.org/officeDocument/2006/relationships/hyperlink" Target="https://abcdstudy.org/images/Protocol_Imaging_Sequences.pdf" TargetMode="External"/><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hyperlink" Target="https://a2cps.atlassian.net/wiki/spaces/DOC/pages/5406735/Imaging+Log+-+Problem+Cases" TargetMode="External"/><Relationship Id="rId15" Type="http://schemas.openxmlformats.org/officeDocument/2006/relationships/hyperlink" Target="https://dx.doi.org/10.1002%2Fmrm.25897" TargetMode="External"/><Relationship Id="rId16" Type="http://schemas.openxmlformats.org/officeDocument/2006/relationships/hyperlink" Target="https://doi.org/10.1016/j.dcn.2018.03.001" TargetMode="External"/><Relationship Id="rId17" Type="http://schemas.openxmlformats.org/officeDocument/2006/relationships/hyperlink" Target="https://www.sciencedirect.com/science/article/pii/S1878929317301214" TargetMode="External"/><Relationship Id="rId18" Type="http://schemas.openxmlformats.org/officeDocument/2006/relationships/hyperlink" Target="https://doi.org/10.1016/j.neuroimage.2009.11.044" TargetMode="External"/><Relationship Id="rId19" Type="http://schemas.openxmlformats.org/officeDocument/2006/relationships/hyperlink" Target="https://www.ncbi.nlm.nih.gov/pmc/articles/PMC3429710/" TargetMode="External"/><Relationship Id="rId20" Type="http://schemas.openxmlformats.org/officeDocument/2006/relationships/hyperlink" Target="https://github.com/a2cps/DataFreeeze" TargetMode="External"/><Relationship Id="rId21" Type="http://schemas.openxmlformats.org/officeDocument/2006/relationships/hyperlink" Target="https://a2cps.atlassian.net/" TargetMode="External"/><Relationship Id="rId22" Type="http://schemas.openxmlformats.org/officeDocument/2006/relationships/hyperlink" Target="mailto:support@a2cps.org" TargetMode="External"/><Relationship Id="rId23" Type="http://schemas.openxmlformats.org/officeDocument/2006/relationships/hyperlink" Target="https://a2cps.github.io/starterkits/" TargetMode="External"/><Relationship Id="rId24" Type="http://schemas.openxmlformats.org/officeDocument/2006/relationships/hyperlink" Target="https://a2cps.atlassian.net/wiki/spaces/DAS/pages/5080604/How+do+I+get+added+to+the+A2CPS+Intranet" TargetMode="External"/><Relationship Id="rId25" Type="http://schemas.openxmlformats.org/officeDocument/2006/relationships/image" Target="media/image3.png"/><Relationship Id="rId26" Type="http://schemas.openxmlformats.org/officeDocument/2006/relationships/hyperlink" Target="mailto:a2cps-dirc-report-imaging@a2cps.org" TargetMode="Externa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a2cps.atlassian.net/wiki/spaces/DOC/pages/5406782/Site+Specific+Information" TargetMode="Externa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92854-6348-4848-9724-0579B0D4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Application>LibreOffice/25.8.4.2$Windows_X86_64 LibreOffice_project/290daaa01b999472f0c7a3890eb6a550fd74c6df</Application>
  <AppVersion>15.0000</AppVersion>
  <Pages>19</Pages>
  <Words>5755</Words>
  <Characters>31249</Characters>
  <CharactersWithSpaces>36626</CharactersWithSpaces>
  <Paragraphs>592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2023-06-12T07:39:10Z</dcterms:created>
  <dc:creator>James Ford</dc:creator>
  <dc:description/>
  <dc:language>en-US</dc:language>
  <cp:lastModifiedBy>James Ford</cp:lastModifiedBy>
  <cp:lastPrinted>2024-06-05T14:15:44Z</cp:lastPrinted>
  <dcterms:modified xsi:type="dcterms:W3CDTF">2026-01-16T14:03:18Z</dcterms:modified>
  <cp:revision>246</cp:revision>
  <dc:subject/>
  <dc:title/>
</cp:coreProperties>
</file>

<file path=docProps/custom.xml><?xml version="1.0" encoding="utf-8"?>
<Properties xmlns="http://schemas.openxmlformats.org/officeDocument/2006/custom-properties" xmlns:vt="http://schemas.openxmlformats.org/officeDocument/2006/docPropsVTypes"/>
</file>