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pPr>
      <w:r>
        <w:rPr/>
        <w:t>A2CPS Release 2.1 Notes - Imaging</w:t>
      </w:r>
    </w:p>
    <w:p>
      <w:pPr>
        <w:pStyle w:val="Heading1"/>
        <w:numPr>
          <w:ilvl w:val="0"/>
          <w:numId w:val="1"/>
        </w:numPr>
        <w:rPr/>
      </w:pPr>
      <w:bookmarkStart w:id="0" w:name="__RefHeading___Toc2873_70583006"/>
      <w:bookmarkStart w:id="1" w:name="_Toc200012167"/>
      <w:bookmarkEnd w:id="0"/>
      <w:r>
        <w:rPr/>
        <w:t>Key Changes in 2.1</w:t>
      </w:r>
      <w:bookmarkEnd w:id="1"/>
    </w:p>
    <w:p>
      <w:pPr>
        <w:pStyle w:val="BodyText"/>
        <w:numPr>
          <w:ilvl w:val="0"/>
          <w:numId w:val="7"/>
        </w:numPr>
        <w:jc w:val="start"/>
        <w:rPr/>
      </w:pPr>
      <w:r>
        <w:rPr/>
        <w:t xml:space="preserve">Additional processing products (see new </w:t>
      </w:r>
      <w:hyperlink w:anchor="__RefHeading___Toc2883_70583006">
        <w:r>
          <w:rPr>
            <w:rStyle w:val="Hyperlink"/>
          </w:rPr>
          <w:t>Release Contents</w:t>
        </w:r>
      </w:hyperlink>
      <w:r>
        <w:rPr/>
        <w:t xml:space="preserve"> section)</w:t>
      </w:r>
    </w:p>
    <w:p>
      <w:pPr>
        <w:pStyle w:val="BodyText"/>
        <w:numPr>
          <w:ilvl w:val="0"/>
          <w:numId w:val="7"/>
        </w:numPr>
        <w:rPr/>
      </w:pPr>
      <w:r>
        <w:rPr/>
        <w:t>Removal of the skull stripping applied to raw and derived images in Releases 1.x and 2.0</w:t>
      </w:r>
    </w:p>
    <w:sdt>
      <w:sdtPr>
        <w:docPartObj>
          <w:docPartGallery w:val="Table of Contents"/>
          <w:docPartUnique w:val="true"/>
        </w:docPartObj>
      </w:sdtPr>
      <w:sdtContent>
        <w:p>
          <w:pPr>
            <w:pStyle w:val="TOCHeading"/>
            <w:rPr/>
          </w:pPr>
          <w:r>
            <w:rPr/>
            <w:t>Table of Contents</w:t>
          </w:r>
        </w:p>
        <w:p>
          <w:pPr>
            <w:pStyle w:val="TOC1"/>
            <w:tabs>
              <w:tab w:val="clear" w:pos="9972"/>
              <w:tab w:val="right" w:pos="9971" w:leader="dot"/>
            </w:tabs>
            <w:rPr/>
          </w:pPr>
          <w:r>
            <w:fldChar w:fldCharType="begin"/>
          </w:r>
          <w:r>
            <w:rPr>
              <w:rStyle w:val="IndexLink"/>
            </w:rPr>
            <w:instrText xml:space="preserve"> TOC \f \o "1-2" \h</w:instrText>
          </w:r>
          <w:r>
            <w:rPr>
              <w:rStyle w:val="IndexLink"/>
            </w:rPr>
            <w:fldChar w:fldCharType="separate"/>
          </w:r>
          <w:hyperlink w:anchor="__RefHeading___Toc2873_70583006">
            <w:r>
              <w:rPr>
                <w:rStyle w:val="IndexLink"/>
              </w:rPr>
              <w:t>Key Changes in 2.1</w:t>
              <w:tab/>
              <w:t>1</w:t>
            </w:r>
          </w:hyperlink>
        </w:p>
        <w:p>
          <w:pPr>
            <w:pStyle w:val="TOC1"/>
            <w:tabs>
              <w:tab w:val="clear" w:pos="9972"/>
              <w:tab w:val="right" w:pos="9971" w:leader="dot"/>
            </w:tabs>
            <w:rPr/>
          </w:pPr>
          <w:hyperlink w:anchor="__RefHeading___Toc2875_70583006">
            <w:r>
              <w:rPr>
                <w:rStyle w:val="IndexLink"/>
              </w:rPr>
              <w:t>1. Summary of Imaging Data</w:t>
              <w:tab/>
              <w:t>2</w:t>
            </w:r>
          </w:hyperlink>
        </w:p>
        <w:p>
          <w:pPr>
            <w:pStyle w:val="TOC2"/>
            <w:tabs>
              <w:tab w:val="clear" w:pos="9689"/>
              <w:tab w:val="right" w:pos="9971" w:leader="dot"/>
            </w:tabs>
            <w:rPr/>
          </w:pPr>
          <w:hyperlink w:anchor="__RefHeading___Toc2877_70583006">
            <w:r>
              <w:rPr>
                <w:rStyle w:val="IndexLink"/>
              </w:rPr>
              <w:t>Data Collection</w:t>
              <w:tab/>
              <w:t>2</w:t>
            </w:r>
          </w:hyperlink>
        </w:p>
        <w:p>
          <w:pPr>
            <w:pStyle w:val="TOC2"/>
            <w:tabs>
              <w:tab w:val="clear" w:pos="9689"/>
              <w:tab w:val="right" w:pos="9971" w:leader="dot"/>
            </w:tabs>
            <w:rPr/>
          </w:pPr>
          <w:hyperlink w:anchor="__RefHeading___Toc2879_70583006">
            <w:r>
              <w:rPr>
                <w:rStyle w:val="IndexLink"/>
              </w:rPr>
              <w:t>Key points</w:t>
              <w:tab/>
              <w:t>2</w:t>
            </w:r>
          </w:hyperlink>
        </w:p>
        <w:p>
          <w:pPr>
            <w:pStyle w:val="TOC2"/>
            <w:tabs>
              <w:tab w:val="clear" w:pos="9689"/>
              <w:tab w:val="right" w:pos="9971" w:leader="dot"/>
            </w:tabs>
            <w:rPr/>
          </w:pPr>
          <w:hyperlink w:anchor="__RefHeading___Toc2881_70583006">
            <w:r>
              <w:rPr>
                <w:rStyle w:val="IndexLink"/>
              </w:rPr>
              <w:t>Data Derivatives</w:t>
              <w:tab/>
              <w:t>2</w:t>
            </w:r>
          </w:hyperlink>
        </w:p>
        <w:p>
          <w:pPr>
            <w:pStyle w:val="TOC2"/>
            <w:tabs>
              <w:tab w:val="clear" w:pos="9689"/>
              <w:tab w:val="right" w:pos="9971" w:leader="dot"/>
            </w:tabs>
            <w:rPr/>
          </w:pPr>
          <w:hyperlink w:anchor="__RefHeading___Toc2883_70583006">
            <w:r>
              <w:rPr>
                <w:rStyle w:val="IndexLink"/>
              </w:rPr>
              <w:t>Release Contents</w:t>
              <w:tab/>
              <w:t>3</w:t>
            </w:r>
          </w:hyperlink>
        </w:p>
        <w:p>
          <w:pPr>
            <w:pStyle w:val="TOC1"/>
            <w:tabs>
              <w:tab w:val="clear" w:pos="9972"/>
              <w:tab w:val="right" w:pos="9971" w:leader="dot"/>
            </w:tabs>
            <w:rPr/>
          </w:pPr>
          <w:hyperlink w:anchor="__RefHeading___Toc2885_70583006">
            <w:r>
              <w:rPr>
                <w:rStyle w:val="IndexLink"/>
              </w:rPr>
              <w:t>2. Summary of Site Information</w:t>
              <w:tab/>
              <w:t>4</w:t>
            </w:r>
          </w:hyperlink>
        </w:p>
        <w:p>
          <w:pPr>
            <w:pStyle w:val="TOC1"/>
            <w:tabs>
              <w:tab w:val="clear" w:pos="9972"/>
              <w:tab w:val="right" w:pos="9971" w:leader="dot"/>
            </w:tabs>
            <w:rPr/>
          </w:pPr>
          <w:hyperlink w:anchor="__RefHeading___Toc2887_70583006">
            <w:r>
              <w:rPr>
                <w:rStyle w:val="IndexLink"/>
              </w:rPr>
              <w:t>3. Assigned Quality Ratings</w:t>
              <w:tab/>
              <w:t>6</w:t>
            </w:r>
          </w:hyperlink>
        </w:p>
        <w:p>
          <w:pPr>
            <w:pStyle w:val="TOC1"/>
            <w:tabs>
              <w:tab w:val="clear" w:pos="9972"/>
              <w:tab w:val="right" w:pos="9971" w:leader="dot"/>
            </w:tabs>
            <w:rPr/>
          </w:pPr>
          <w:hyperlink w:anchor="__RefHeading___Toc2889_70583006">
            <w:r>
              <w:rPr>
                <w:rStyle w:val="IndexLink"/>
              </w:rPr>
              <w:t>4. fMRI Protocol Issues</w:t>
              <w:tab/>
              <w:t>6</w:t>
            </w:r>
          </w:hyperlink>
        </w:p>
        <w:p>
          <w:pPr>
            <w:pStyle w:val="TOC2"/>
            <w:tabs>
              <w:tab w:val="clear" w:pos="9689"/>
              <w:tab w:val="right" w:pos="9971" w:leader="dot"/>
            </w:tabs>
            <w:rPr/>
          </w:pPr>
          <w:hyperlink w:anchor="__RefHeading___Toc2891_70583006">
            <w:r>
              <w:rPr>
                <w:rStyle w:val="IndexLink"/>
              </w:rPr>
              <w:t>fMRI Slice Packets</w:t>
              <w:tab/>
              <w:t>6</w:t>
            </w:r>
          </w:hyperlink>
        </w:p>
        <w:p>
          <w:pPr>
            <w:pStyle w:val="TOC2"/>
            <w:tabs>
              <w:tab w:val="clear" w:pos="9689"/>
              <w:tab w:val="right" w:pos="9971" w:leader="dot"/>
            </w:tabs>
            <w:rPr/>
          </w:pPr>
          <w:hyperlink w:anchor="__RefHeading___Toc2893_70583006">
            <w:r>
              <w:rPr>
                <w:rStyle w:val="IndexLink"/>
              </w:rPr>
              <w:t>B0 Distortion Correction Scans</w:t>
              <w:tab/>
              <w:t>7</w:t>
            </w:r>
          </w:hyperlink>
        </w:p>
        <w:p>
          <w:pPr>
            <w:pStyle w:val="TOC1"/>
            <w:tabs>
              <w:tab w:val="clear" w:pos="9972"/>
              <w:tab w:val="right" w:pos="9971" w:leader="dot"/>
            </w:tabs>
            <w:rPr/>
          </w:pPr>
          <w:hyperlink w:anchor="__RefHeading___Toc2895_70583006">
            <w:r>
              <w:rPr>
                <w:rStyle w:val="IndexLink"/>
              </w:rPr>
              <w:t>5. DWI Protocol Issues</w:t>
              <w:tab/>
              <w:t>8</w:t>
            </w:r>
          </w:hyperlink>
        </w:p>
        <w:p>
          <w:pPr>
            <w:pStyle w:val="TOC2"/>
            <w:tabs>
              <w:tab w:val="clear" w:pos="9689"/>
              <w:tab w:val="right" w:pos="9971" w:leader="dot"/>
            </w:tabs>
            <w:rPr/>
          </w:pPr>
          <w:hyperlink w:anchor="__RefHeading___Toc2897_70583006">
            <w:r>
              <w:rPr>
                <w:rStyle w:val="IndexLink"/>
              </w:rPr>
              <w:t>DWI Protocol Variations</w:t>
              <w:tab/>
              <w:t>8</w:t>
            </w:r>
          </w:hyperlink>
        </w:p>
        <w:p>
          <w:pPr>
            <w:pStyle w:val="TOC2"/>
            <w:tabs>
              <w:tab w:val="clear" w:pos="9689"/>
              <w:tab w:val="right" w:pos="9971" w:leader="dot"/>
            </w:tabs>
            <w:rPr/>
          </w:pPr>
          <w:hyperlink w:anchor="__RefHeading___Toc2899_70583006">
            <w:r>
              <w:rPr>
                <w:rStyle w:val="IndexLink"/>
              </w:rPr>
              <w:t>GE Specific DICOM Problems</w:t>
              <w:tab/>
              <w:t>8</w:t>
            </w:r>
          </w:hyperlink>
        </w:p>
        <w:p>
          <w:pPr>
            <w:pStyle w:val="TOC1"/>
            <w:tabs>
              <w:tab w:val="clear" w:pos="9972"/>
              <w:tab w:val="right" w:pos="9971" w:leader="dot"/>
            </w:tabs>
            <w:rPr/>
          </w:pPr>
          <w:hyperlink w:anchor="__RefHeading___Toc2901_70583006">
            <w:r>
              <w:rPr>
                <w:rStyle w:val="IndexLink"/>
              </w:rPr>
              <w:t>6. T1W Protocol Issues</w:t>
              <w:tab/>
              <w:t>9</w:t>
            </w:r>
          </w:hyperlink>
        </w:p>
        <w:p>
          <w:pPr>
            <w:pStyle w:val="TOC1"/>
            <w:tabs>
              <w:tab w:val="clear" w:pos="9972"/>
              <w:tab w:val="right" w:pos="9971" w:leader="dot"/>
            </w:tabs>
            <w:rPr/>
          </w:pPr>
          <w:hyperlink w:anchor="__RefHeading___Toc2903_70583006">
            <w:r>
              <w:rPr>
                <w:rStyle w:val="IndexLink"/>
              </w:rPr>
              <w:t>7. Acquisition Issues</w:t>
              <w:tab/>
              <w:t>10</w:t>
            </w:r>
          </w:hyperlink>
        </w:p>
        <w:p>
          <w:pPr>
            <w:pStyle w:val="TOC1"/>
            <w:tabs>
              <w:tab w:val="clear" w:pos="9972"/>
              <w:tab w:val="right" w:pos="9971" w:leader="dot"/>
            </w:tabs>
            <w:rPr/>
          </w:pPr>
          <w:hyperlink w:anchor="__RefHeading___Toc2905_70583006">
            <w:r>
              <w:rPr>
                <w:rStyle w:val="IndexLink"/>
              </w:rPr>
              <w:t>8. Incomplete Scan Sessions</w:t>
              <w:tab/>
              <w:t>10</w:t>
            </w:r>
          </w:hyperlink>
        </w:p>
        <w:p>
          <w:pPr>
            <w:pStyle w:val="TOC1"/>
            <w:tabs>
              <w:tab w:val="clear" w:pos="9972"/>
              <w:tab w:val="right" w:pos="9971" w:leader="dot"/>
            </w:tabs>
            <w:rPr/>
          </w:pPr>
          <w:hyperlink w:anchor="__RefHeading___Toc2907_70583006">
            <w:r>
              <w:rPr>
                <w:rStyle w:val="IndexLink"/>
              </w:rPr>
              <w:t>9. Release Changes</w:t>
              <w:tab/>
              <w:t>11</w:t>
            </w:r>
          </w:hyperlink>
        </w:p>
        <w:p>
          <w:pPr>
            <w:pStyle w:val="TOC2"/>
            <w:tabs>
              <w:tab w:val="clear" w:pos="9689"/>
              <w:tab w:val="right" w:pos="9971" w:leader="dot"/>
            </w:tabs>
            <w:rPr/>
          </w:pPr>
          <w:hyperlink w:anchor="__RefHeading___Toc2909_70583006">
            <w:r>
              <w:rPr>
                <w:rStyle w:val="IndexLink"/>
              </w:rPr>
              <w:t>Release 2.1</w:t>
              <w:tab/>
              <w:t>11</w:t>
            </w:r>
          </w:hyperlink>
        </w:p>
        <w:p>
          <w:pPr>
            <w:pStyle w:val="TOC2"/>
            <w:tabs>
              <w:tab w:val="clear" w:pos="9689"/>
              <w:tab w:val="right" w:pos="9971" w:leader="dot"/>
            </w:tabs>
            <w:rPr/>
          </w:pPr>
          <w:hyperlink w:anchor="__RefHeading___Toc2911_70583006">
            <w:r>
              <w:rPr>
                <w:rStyle w:val="IndexLink"/>
              </w:rPr>
              <w:t>Release 2.0</w:t>
              <w:tab/>
              <w:t>11</w:t>
            </w:r>
          </w:hyperlink>
        </w:p>
        <w:p>
          <w:pPr>
            <w:pStyle w:val="TOC2"/>
            <w:tabs>
              <w:tab w:val="clear" w:pos="9689"/>
              <w:tab w:val="right" w:pos="9971" w:leader="dot"/>
            </w:tabs>
            <w:rPr/>
          </w:pPr>
          <w:hyperlink w:anchor="__RefHeading___Toc2913_70583006">
            <w:r>
              <w:rPr>
                <w:rStyle w:val="IndexLink"/>
              </w:rPr>
              <w:t>Release 1.1</w:t>
              <w:tab/>
              <w:t>12</w:t>
            </w:r>
          </w:hyperlink>
        </w:p>
        <w:p>
          <w:pPr>
            <w:pStyle w:val="TOC1"/>
            <w:tabs>
              <w:tab w:val="clear" w:pos="9972"/>
              <w:tab w:val="right" w:pos="9971" w:leader="dot"/>
            </w:tabs>
            <w:rPr/>
          </w:pPr>
          <w:hyperlink w:anchor="__RefHeading___Toc2915_70583006">
            <w:r>
              <w:rPr>
                <w:rStyle w:val="IndexLink"/>
              </w:rPr>
              <w:t>10. References</w:t>
              <w:tab/>
              <w:t>13</w:t>
            </w:r>
          </w:hyperlink>
        </w:p>
        <w:p>
          <w:pPr>
            <w:pStyle w:val="TOC1"/>
            <w:tabs>
              <w:tab w:val="clear" w:pos="9972"/>
              <w:tab w:val="right" w:pos="9971" w:leader="dot"/>
            </w:tabs>
            <w:rPr/>
          </w:pPr>
          <w:hyperlink w:anchor="__RefHeading___Toc2917_70583006">
            <w:r>
              <w:rPr>
                <w:rStyle w:val="IndexLink"/>
              </w:rPr>
              <w:t>11. Frequently Asked Questions (FAQ)</w:t>
              <w:tab/>
              <w:t>13</w:t>
            </w:r>
          </w:hyperlink>
          <w:r>
            <w:rPr>
              <w:rStyle w:val="IndexLink"/>
            </w:rPr>
            <w:fldChar w:fldCharType="end"/>
          </w:r>
        </w:p>
      </w:sdtContent>
    </w:sdt>
    <w:p>
      <w:pPr>
        <w:pStyle w:val="BodyText"/>
        <w:rPr/>
      </w:pPr>
      <w:r>
        <w:rPr/>
        <w:t>This release is an </w:t>
      </w:r>
      <w:r>
        <w:rPr>
          <w:i/>
          <w:iCs/>
        </w:rPr>
        <w:t>A2CPS Consortium Internal Release</w:t>
      </w:r>
      <w:r>
        <w:rPr/>
        <w:t xml:space="preserve">. For public releases of this dataset, refer to NIH NDA project 5121 (see </w:t>
      </w:r>
      <w:hyperlink r:id="rId2">
        <w:r>
          <w:rPr>
            <w:rStyle w:val="Hyperlink"/>
          </w:rPr>
          <w:t>https://a2cps.org/researchers/accessing-our-data/</w:t>
        </w:r>
      </w:hyperlink>
      <w:r>
        <w:rPr/>
        <w:t>).</w:t>
      </w:r>
    </w:p>
    <w:p>
      <w:pPr>
        <w:pStyle w:val="BodyText"/>
        <w:rPr/>
      </w:pPr>
      <w:r>
        <w:rPr/>
        <w:t>This document provides background and commentary on the release, and is an interim product bundled with internal releases. The final destination for the information herein is the A2CPS “For Researchers” web page (apart from consortium specific notes, e.g. related to Confluence).</w:t>
      </w:r>
    </w:p>
    <w:p>
      <w:pPr>
        <w:pStyle w:val="Heading1"/>
        <w:numPr>
          <w:ilvl w:val="0"/>
          <w:numId w:val="1"/>
        </w:numPr>
        <w:rPr/>
      </w:pPr>
      <w:bookmarkStart w:id="2" w:name="__RefHeading___Toc2875_70583006"/>
      <w:bookmarkStart w:id="3" w:name="_Toc200012168"/>
      <w:bookmarkEnd w:id="2"/>
      <w:r>
        <w:rPr/>
        <w:t>1. Summary of Imaging Data</w:t>
      </w:r>
      <w:bookmarkEnd w:id="3"/>
      <w:r>
        <w:rPr/>
        <w:t xml:space="preserve"> </w:t>
      </w:r>
    </w:p>
    <w:p>
      <w:pPr>
        <w:pStyle w:val="Heading2"/>
        <w:numPr>
          <w:ilvl w:val="1"/>
          <w:numId w:val="1"/>
        </w:numPr>
        <w:rPr/>
      </w:pPr>
      <w:bookmarkStart w:id="4" w:name="__RefHeading___Toc2877_70583006"/>
      <w:bookmarkStart w:id="5" w:name="_Toc200012169"/>
      <w:bookmarkEnd w:id="4"/>
      <w:r>
        <w:rPr/>
        <w:t>Data Collection</w:t>
      </w:r>
      <w:bookmarkEnd w:id="5"/>
    </w:p>
    <w:p>
      <w:pPr>
        <w:pStyle w:val="BodyText"/>
        <w:rPr/>
      </w:pPr>
      <w:r>
        <w:rPr/>
        <w:t>MRI scans were collected prior to a surgery (knee or thoracic) and, in roughly half of all cases, again 3 months post surgery. In Releases 1 and 2, only pre-surgery scan data is included.</w:t>
      </w:r>
    </w:p>
    <w:p>
      <w:pPr>
        <w:pStyle w:val="BodyText"/>
        <w:rPr/>
      </w:pPr>
      <w:r>
        <w:rPr/>
        <w:t>The scan protocol consists of T1-weighted (1), diffusion weighted (1), and fMRI (4) scans, with susceptibility distortion correction B0 images also acquired. A schematic of the acquisition is shown in Figure 1.</w:t>
      </w:r>
    </w:p>
    <w:p>
      <w:pPr>
        <w:pStyle w:val="Caption"/>
        <w:rPr/>
      </w:pPr>
      <w:r>
        <w:rPr/>
        <w:drawing>
          <wp:inline distT="0" distB="0" distL="0" distR="0">
            <wp:extent cx="6332220" cy="2038350"/>
            <wp:effectExtent l="0" t="0" r="0" b="0"/>
            <wp:docPr id="1"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descr="" title=""/>
                    <pic:cNvPicPr>
                      <a:picLocks noChangeAspect="1" noChangeArrowheads="1"/>
                    </pic:cNvPicPr>
                  </pic:nvPicPr>
                  <pic:blipFill>
                    <a:blip r:embed="rId3"/>
                    <a:srcRect l="0" t="7436" r="0" b="40187"/>
                    <a:stretch>
                      <a:fillRect/>
                    </a:stretch>
                  </pic:blipFill>
                  <pic:spPr bwMode="auto">
                    <a:xfrm>
                      <a:off x="0" y="0"/>
                      <a:ext cx="6332220" cy="2038350"/>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1</w:t>
      </w:r>
      <w:r>
        <w:rPr/>
        <w:fldChar w:fldCharType="end"/>
      </w:r>
      <w:r>
        <w:rPr/>
        <w:t>: A2CPS scan session layout. The short names of the scans are T1, DWI, REST1, CUFF1, CUFF2, and REST2.</w:t>
      </w:r>
    </w:p>
    <w:p>
      <w:pPr>
        <w:pStyle w:val="Heading2"/>
        <w:numPr>
          <w:ilvl w:val="1"/>
          <w:numId w:val="1"/>
        </w:numPr>
        <w:rPr/>
      </w:pPr>
      <w:bookmarkStart w:id="6" w:name="__RefHeading___Toc2879_70583006"/>
      <w:bookmarkStart w:id="7" w:name="_Toc200012170"/>
      <w:bookmarkEnd w:id="6"/>
      <w:r>
        <w:rPr/>
        <w:t>Key points</w:t>
      </w:r>
      <w:bookmarkEnd w:id="7"/>
    </w:p>
    <w:p>
      <w:pPr>
        <w:pStyle w:val="BodyText"/>
        <w:numPr>
          <w:ilvl w:val="0"/>
          <w:numId w:val="3"/>
        </w:numPr>
        <w:rPr/>
      </w:pPr>
      <w:r>
        <w:rPr/>
        <w:t>An inflatable cuff was placed on the subject’s leg prior to the fMRI scans</w:t>
      </w:r>
    </w:p>
    <w:p>
      <w:pPr>
        <w:pStyle w:val="BodyText"/>
        <w:numPr>
          <w:ilvl w:val="0"/>
          <w:numId w:val="3"/>
        </w:numPr>
        <w:rPr/>
      </w:pPr>
      <w:r>
        <w:rPr/>
        <w:t xml:space="preserve">CUFF scans were done with administration of pain via a constant pressure – though in some cases CUFF scans were skipped if cuff inflation or the required pressure were contraindicated  </w:t>
      </w:r>
    </w:p>
    <w:p>
      <w:pPr>
        <w:pStyle w:val="BodyText"/>
        <w:numPr>
          <w:ilvl w:val="0"/>
          <w:numId w:val="3"/>
        </w:numPr>
        <w:rPr/>
      </w:pPr>
      <w:r>
        <w:rPr/>
        <w:t>CUFF1 scans use a patient-calibrated constant pressure (to level rated as pain 40), and CUFF2 pressures are standard (120 mm Hg); pressures are recorded in BIDS events.tsv files for Cuff scans</w:t>
      </w:r>
    </w:p>
    <w:p>
      <w:pPr>
        <w:pStyle w:val="BodyText"/>
        <w:numPr>
          <w:ilvl w:val="0"/>
          <w:numId w:val="3"/>
        </w:numPr>
        <w:rPr/>
      </w:pPr>
      <w:r>
        <w:rPr/>
        <w:t>In most cases, REST2 was not acquired if neither CUFF scan was, though there are exceptions (these exceptions are flagged as “Red” – see Assigned Quality Ratings)</w:t>
      </w:r>
    </w:p>
    <w:p>
      <w:pPr>
        <w:pStyle w:val="Heading2"/>
        <w:numPr>
          <w:ilvl w:val="0"/>
          <w:numId w:val="1"/>
        </w:numPr>
        <w:rPr/>
      </w:pPr>
      <w:bookmarkStart w:id="8" w:name="__RefHeading___Toc2881_70583006"/>
      <w:bookmarkStart w:id="9" w:name="_Toc200012171"/>
      <w:bookmarkEnd w:id="8"/>
      <w:r>
        <w:rPr/>
        <w:t>Data Derivatives</w:t>
      </w:r>
      <w:bookmarkEnd w:id="9"/>
    </w:p>
    <w:p>
      <w:pPr>
        <w:pStyle w:val="BodyText"/>
        <w:rPr/>
      </w:pPr>
      <w:r>
        <w:rPr/>
        <w:t>This release includes results of an A2CPS Pipeline that consists of several standard tools, as well as custom processing:</w:t>
      </w:r>
    </w:p>
    <w:p>
      <w:pPr>
        <w:pStyle w:val="BodyText"/>
        <w:numPr>
          <w:ilvl w:val="0"/>
          <w:numId w:val="6"/>
        </w:numPr>
        <w:rPr>
          <w:rStyle w:val="Bulletsuser"/>
        </w:rPr>
      </w:pPr>
      <w:r>
        <w:rPr>
          <w:rStyle w:val="Bulletsuser"/>
        </w:rPr>
        <w:t xml:space="preserve">Individual pipeline outputs (MRIQC, fMRIPrep, CAT12, FreeSurfer) </w:t>
      </w:r>
    </w:p>
    <w:p>
      <w:pPr>
        <w:pStyle w:val="Normal"/>
        <w:numPr>
          <w:ilvl w:val="1"/>
          <w:numId w:val="13"/>
        </w:numPr>
        <w:suppressAutoHyphens w:val="false"/>
        <w:spacing w:beforeAutospacing="1" w:after="0"/>
        <w:rPr>
          <w:rStyle w:val="Bulletsuser"/>
          <w:lang w:eastAsia="en-US" w:bidi="ar-SA"/>
        </w:rPr>
      </w:pPr>
      <w:r>
        <w:rPr>
          <w:rStyle w:val="Bulletsuser"/>
          <w:lang w:eastAsia="en-US" w:bidi="ar-SA"/>
        </w:rPr>
        <w:t>fMRIPrep 24.0.1 results</w:t>
      </w:r>
    </w:p>
    <w:p>
      <w:pPr>
        <w:pStyle w:val="Normal"/>
        <w:numPr>
          <w:ilvl w:val="1"/>
          <w:numId w:val="13"/>
        </w:numPr>
        <w:suppressAutoHyphens w:val="false"/>
        <w:spacing w:before="0" w:after="0"/>
        <w:rPr>
          <w:rStyle w:val="Bulletsuser"/>
          <w:lang w:eastAsia="en-US" w:bidi="ar-SA"/>
        </w:rPr>
      </w:pPr>
      <w:r>
        <w:rPr>
          <w:rStyle w:val="Bulletsuser"/>
          <w:lang w:eastAsia="en-US" w:bidi="ar-SA"/>
        </w:rPr>
        <w:t>FreeSurfer 7 (run by fMRIPrep 24.0.1)</w:t>
      </w:r>
    </w:p>
    <w:p>
      <w:pPr>
        <w:pStyle w:val="Normal"/>
        <w:numPr>
          <w:ilvl w:val="1"/>
          <w:numId w:val="13"/>
        </w:numPr>
        <w:suppressAutoHyphens w:val="false"/>
        <w:spacing w:before="0" w:after="0"/>
        <w:rPr>
          <w:rStyle w:val="Bulletsuser"/>
          <w:lang w:eastAsia="en-US" w:bidi="ar-SA"/>
        </w:rPr>
      </w:pPr>
      <w:r>
        <w:rPr>
          <w:rStyle w:val="Bulletsuser"/>
          <w:lang w:eastAsia="en-US" w:bidi="ar-SA"/>
        </w:rPr>
        <w:t>CAT12 v12.9/r2556</w:t>
      </w:r>
    </w:p>
    <w:p>
      <w:pPr>
        <w:pStyle w:val="Normal"/>
        <w:numPr>
          <w:ilvl w:val="1"/>
          <w:numId w:val="13"/>
        </w:numPr>
        <w:suppressAutoHyphens w:val="false"/>
        <w:spacing w:before="0" w:after="0"/>
        <w:rPr>
          <w:rStyle w:val="Bulletsuser"/>
          <w:lang w:eastAsia="en-US" w:bidi="ar-SA"/>
        </w:rPr>
      </w:pPr>
      <w:r>
        <w:rPr>
          <w:rStyle w:val="Bulletsuser"/>
          <w:lang w:eastAsia="en-US" w:bidi="ar-SA"/>
        </w:rPr>
        <w:t>MRIQC 24.0.2</w:t>
      </w:r>
    </w:p>
    <w:p>
      <w:pPr>
        <w:pStyle w:val="Normal"/>
        <w:numPr>
          <w:ilvl w:val="1"/>
          <w:numId w:val="13"/>
        </w:numPr>
        <w:suppressAutoHyphens w:val="false"/>
        <w:spacing w:before="0" w:after="0"/>
        <w:rPr>
          <w:rStyle w:val="Bulletsuser"/>
          <w:lang w:eastAsia="en-US" w:bidi="ar-SA"/>
        </w:rPr>
      </w:pPr>
      <w:r>
        <w:rPr>
          <w:rStyle w:val="Bulletsuser"/>
          <w:lang w:eastAsia="en-US" w:bidi="ar-SA"/>
        </w:rPr>
        <w:t>QSIprep 0.21.4</w:t>
      </w:r>
    </w:p>
    <w:p>
      <w:pPr>
        <w:pStyle w:val="Normal"/>
        <w:numPr>
          <w:ilvl w:val="1"/>
          <w:numId w:val="13"/>
        </w:numPr>
        <w:suppressAutoHyphens w:val="false"/>
        <w:spacing w:before="0" w:after="0"/>
        <w:rPr>
          <w:rStyle w:val="Bulletsuser"/>
          <w:lang w:eastAsia="en-US" w:bidi="ar-SA"/>
        </w:rPr>
      </w:pPr>
      <w:r>
        <w:rPr>
          <w:rStyle w:val="Bulletsuser"/>
          <w:lang w:eastAsia="en-US" w:bidi="ar-SA"/>
        </w:rPr>
        <w:t>brainageR 2.1</w:t>
      </w:r>
    </w:p>
    <w:p>
      <w:pPr>
        <w:pStyle w:val="Normal"/>
        <w:numPr>
          <w:ilvl w:val="1"/>
          <w:numId w:val="13"/>
        </w:numPr>
        <w:suppressAutoHyphens w:val="false"/>
        <w:spacing w:before="0" w:afterAutospacing="1"/>
        <w:rPr>
          <w:rStyle w:val="Bulletsuser"/>
          <w:lang w:eastAsia="en-US" w:bidi="ar-SA"/>
        </w:rPr>
      </w:pPr>
      <w:r>
        <w:rPr>
          <w:rStyle w:val="Bulletsuser"/>
          <w:lang w:eastAsia="en-US" w:bidi="ar-SA"/>
        </w:rPr>
        <w:t>GIFT 4.0.5.0 with NeuroMark 2.0/2.1</w:t>
      </w:r>
    </w:p>
    <w:p>
      <w:pPr>
        <w:pStyle w:val="BodyText"/>
        <w:numPr>
          <w:ilvl w:val="0"/>
          <w:numId w:val="6"/>
        </w:numPr>
        <w:rPr>
          <w:rStyle w:val="Bulletsuser"/>
        </w:rPr>
      </w:pPr>
      <w:r>
        <w:rPr>
          <w:rStyle w:val="Bulletsuser"/>
        </w:rPr>
        <w:t>FSL FIRST volumes and label maps (FSL 6.0.6.5)</w:t>
      </w:r>
    </w:p>
    <w:p>
      <w:pPr>
        <w:pStyle w:val="BodyText"/>
        <w:numPr>
          <w:ilvl w:val="0"/>
          <w:numId w:val="6"/>
        </w:numPr>
        <w:rPr>
          <w:rStyle w:val="Bulletsuser"/>
        </w:rPr>
      </w:pPr>
      <w:r>
        <w:rPr>
          <w:rStyle w:val="Bulletsuser"/>
        </w:rPr>
        <w:t>Functional images with nuisance regression applied (custom)</w:t>
      </w:r>
    </w:p>
    <w:p>
      <w:pPr>
        <w:pStyle w:val="BodyText"/>
        <w:numPr>
          <w:ilvl w:val="0"/>
          <w:numId w:val="6"/>
        </w:numPr>
        <w:rPr>
          <w:rStyle w:val="Bulletsuser"/>
        </w:rPr>
      </w:pPr>
      <w:r>
        <w:rPr>
          <w:rStyle w:val="Bulletsuser"/>
        </w:rPr>
        <w:t>Connectivity matrices (custom)</w:t>
      </w:r>
    </w:p>
    <w:p>
      <w:pPr>
        <w:pStyle w:val="BodyText"/>
        <w:numPr>
          <w:ilvl w:val="0"/>
          <w:numId w:val="6"/>
        </w:numPr>
        <w:rPr>
          <w:rStyle w:val="Bulletsuser"/>
        </w:rPr>
      </w:pPr>
      <w:r>
        <w:rPr>
          <w:rStyle w:val="Bulletsuser"/>
        </w:rPr>
        <w:t>Pain signature responses (custom)</w:t>
      </w:r>
    </w:p>
    <w:p>
      <w:pPr>
        <w:pStyle w:val="BodyText"/>
        <w:rPr/>
      </w:pPr>
      <w:r>
        <w:rPr/>
        <w:t>Data derivatives only appear in this release if the entire A2CPS pipeline completed. This is meant to ensure that no incomplete products or cases without a complete sets of expected derivatives will be included. See also “Incomplete Scan Sessions” below for notes on unavailable scans for some sessions.</w:t>
      </w:r>
    </w:p>
    <w:p>
      <w:pPr>
        <w:pStyle w:val="Heading2"/>
        <w:numPr>
          <w:ilvl w:val="0"/>
          <w:numId w:val="1"/>
        </w:numPr>
        <w:rPr/>
      </w:pPr>
      <w:bookmarkStart w:id="10" w:name="__RefHeading___Toc2883_70583006"/>
      <w:bookmarkEnd w:id="10"/>
      <w:r>
        <w:rPr/>
        <w:t>Release</w:t>
      </w:r>
      <w:bookmarkStart w:id="11" w:name="_Toc200012172"/>
      <w:r>
        <w:rPr/>
        <w:t xml:space="preserve"> Contents</w:t>
      </w:r>
      <w:bookmarkEnd w:id="11"/>
    </w:p>
    <w:p>
      <w:pPr>
        <w:pStyle w:val="Normal"/>
        <w:rPr/>
      </w:pPr>
      <w:r>
        <w:rPr/>
        <w:t xml:space="preserve">Top level: </w:t>
      </w:r>
      <w:r>
        <w:rPr>
          <w:i/>
          <w:iCs/>
        </w:rPr>
        <w:t>/corral-secure/projects/A2CPS/products/</w:t>
      </w:r>
      <w:r>
        <w:rPr>
          <w:i/>
          <w:iCs/>
          <w:u w:val="double"/>
        </w:rPr>
        <w:t>consortium</w:t>
      </w:r>
      <w:r>
        <w:rPr>
          <w:i/>
          <w:iCs/>
        </w:rPr>
        <w:t>-data/pre-surgery-release-2-1-0</w:t>
      </w:r>
    </w:p>
    <w:p>
      <w:pPr>
        <w:pStyle w:val="Normal"/>
        <w:rPr/>
      </w:pPr>
      <w:r>
        <w:rPr/>
        <w:t>Where currently available, links to Starter Kits corresponding to each directory are provided.</w:t>
      </w:r>
    </w:p>
    <w:p>
      <w:pPr>
        <w:pStyle w:val="Normal"/>
        <w:numPr>
          <w:ilvl w:val="0"/>
          <w:numId w:val="13"/>
        </w:numPr>
        <w:suppressAutoHyphens w:val="false"/>
        <w:spacing w:beforeAutospacing="1" w:after="0"/>
        <w:rPr>
          <w:rStyle w:val="Bulletsuser"/>
          <w:lang w:eastAsia="en-US" w:bidi="ar-SA"/>
        </w:rPr>
      </w:pPr>
      <w:r>
        <w:rPr>
          <w:rStyle w:val="Bulletsuser"/>
          <w:b/>
          <w:bCs/>
          <w:lang w:eastAsia="en-US" w:bidi="ar-SA"/>
        </w:rPr>
        <w:t>/imaging</w:t>
      </w:r>
      <w:r>
        <w:rPr>
          <w:rStyle w:val="Bulletsuser"/>
          <w:lang w:eastAsia="en-US" w:bidi="ar-SA"/>
        </w:rPr>
        <w:t xml:space="preserve"> </w:t>
      </w:r>
    </w:p>
    <w:p>
      <w:pPr>
        <w:pStyle w:val="Normal"/>
        <w:numPr>
          <w:ilvl w:val="1"/>
          <w:numId w:val="13"/>
        </w:numPr>
        <w:suppressAutoHyphens w:val="false"/>
        <w:spacing w:before="0" w:after="0"/>
        <w:rPr>
          <w:rStyle w:val="Bulletsuser"/>
          <w:lang w:eastAsia="en-US" w:bidi="ar-SA"/>
        </w:rPr>
      </w:pPr>
      <w:r>
        <w:rPr>
          <w:rStyle w:val="Bulletsuser"/>
          <w:lang w:eastAsia="en-US" w:bidi="ar-SA"/>
        </w:rPr>
        <w:t xml:space="preserve">Imaging CRFs from REDCap, in /raw and /reformatted versions </w:t>
      </w:r>
    </w:p>
    <w:p>
      <w:pPr>
        <w:pStyle w:val="Normal"/>
        <w:numPr>
          <w:ilvl w:val="1"/>
          <w:numId w:val="13"/>
        </w:numPr>
        <w:suppressAutoHyphens w:val="false"/>
        <w:spacing w:before="0" w:after="0"/>
        <w:rPr>
          <w:rStyle w:val="Bulletsuser"/>
          <w:lang w:eastAsia="en-US" w:bidi="ar-SA"/>
        </w:rPr>
      </w:pPr>
      <w:r>
        <w:rPr>
          <w:rStyle w:val="Bulletsuser"/>
          <w:lang w:eastAsia="en-US" w:bidi="ar-SA"/>
        </w:rPr>
        <w:t xml:space="preserve">Info: </w:t>
      </w:r>
      <w:hyperlink r:id="rId4" w:tgtFrame="_blank">
        <w:r>
          <w:rPr>
            <w:rStyle w:val="Style6"/>
            <w:lang w:eastAsia="en-US" w:bidi="ar-SA"/>
          </w:rPr>
          <w:t xml:space="preserve">https://a2cps.github.io/starterkits/ImagingCRF_data_quality_checks_and_reformat.html </w:t>
        </w:r>
      </w:hyperlink>
    </w:p>
    <w:p>
      <w:pPr>
        <w:pStyle w:val="Normal"/>
        <w:numPr>
          <w:ilvl w:val="0"/>
          <w:numId w:val="13"/>
        </w:numPr>
        <w:suppressAutoHyphens w:val="false"/>
        <w:spacing w:before="0" w:after="0"/>
        <w:rPr>
          <w:rStyle w:val="Bulletsuser"/>
          <w:lang w:eastAsia="en-US" w:bidi="ar-SA"/>
        </w:rPr>
      </w:pPr>
      <w:r>
        <w:rPr>
          <w:rStyle w:val="Bulletsuser"/>
          <w:b/>
          <w:bCs/>
          <w:lang w:eastAsia="en-US" w:bidi="ar-SA"/>
        </w:rPr>
        <w:t>/mris</w:t>
      </w:r>
      <w:r>
        <w:rPr>
          <w:rStyle w:val="Bulletsuser"/>
          <w:lang w:eastAsia="en-US" w:bidi="ar-SA"/>
        </w:rPr>
        <w:t xml:space="preserve"> </w:t>
      </w:r>
    </w:p>
    <w:p>
      <w:pPr>
        <w:pStyle w:val="Normal"/>
        <w:numPr>
          <w:ilvl w:val="1"/>
          <w:numId w:val="13"/>
        </w:numPr>
        <w:suppressAutoHyphens w:val="false"/>
        <w:spacing w:before="0" w:after="0"/>
        <w:rPr>
          <w:rStyle w:val="Bulletsuser"/>
          <w:lang w:eastAsia="en-US" w:bidi="ar-SA"/>
        </w:rPr>
      </w:pPr>
      <w:r>
        <w:rPr>
          <w:rStyle w:val="Bulletsuser"/>
          <w:lang w:eastAsia="en-US" w:bidi="ar-SA"/>
        </w:rPr>
        <w:t>Imaging data, and (internal releases only) this "Release Notes" document</w:t>
      </w:r>
    </w:p>
    <w:p>
      <w:pPr>
        <w:pStyle w:val="Normal"/>
        <w:numPr>
          <w:ilvl w:val="0"/>
          <w:numId w:val="13"/>
        </w:numPr>
        <w:suppressAutoHyphens w:val="false"/>
        <w:spacing w:before="0" w:after="0"/>
        <w:rPr>
          <w:rStyle w:val="Bulletsuser"/>
          <w:lang w:eastAsia="en-US" w:bidi="ar-SA"/>
        </w:rPr>
      </w:pPr>
      <w:r>
        <w:rPr>
          <w:rStyle w:val="Bulletsuser"/>
          <w:lang w:eastAsia="en-US" w:bidi="ar-SA"/>
        </w:rPr>
        <w:t>/mris/idp</w:t>
      </w:r>
    </w:p>
    <w:p>
      <w:pPr>
        <w:pStyle w:val="Normal"/>
        <w:numPr>
          <w:ilvl w:val="1"/>
          <w:numId w:val="13"/>
        </w:numPr>
        <w:suppressAutoHyphens w:val="false"/>
        <w:spacing w:before="0" w:after="0"/>
        <w:rPr>
          <w:rStyle w:val="Bulletsuser"/>
          <w:lang w:eastAsia="en-US" w:bidi="ar-SA"/>
        </w:rPr>
      </w:pPr>
      <w:r>
        <w:rPr>
          <w:rStyle w:val="Bulletsuser"/>
          <w:lang w:eastAsia="en-US" w:bidi="ar-SA"/>
        </w:rPr>
        <w:t>“</w:t>
      </w:r>
      <w:r>
        <w:rPr>
          <w:rStyle w:val="Bulletsuser"/>
          <w:lang w:eastAsia="en-US" w:bidi="ar-SA"/>
        </w:rPr>
        <w:t>Image derived phenotypes” tables with measures from processing</w:t>
      </w:r>
    </w:p>
    <w:p>
      <w:pPr>
        <w:pStyle w:val="Normal"/>
        <w:numPr>
          <w:ilvl w:val="1"/>
          <w:numId w:val="13"/>
        </w:numPr>
        <w:suppressAutoHyphens w:val="false"/>
        <w:spacing w:before="0" w:after="0"/>
        <w:rPr>
          <w:rStyle w:val="Bulletsuser"/>
          <w:lang w:eastAsia="en-US" w:bidi="ar-SA"/>
        </w:rPr>
      </w:pPr>
      <w:r>
        <w:rPr>
          <w:rStyle w:val="Bulletsuser"/>
          <w:lang w:eastAsia="en-US" w:bidi="ar-SA"/>
        </w:rPr>
        <w:t>Info: https://a2cps.atlassian.net/wiki/spaces/DOC/pages/594509828/Image+Derived+Phenotypes</w:t>
      </w:r>
    </w:p>
    <w:p>
      <w:pPr>
        <w:pStyle w:val="Normal"/>
        <w:numPr>
          <w:ilvl w:val="0"/>
          <w:numId w:val="13"/>
        </w:numPr>
        <w:suppressAutoHyphens w:val="false"/>
        <w:spacing w:before="0" w:after="0"/>
        <w:rPr>
          <w:rStyle w:val="Bulletsuser"/>
          <w:lang w:eastAsia="en-US" w:bidi="ar-SA"/>
        </w:rPr>
      </w:pPr>
      <w:r>
        <w:rPr>
          <w:rStyle w:val="Bulletsuser"/>
          <w:lang w:eastAsia="en-US" w:bidi="ar-SA"/>
        </w:rPr>
        <w:t xml:space="preserve">/mris/rawdata </w:t>
      </w:r>
    </w:p>
    <w:p>
      <w:pPr>
        <w:pStyle w:val="Normal"/>
        <w:numPr>
          <w:ilvl w:val="1"/>
          <w:numId w:val="13"/>
        </w:numPr>
        <w:suppressAutoHyphens w:val="false"/>
        <w:spacing w:before="0" w:after="0"/>
        <w:rPr>
          <w:rStyle w:val="Bulletsuser"/>
          <w:lang w:eastAsia="en-US" w:bidi="ar-SA"/>
        </w:rPr>
      </w:pPr>
      <w:r>
        <w:rPr>
          <w:rStyle w:val="Bulletsuser"/>
          <w:lang w:eastAsia="en-US" w:bidi="ar-SA"/>
        </w:rPr>
        <w:t xml:space="preserve">BIDS format scan data, across all sites, limited to pre-surgery ("ses-V1") </w:t>
      </w:r>
    </w:p>
    <w:p>
      <w:pPr>
        <w:pStyle w:val="Normal"/>
        <w:numPr>
          <w:ilvl w:val="1"/>
          <w:numId w:val="13"/>
        </w:numPr>
        <w:suppressAutoHyphens w:val="false"/>
        <w:spacing w:before="0" w:after="0"/>
        <w:rPr>
          <w:rStyle w:val="Bulletsuser"/>
          <w:lang w:eastAsia="en-US" w:bidi="ar-SA"/>
        </w:rPr>
      </w:pPr>
      <w:r>
        <w:rPr>
          <w:rStyle w:val="Bulletsuser"/>
          <w:lang w:eastAsia="en-US" w:bidi="ar-SA"/>
        </w:rPr>
        <w:t xml:space="preserve">Info: </w:t>
      </w:r>
      <w:hyperlink r:id="rId5" w:tgtFrame="_blank">
        <w:r>
          <w:rPr>
            <w:rStyle w:val="Style6"/>
            <w:lang w:eastAsia="en-US" w:bidi="ar-SA"/>
          </w:rPr>
          <w:t xml:space="preserve">https://a2cps.github.io/starterkits/raw-mri.html </w:t>
        </w:r>
      </w:hyperlink>
    </w:p>
    <w:p>
      <w:pPr>
        <w:pStyle w:val="Normal"/>
        <w:numPr>
          <w:ilvl w:val="0"/>
          <w:numId w:val="13"/>
        </w:numPr>
        <w:suppressAutoHyphens w:val="false"/>
        <w:spacing w:before="0" w:after="0"/>
        <w:rPr>
          <w:rStyle w:val="Bulletsuser"/>
          <w:lang w:eastAsia="en-US" w:bidi="ar-SA"/>
        </w:rPr>
      </w:pPr>
      <w:r>
        <w:rPr>
          <w:rStyle w:val="Bulletsuser"/>
          <w:lang w:eastAsia="en-US" w:bidi="ar-SA"/>
        </w:rPr>
        <w:t xml:space="preserve">/mris/derivatives </w:t>
      </w:r>
    </w:p>
    <w:p>
      <w:pPr>
        <w:pStyle w:val="Normal"/>
        <w:numPr>
          <w:ilvl w:val="1"/>
          <w:numId w:val="13"/>
        </w:numPr>
        <w:suppressAutoHyphens w:val="false"/>
        <w:spacing w:before="0" w:after="0"/>
        <w:rPr>
          <w:rStyle w:val="Bulletsuser"/>
          <w:lang w:eastAsia="en-US" w:bidi="ar-SA"/>
        </w:rPr>
      </w:pPr>
      <w:r>
        <w:rPr>
          <w:rStyle w:val="Bulletsuser"/>
          <w:lang w:eastAsia="en-US" w:bidi="ar-SA"/>
        </w:rPr>
        <w:t>Images derived using A2CPS pipelines (both standard and custom)</w:t>
      </w:r>
    </w:p>
    <w:p>
      <w:pPr>
        <w:pStyle w:val="Normal"/>
        <w:numPr>
          <w:ilvl w:val="0"/>
          <w:numId w:val="13"/>
        </w:numPr>
        <w:suppressAutoHyphens w:val="false"/>
        <w:spacing w:before="0" w:after="0"/>
        <w:rPr>
          <w:rStyle w:val="Bulletsuser"/>
          <w:lang w:eastAsia="en-US" w:bidi="ar-SA"/>
        </w:rPr>
      </w:pPr>
      <w:r>
        <w:rPr>
          <w:rStyle w:val="Bulletsuser"/>
          <w:lang w:eastAsia="en-US" w:bidi="ar-SA"/>
        </w:rPr>
        <w:t>/mris/derivatives/bedpostx (DWI)</w:t>
      </w:r>
    </w:p>
    <w:p>
      <w:pPr>
        <w:pStyle w:val="Normal"/>
        <w:numPr>
          <w:ilvl w:val="1"/>
          <w:numId w:val="13"/>
        </w:numPr>
        <w:suppressAutoHyphens w:val="false"/>
        <w:spacing w:before="0" w:after="0"/>
        <w:rPr>
          <w:rStyle w:val="Bulletsuser"/>
          <w:lang w:eastAsia="en-US" w:bidi="ar-SA"/>
        </w:rPr>
      </w:pPr>
      <w:r>
        <w:rPr>
          <w:rStyle w:val="Bulletsuser"/>
          <w:lang w:eastAsia="en-US" w:bidi="ar-SA"/>
        </w:rPr>
        <w:t>Results from FSL’s tool for estimating multiple fiber orientations</w:t>
      </w:r>
    </w:p>
    <w:p>
      <w:pPr>
        <w:pStyle w:val="Normal"/>
        <w:numPr>
          <w:ilvl w:val="0"/>
          <w:numId w:val="13"/>
        </w:numPr>
        <w:suppressAutoHyphens w:val="false"/>
        <w:spacing w:before="0" w:after="0"/>
        <w:rPr>
          <w:rStyle w:val="Bulletsuser"/>
          <w:lang w:eastAsia="en-US" w:bidi="ar-SA"/>
        </w:rPr>
      </w:pPr>
      <w:r>
        <w:rPr>
          <w:rStyle w:val="Bulletsuser"/>
          <w:lang w:eastAsia="en-US" w:bidi="ar-SA"/>
        </w:rPr>
        <w:t>/mris/derivatives/brainager (T1w)</w:t>
      </w:r>
    </w:p>
    <w:p>
      <w:pPr>
        <w:pStyle w:val="Normal"/>
        <w:numPr>
          <w:ilvl w:val="1"/>
          <w:numId w:val="13"/>
        </w:numPr>
        <w:suppressAutoHyphens w:val="false"/>
        <w:spacing w:before="0" w:after="0"/>
        <w:rPr>
          <w:rStyle w:val="Bulletsuser"/>
          <w:lang w:eastAsia="en-US" w:bidi="ar-SA"/>
        </w:rPr>
      </w:pPr>
      <w:r>
        <w:rPr>
          <w:rStyle w:val="Bulletsuser"/>
          <w:lang w:eastAsia="en-US" w:bidi="ar-SA"/>
        </w:rPr>
        <w:t xml:space="preserve">Products of brain age estimation pipeline </w:t>
      </w:r>
    </w:p>
    <w:p>
      <w:pPr>
        <w:pStyle w:val="Normal"/>
        <w:numPr>
          <w:ilvl w:val="1"/>
          <w:numId w:val="13"/>
        </w:numPr>
        <w:suppressAutoHyphens w:val="false"/>
        <w:spacing w:before="0" w:after="0"/>
        <w:rPr>
          <w:rStyle w:val="Bulletsuser"/>
          <w:lang w:eastAsia="en-US" w:bidi="ar-SA"/>
        </w:rPr>
      </w:pPr>
      <w:r>
        <w:rPr>
          <w:rStyle w:val="Bulletsuser"/>
          <w:lang w:eastAsia="en-US" w:bidi="ar-SA"/>
        </w:rPr>
        <w:t xml:space="preserve">Info: </w:t>
      </w:r>
      <w:hyperlink r:id="rId6" w:tgtFrame="_blank">
        <w:r>
          <w:rPr>
            <w:rStyle w:val="Style6"/>
            <w:lang w:eastAsia="en-US" w:bidi="ar-SA"/>
          </w:rPr>
          <w:t xml:space="preserve">https://a2cps.github.io/starterkits/brainager.html </w:t>
        </w:r>
      </w:hyperlink>
    </w:p>
    <w:p>
      <w:pPr>
        <w:pStyle w:val="Normal"/>
        <w:numPr>
          <w:ilvl w:val="0"/>
          <w:numId w:val="13"/>
        </w:numPr>
        <w:suppressAutoHyphens w:val="false"/>
        <w:spacing w:before="0" w:after="0"/>
        <w:rPr>
          <w:rStyle w:val="Bulletsuser"/>
          <w:lang w:eastAsia="en-US" w:bidi="ar-SA"/>
        </w:rPr>
      </w:pPr>
      <w:r>
        <w:rPr>
          <w:rStyle w:val="Bulletsuser"/>
          <w:lang w:eastAsia="en-US" w:bidi="ar-SA"/>
        </w:rPr>
        <w:t>/mris/derivatives/cat12 (T1w)</w:t>
      </w:r>
    </w:p>
    <w:p>
      <w:pPr>
        <w:pStyle w:val="Normal"/>
        <w:numPr>
          <w:ilvl w:val="1"/>
          <w:numId w:val="13"/>
        </w:numPr>
        <w:suppressAutoHyphens w:val="false"/>
        <w:spacing w:before="0" w:after="0"/>
        <w:rPr>
          <w:rStyle w:val="Bulletsuser"/>
          <w:lang w:eastAsia="en-US" w:bidi="ar-SA"/>
        </w:rPr>
      </w:pPr>
      <w:r>
        <w:rPr>
          <w:rStyle w:val="Bulletsuser"/>
          <w:lang w:eastAsia="en-US" w:bidi="ar-SA"/>
        </w:rPr>
        <w:t xml:space="preserve">Products of CAT12, the Computational Anatomy Toolkit </w:t>
      </w:r>
    </w:p>
    <w:p>
      <w:pPr>
        <w:pStyle w:val="Normal"/>
        <w:numPr>
          <w:ilvl w:val="1"/>
          <w:numId w:val="13"/>
        </w:numPr>
        <w:suppressAutoHyphens w:val="false"/>
        <w:spacing w:before="0" w:after="0"/>
        <w:rPr>
          <w:rStyle w:val="Bulletsuser"/>
          <w:lang w:eastAsia="en-US" w:bidi="ar-SA"/>
        </w:rPr>
      </w:pPr>
      <w:r>
        <w:rPr>
          <w:rStyle w:val="Bulletsuser"/>
          <w:lang w:eastAsia="en-US" w:bidi="ar-SA"/>
        </w:rPr>
        <w:t xml:space="preserve">Info: </w:t>
      </w:r>
      <w:hyperlink r:id="rId7" w:tgtFrame="_blank">
        <w:r>
          <w:rPr>
            <w:rStyle w:val="Style6"/>
            <w:lang w:eastAsia="en-US" w:bidi="ar-SA"/>
          </w:rPr>
          <w:t xml:space="preserve">https://a2cps.github.io/starterkits/cat12.html </w:t>
        </w:r>
      </w:hyperlink>
    </w:p>
    <w:p>
      <w:pPr>
        <w:pStyle w:val="Normal"/>
        <w:numPr>
          <w:ilvl w:val="0"/>
          <w:numId w:val="13"/>
        </w:numPr>
        <w:suppressAutoHyphens w:val="false"/>
        <w:spacing w:before="0" w:after="0"/>
        <w:rPr>
          <w:rStyle w:val="Bulletsuser"/>
          <w:lang w:eastAsia="en-US" w:bidi="ar-SA"/>
        </w:rPr>
      </w:pPr>
      <w:r>
        <w:rPr>
          <w:rStyle w:val="Bulletsuser"/>
          <w:lang w:eastAsia="en-US" w:bidi="ar-SA"/>
        </w:rPr>
        <w:t>/mris/derivatives/eddyqc (DWI)</w:t>
      </w:r>
    </w:p>
    <w:p>
      <w:pPr>
        <w:pStyle w:val="Normal"/>
        <w:numPr>
          <w:ilvl w:val="1"/>
          <w:numId w:val="13"/>
        </w:numPr>
        <w:suppressAutoHyphens w:val="false"/>
        <w:spacing w:before="0" w:after="0"/>
        <w:rPr>
          <w:rStyle w:val="Bulletsuser"/>
          <w:lang w:eastAsia="en-US" w:bidi="ar-SA"/>
        </w:rPr>
      </w:pPr>
      <w:r>
        <w:rPr>
          <w:rStyle w:val="Bulletsuser"/>
          <w:lang w:eastAsia="en-US" w:bidi="ar-SA"/>
        </w:rPr>
        <w:t>Products of eddyqc, an automated quality control tool</w:t>
      </w:r>
    </w:p>
    <w:p>
      <w:pPr>
        <w:pStyle w:val="Normal"/>
        <w:numPr>
          <w:ilvl w:val="0"/>
          <w:numId w:val="13"/>
        </w:numPr>
        <w:suppressAutoHyphens w:val="false"/>
        <w:spacing w:before="0" w:after="0"/>
        <w:rPr>
          <w:rStyle w:val="Bulletsuser"/>
          <w:lang w:eastAsia="en-US" w:bidi="ar-SA"/>
        </w:rPr>
      </w:pPr>
      <w:r>
        <w:rPr>
          <w:rStyle w:val="Bulletsuser"/>
          <w:lang w:eastAsia="en-US" w:bidi="ar-SA"/>
        </w:rPr>
        <w:t>/mris/derivatives/fcn (fMRI)</w:t>
      </w:r>
    </w:p>
    <w:p>
      <w:pPr>
        <w:pStyle w:val="Normal"/>
        <w:numPr>
          <w:ilvl w:val="1"/>
          <w:numId w:val="13"/>
        </w:numPr>
        <w:suppressAutoHyphens w:val="false"/>
        <w:spacing w:before="0" w:after="0"/>
        <w:rPr>
          <w:rStyle w:val="Bulletsuser"/>
          <w:lang w:eastAsia="en-US" w:bidi="ar-SA"/>
        </w:rPr>
      </w:pPr>
      <w:r>
        <w:rPr>
          <w:rStyle w:val="Bulletsuser"/>
          <w:lang w:eastAsia="en-US" w:bidi="ar-SA"/>
        </w:rPr>
        <w:t xml:space="preserve">Functional connectivity products </w:t>
      </w:r>
    </w:p>
    <w:p>
      <w:pPr>
        <w:pStyle w:val="Normal"/>
        <w:numPr>
          <w:ilvl w:val="1"/>
          <w:numId w:val="13"/>
        </w:numPr>
        <w:suppressAutoHyphens w:val="false"/>
        <w:spacing w:before="0" w:after="0"/>
        <w:rPr>
          <w:rStyle w:val="Bulletsuser"/>
          <w:lang w:eastAsia="en-US" w:bidi="ar-SA"/>
        </w:rPr>
      </w:pPr>
      <w:r>
        <w:rPr>
          <w:rStyle w:val="Bulletsuser"/>
          <w:lang w:eastAsia="en-US" w:bidi="ar-SA"/>
        </w:rPr>
        <w:t xml:space="preserve">Info: </w:t>
      </w:r>
      <w:hyperlink r:id="rId8" w:tgtFrame="_blank">
        <w:r>
          <w:rPr>
            <w:rStyle w:val="Style6"/>
            <w:lang w:eastAsia="en-US" w:bidi="ar-SA"/>
          </w:rPr>
          <w:t xml:space="preserve">https://a2cps.github.io/starterkits/fcn.html </w:t>
        </w:r>
      </w:hyperlink>
    </w:p>
    <w:p>
      <w:pPr>
        <w:pStyle w:val="Normal"/>
        <w:numPr>
          <w:ilvl w:val="0"/>
          <w:numId w:val="13"/>
        </w:numPr>
        <w:suppressAutoHyphens w:val="false"/>
        <w:spacing w:before="0" w:after="0"/>
        <w:rPr>
          <w:rStyle w:val="Bulletsuser"/>
          <w:lang w:eastAsia="en-US" w:bidi="ar-SA"/>
        </w:rPr>
      </w:pPr>
      <w:r>
        <w:rPr>
          <w:rStyle w:val="Bulletsuser"/>
          <w:lang w:eastAsia="en-US" w:bidi="ar-SA"/>
        </w:rPr>
        <w:t>/mris/derivatives/fmriprep (fMRI, T1w)</w:t>
      </w:r>
    </w:p>
    <w:p>
      <w:pPr>
        <w:pStyle w:val="Normal"/>
        <w:numPr>
          <w:ilvl w:val="1"/>
          <w:numId w:val="13"/>
        </w:numPr>
        <w:suppressAutoHyphens w:val="false"/>
        <w:spacing w:before="0" w:after="0"/>
        <w:rPr>
          <w:rStyle w:val="Bulletsuser"/>
          <w:lang w:eastAsia="en-US" w:bidi="ar-SA"/>
        </w:rPr>
      </w:pPr>
      <w:r>
        <w:rPr>
          <w:rStyle w:val="Bulletsuser"/>
          <w:lang w:eastAsia="en-US" w:bidi="ar-SA"/>
        </w:rPr>
        <w:t>Products of fMRIPrep</w:t>
      </w:r>
    </w:p>
    <w:p>
      <w:pPr>
        <w:pStyle w:val="Normal"/>
        <w:numPr>
          <w:ilvl w:val="0"/>
          <w:numId w:val="13"/>
        </w:numPr>
        <w:suppressAutoHyphens w:val="false"/>
        <w:spacing w:before="0" w:after="0"/>
        <w:rPr>
          <w:rStyle w:val="Bulletsuser"/>
          <w:lang w:eastAsia="en-US" w:bidi="ar-SA"/>
        </w:rPr>
      </w:pPr>
      <w:r>
        <w:rPr>
          <w:rStyle w:val="Bulletsuser"/>
          <w:lang w:eastAsia="en-US" w:bidi="ar-SA"/>
        </w:rPr>
        <w:t>/mris/derivatives/freesurfer (T1w)</w:t>
      </w:r>
    </w:p>
    <w:p>
      <w:pPr>
        <w:pStyle w:val="Normal"/>
        <w:numPr>
          <w:ilvl w:val="1"/>
          <w:numId w:val="13"/>
        </w:numPr>
        <w:suppressAutoHyphens w:val="false"/>
        <w:spacing w:before="0" w:after="0"/>
        <w:rPr>
          <w:rStyle w:val="Bulletsuser"/>
          <w:lang w:eastAsia="en-US" w:bidi="ar-SA"/>
        </w:rPr>
      </w:pPr>
      <w:r>
        <w:rPr>
          <w:rStyle w:val="Bulletsuser"/>
          <w:lang w:eastAsia="en-US" w:bidi="ar-SA"/>
        </w:rPr>
        <w:t xml:space="preserve">Image and tabular outputs from the FreeSurfer pipeline </w:t>
      </w:r>
    </w:p>
    <w:p>
      <w:pPr>
        <w:pStyle w:val="Normal"/>
        <w:numPr>
          <w:ilvl w:val="1"/>
          <w:numId w:val="13"/>
        </w:numPr>
        <w:suppressAutoHyphens w:val="false"/>
        <w:spacing w:before="0" w:after="0"/>
        <w:rPr>
          <w:rStyle w:val="Bulletsuser"/>
          <w:lang w:eastAsia="en-US" w:bidi="ar-SA"/>
        </w:rPr>
      </w:pPr>
      <w:r>
        <w:rPr>
          <w:rStyle w:val="Bulletsuser"/>
          <w:lang w:eastAsia="en-US" w:bidi="ar-SA"/>
        </w:rPr>
        <w:t xml:space="preserve">Info: </w:t>
      </w:r>
      <w:hyperlink r:id="rId9" w:tgtFrame="_blank">
        <w:r>
          <w:rPr>
            <w:rStyle w:val="Style6"/>
            <w:lang w:eastAsia="en-US" w:bidi="ar-SA"/>
          </w:rPr>
          <w:t xml:space="preserve">https://a2cps.github.io/starterkits/freesurfer.html </w:t>
        </w:r>
      </w:hyperlink>
    </w:p>
    <w:p>
      <w:pPr>
        <w:pStyle w:val="Normal"/>
        <w:numPr>
          <w:ilvl w:val="0"/>
          <w:numId w:val="13"/>
        </w:numPr>
        <w:suppressAutoHyphens w:val="false"/>
        <w:spacing w:before="0" w:after="0"/>
        <w:rPr>
          <w:rStyle w:val="Bulletsuser"/>
          <w:lang w:eastAsia="en-US" w:bidi="ar-SA"/>
        </w:rPr>
      </w:pPr>
      <w:r>
        <w:rPr>
          <w:rStyle w:val="Bulletsuser"/>
          <w:lang w:eastAsia="en-US" w:bidi="ar-SA"/>
        </w:rPr>
        <w:t>/mris/derivatives/fslanat (T1w)</w:t>
      </w:r>
    </w:p>
    <w:p>
      <w:pPr>
        <w:pStyle w:val="Normal"/>
        <w:numPr>
          <w:ilvl w:val="1"/>
          <w:numId w:val="13"/>
        </w:numPr>
        <w:suppressAutoHyphens w:val="false"/>
        <w:spacing w:before="0" w:after="0"/>
        <w:rPr>
          <w:rStyle w:val="Bulletsuser"/>
          <w:lang w:eastAsia="en-US" w:bidi="ar-SA"/>
        </w:rPr>
      </w:pPr>
      <w:r>
        <w:rPr>
          <w:rStyle w:val="Bulletsuser"/>
          <w:lang w:eastAsia="en-US" w:bidi="ar-SA"/>
        </w:rPr>
        <w:t>Products of the FSLanat pipeline</w:t>
      </w:r>
    </w:p>
    <w:p>
      <w:pPr>
        <w:pStyle w:val="Normal"/>
        <w:numPr>
          <w:ilvl w:val="0"/>
          <w:numId w:val="13"/>
        </w:numPr>
        <w:suppressAutoHyphens w:val="false"/>
        <w:spacing w:before="0" w:after="0"/>
        <w:rPr>
          <w:rStyle w:val="Bulletsuser"/>
          <w:lang w:eastAsia="en-US" w:bidi="ar-SA"/>
        </w:rPr>
      </w:pPr>
      <w:r>
        <w:rPr>
          <w:rStyle w:val="Bulletsuser"/>
          <w:lang w:eastAsia="en-US" w:bidi="ar-SA"/>
        </w:rPr>
        <w:t>/mris/derivatives/gift (fMRI)</w:t>
      </w:r>
    </w:p>
    <w:p>
      <w:pPr>
        <w:pStyle w:val="Normal"/>
        <w:numPr>
          <w:ilvl w:val="1"/>
          <w:numId w:val="13"/>
        </w:numPr>
        <w:suppressAutoHyphens w:val="false"/>
        <w:spacing w:before="0" w:after="0"/>
        <w:rPr>
          <w:rStyle w:val="Bulletsuser"/>
          <w:lang w:eastAsia="en-US" w:bidi="ar-SA"/>
        </w:rPr>
      </w:pPr>
      <w:r>
        <w:rPr>
          <w:rStyle w:val="Bulletsuser"/>
          <w:lang w:eastAsia="en-US" w:bidi="ar-SA"/>
        </w:rPr>
        <w:t>Independent component analysis (ICA) products of GIFT/NeuroMark</w:t>
      </w:r>
    </w:p>
    <w:p>
      <w:pPr>
        <w:pStyle w:val="Normal"/>
        <w:numPr>
          <w:ilvl w:val="0"/>
          <w:numId w:val="13"/>
        </w:numPr>
        <w:suppressAutoHyphens w:val="false"/>
        <w:spacing w:before="0" w:after="0"/>
        <w:rPr>
          <w:rStyle w:val="Bulletsuser"/>
          <w:lang w:eastAsia="en-US" w:bidi="ar-SA"/>
        </w:rPr>
      </w:pPr>
      <w:r>
        <w:rPr>
          <w:rStyle w:val="Bulletsuser"/>
          <w:lang w:eastAsia="en-US" w:bidi="ar-SA"/>
        </w:rPr>
        <w:t>/mris/derivatives/postgift (fMRI)</w:t>
      </w:r>
    </w:p>
    <w:p>
      <w:pPr>
        <w:pStyle w:val="Normal"/>
        <w:numPr>
          <w:ilvl w:val="1"/>
          <w:numId w:val="13"/>
        </w:numPr>
        <w:suppressAutoHyphens w:val="false"/>
        <w:spacing w:before="0" w:after="0"/>
        <w:rPr>
          <w:rStyle w:val="Bulletsuser"/>
          <w:lang w:eastAsia="en-US" w:bidi="ar-SA"/>
        </w:rPr>
      </w:pPr>
      <w:r>
        <w:rPr>
          <w:rStyle w:val="Bulletsuser"/>
          <w:lang w:eastAsia="en-US" w:bidi="ar-SA"/>
        </w:rPr>
        <w:t>Biomarkers created from ‘gift’, and outputs in a tabular format</w:t>
      </w:r>
    </w:p>
    <w:p>
      <w:pPr>
        <w:pStyle w:val="Normal"/>
        <w:numPr>
          <w:ilvl w:val="0"/>
          <w:numId w:val="13"/>
        </w:numPr>
        <w:suppressAutoHyphens w:val="false"/>
        <w:spacing w:before="0" w:after="0"/>
        <w:rPr>
          <w:rStyle w:val="Bulletsuser"/>
          <w:lang w:eastAsia="en-US" w:bidi="ar-SA"/>
        </w:rPr>
      </w:pPr>
      <w:r>
        <w:rPr>
          <w:rStyle w:val="Bulletsuser"/>
          <w:lang w:eastAsia="en-US" w:bidi="ar-SA"/>
        </w:rPr>
        <w:t>/mris/derivatives/mriqc (T1w, fMRI, DWI)</w:t>
      </w:r>
    </w:p>
    <w:p>
      <w:pPr>
        <w:pStyle w:val="Normal"/>
        <w:numPr>
          <w:ilvl w:val="1"/>
          <w:numId w:val="13"/>
        </w:numPr>
        <w:suppressAutoHyphens w:val="false"/>
        <w:spacing w:before="0" w:after="0"/>
        <w:rPr>
          <w:rStyle w:val="Bulletsuser"/>
          <w:lang w:eastAsia="en-US" w:bidi="ar-SA"/>
        </w:rPr>
      </w:pPr>
      <w:r>
        <w:rPr>
          <w:rStyle w:val="Bulletsuser"/>
          <w:lang w:eastAsia="en-US" w:bidi="ar-SA"/>
        </w:rPr>
        <w:t xml:space="preserve">Products of the MRIQC automated quality control pipeline </w:t>
      </w:r>
    </w:p>
    <w:p>
      <w:pPr>
        <w:pStyle w:val="Normal"/>
        <w:numPr>
          <w:ilvl w:val="0"/>
          <w:numId w:val="13"/>
        </w:numPr>
        <w:suppressAutoHyphens w:val="false"/>
        <w:spacing w:before="0" w:after="0"/>
        <w:rPr>
          <w:rStyle w:val="Bulletsuser"/>
          <w:lang w:eastAsia="en-US" w:bidi="ar-SA"/>
        </w:rPr>
      </w:pPr>
      <w:r>
        <w:rPr>
          <w:rStyle w:val="Bulletsuser"/>
          <w:lang w:eastAsia="en-US" w:bidi="ar-SA"/>
        </w:rPr>
        <w:t>/mris/derivatives/postdtifit (DWI)</w:t>
      </w:r>
    </w:p>
    <w:p>
      <w:pPr>
        <w:pStyle w:val="Normal"/>
        <w:numPr>
          <w:ilvl w:val="1"/>
          <w:numId w:val="13"/>
        </w:numPr>
        <w:suppressAutoHyphens w:val="false"/>
        <w:spacing w:before="0" w:after="0"/>
        <w:rPr>
          <w:rStyle w:val="Bulletsuser"/>
          <w:lang w:eastAsia="en-US" w:bidi="ar-SA"/>
        </w:rPr>
      </w:pPr>
      <w:r>
        <w:rPr>
          <w:rStyle w:val="Bulletsuser"/>
          <w:lang w:eastAsia="en-US" w:bidi="ar-SA"/>
        </w:rPr>
        <w:t>Atlas-based regional values of diffusion metrics</w:t>
      </w:r>
    </w:p>
    <w:p>
      <w:pPr>
        <w:pStyle w:val="Normal"/>
        <w:numPr>
          <w:ilvl w:val="0"/>
          <w:numId w:val="13"/>
        </w:numPr>
        <w:suppressAutoHyphens w:val="false"/>
        <w:spacing w:before="0" w:after="0"/>
        <w:rPr>
          <w:rStyle w:val="Bulletsuser"/>
          <w:lang w:eastAsia="en-US" w:bidi="ar-SA"/>
        </w:rPr>
      </w:pPr>
      <w:r>
        <w:rPr>
          <w:rStyle w:val="Bulletsuser"/>
          <w:lang w:eastAsia="en-US" w:bidi="ar-SA"/>
        </w:rPr>
        <w:t>/mris/derivatives/qsiprep-V1 (DWI)</w:t>
      </w:r>
    </w:p>
    <w:p>
      <w:pPr>
        <w:pStyle w:val="Normal"/>
        <w:numPr>
          <w:ilvl w:val="1"/>
          <w:numId w:val="13"/>
        </w:numPr>
        <w:suppressAutoHyphens w:val="false"/>
        <w:spacing w:before="0" w:after="0"/>
        <w:rPr>
          <w:rStyle w:val="Bulletsuser"/>
          <w:lang w:eastAsia="en-US" w:bidi="ar-SA"/>
        </w:rPr>
      </w:pPr>
      <w:r>
        <w:rPr>
          <w:rStyle w:val="Bulletsuser"/>
          <w:lang w:eastAsia="en-US" w:bidi="ar-SA"/>
        </w:rPr>
        <w:t>Products of the QSIprep pipeline</w:t>
      </w:r>
    </w:p>
    <w:p>
      <w:pPr>
        <w:pStyle w:val="Normal"/>
        <w:numPr>
          <w:ilvl w:val="0"/>
          <w:numId w:val="13"/>
        </w:numPr>
        <w:suppressAutoHyphens w:val="false"/>
        <w:spacing w:before="0" w:after="0"/>
        <w:rPr>
          <w:rStyle w:val="Bulletsuser"/>
          <w:lang w:eastAsia="en-US" w:bidi="ar-SA"/>
        </w:rPr>
      </w:pPr>
      <w:r>
        <w:rPr>
          <w:rStyle w:val="Bulletsuser"/>
          <w:lang w:eastAsia="en-US" w:bidi="ar-SA"/>
        </w:rPr>
        <w:t>/mris/derivatives/qsirecon_fsl_dtifit (DWI)</w:t>
      </w:r>
    </w:p>
    <w:p>
      <w:pPr>
        <w:pStyle w:val="Normal"/>
        <w:numPr>
          <w:ilvl w:val="1"/>
          <w:numId w:val="13"/>
        </w:numPr>
        <w:suppressAutoHyphens w:val="false"/>
        <w:spacing w:before="0" w:after="0"/>
        <w:rPr>
          <w:rStyle w:val="Bulletsuser"/>
          <w:lang w:eastAsia="en-US" w:bidi="ar-SA"/>
        </w:rPr>
      </w:pPr>
      <w:r>
        <w:rPr>
          <w:rStyle w:val="Bulletsuser"/>
          <w:lang w:eastAsia="en-US" w:bidi="ar-SA"/>
        </w:rPr>
        <w:t>Reoriented QSIprep outputs (qsirecon), and shell-specific dtifit (FSL) outputs</w:t>
      </w:r>
    </w:p>
    <w:p>
      <w:pPr>
        <w:pStyle w:val="Normal"/>
        <w:numPr>
          <w:ilvl w:val="0"/>
          <w:numId w:val="13"/>
        </w:numPr>
        <w:suppressAutoHyphens w:val="false"/>
        <w:spacing w:before="0" w:after="0"/>
        <w:rPr>
          <w:rStyle w:val="Bulletsuser"/>
          <w:lang w:eastAsia="en-US" w:bidi="ar-SA"/>
        </w:rPr>
      </w:pPr>
      <w:r>
        <w:rPr>
          <w:rStyle w:val="Bulletsuser"/>
          <w:lang w:eastAsia="en-US" w:bidi="ar-SA"/>
        </w:rPr>
        <w:t>/mris/derivatives/signatures (fMRI)</w:t>
      </w:r>
    </w:p>
    <w:p>
      <w:pPr>
        <w:pStyle w:val="Normal"/>
        <w:numPr>
          <w:ilvl w:val="1"/>
          <w:numId w:val="13"/>
        </w:numPr>
        <w:suppressAutoHyphens w:val="false"/>
        <w:spacing w:before="0" w:after="0"/>
        <w:rPr>
          <w:rStyle w:val="Bulletsuser"/>
          <w:lang w:eastAsia="en-US" w:bidi="ar-SA"/>
        </w:rPr>
      </w:pPr>
      <w:r>
        <w:rPr>
          <w:rStyle w:val="Bulletsuser"/>
          <w:lang w:eastAsia="en-US" w:bidi="ar-SA"/>
        </w:rPr>
        <w:t xml:space="preserve">Pain signatures calculated with Neural Pain Signature </w:t>
      </w:r>
    </w:p>
    <w:p>
      <w:pPr>
        <w:pStyle w:val="Normal"/>
        <w:numPr>
          <w:ilvl w:val="1"/>
          <w:numId w:val="13"/>
        </w:numPr>
        <w:suppressAutoHyphens w:val="false"/>
        <w:spacing w:before="0" w:after="0"/>
        <w:rPr>
          <w:rStyle w:val="Bulletsuser"/>
          <w:lang w:eastAsia="en-US" w:bidi="ar-SA"/>
        </w:rPr>
      </w:pPr>
      <w:r>
        <w:rPr>
          <w:rStyle w:val="Bulletsuser"/>
          <w:lang w:eastAsia="en-US" w:bidi="ar-SA"/>
        </w:rPr>
        <w:t xml:space="preserve">Info: </w:t>
      </w:r>
      <w:hyperlink r:id="rId10" w:tgtFrame="_blank">
        <w:r>
          <w:rPr>
            <w:rStyle w:val="Style6"/>
            <w:lang w:eastAsia="en-US" w:bidi="ar-SA"/>
          </w:rPr>
          <w:t xml:space="preserve">https://a2cps.github.io/starterkits/neural-pain-signatures.html </w:t>
        </w:r>
      </w:hyperlink>
    </w:p>
    <w:p>
      <w:pPr>
        <w:pStyle w:val="Normal"/>
        <w:numPr>
          <w:ilvl w:val="0"/>
          <w:numId w:val="13"/>
        </w:numPr>
        <w:suppressAutoHyphens w:val="false"/>
        <w:spacing w:before="0" w:after="0"/>
        <w:rPr>
          <w:rStyle w:val="Bulletsuser"/>
          <w:lang w:eastAsia="en-US" w:bidi="ar-SA"/>
        </w:rPr>
      </w:pPr>
      <w:r>
        <w:rPr>
          <w:rStyle w:val="Bulletsuser"/>
          <w:lang w:eastAsia="en-US" w:bidi="ar-SA"/>
        </w:rPr>
        <w:t>/mris/derivatives/synthstrip (T1w)</w:t>
      </w:r>
    </w:p>
    <w:p>
      <w:pPr>
        <w:pStyle w:val="Normal"/>
        <w:numPr>
          <w:ilvl w:val="1"/>
          <w:numId w:val="13"/>
        </w:numPr>
        <w:suppressAutoHyphens w:val="false"/>
        <w:spacing w:before="0" w:after="0"/>
        <w:rPr>
          <w:rStyle w:val="Bulletsuser"/>
          <w:lang w:eastAsia="en-US" w:bidi="ar-SA"/>
        </w:rPr>
      </w:pPr>
      <w:r>
        <w:rPr>
          <w:rStyle w:val="Bulletsuser"/>
          <w:lang w:eastAsia="en-US" w:bidi="ar-SA"/>
        </w:rPr>
        <w:t>Brain masks produced by synthstrip</w:t>
      </w:r>
    </w:p>
    <w:p>
      <w:pPr>
        <w:pStyle w:val="Heading1"/>
        <w:numPr>
          <w:ilvl w:val="0"/>
          <w:numId w:val="1"/>
        </w:numPr>
        <w:rPr/>
      </w:pPr>
      <w:bookmarkStart w:id="12" w:name="__RefHeading___Toc2885_70583006"/>
      <w:bookmarkStart w:id="13" w:name="_Toc200012173"/>
      <w:bookmarkEnd w:id="12"/>
      <w:r>
        <w:rPr/>
        <w:t>2. Summary of Site Information</w:t>
      </w:r>
      <w:bookmarkEnd w:id="13"/>
    </w:p>
    <w:p>
      <w:pPr>
        <w:pStyle w:val="Caption"/>
        <w:rPr/>
      </w:pPr>
      <w:r>
        <w:rPr>
          <w:b/>
          <w:bCs/>
        </w:rPr>
        <w:t>Table 1:</w:t>
      </w:r>
      <w:r>
        <w:rPr/>
        <w:t xml:space="preserve"> Scanners by site. Note that RU only began acquisition in 2024.</w:t>
      </w:r>
    </w:p>
    <w:tbl>
      <w:tblPr>
        <w:tblW w:w="9990" w:type="dxa"/>
        <w:jc w:val="start"/>
        <w:tblInd w:w="106" w:type="dxa"/>
        <w:tblLayout w:type="fixed"/>
        <w:tblCellMar>
          <w:top w:w="55" w:type="dxa"/>
          <w:start w:w="55" w:type="dxa"/>
          <w:bottom w:w="55" w:type="dxa"/>
          <w:end w:w="55" w:type="dxa"/>
        </w:tblCellMar>
        <w:tblLook w:firstRow="1" w:noVBand="1" w:lastRow="0" w:firstColumn="1" w:lastColumn="0" w:noHBand="0" w:val="04a0"/>
      </w:tblPr>
      <w:tblGrid>
        <w:gridCol w:w="814"/>
        <w:gridCol w:w="1408"/>
        <w:gridCol w:w="1427"/>
        <w:gridCol w:w="1110"/>
        <w:gridCol w:w="625"/>
        <w:gridCol w:w="1145"/>
        <w:gridCol w:w="3460"/>
      </w:tblGrid>
      <w:tr>
        <w:trPr>
          <w:tblHeader w:val="true"/>
          <w:trHeight w:val="510" w:hRule="atLeast"/>
          <w:cantSplit w:val="true"/>
        </w:trPr>
        <w:tc>
          <w:tcPr>
            <w:tcW w:w="814" w:type="dxa"/>
            <w:tcBorders>
              <w:top w:val="single" w:sz="4" w:space="0" w:color="000000"/>
              <w:start w:val="single" w:sz="4" w:space="0" w:color="000000"/>
              <w:bottom w:val="single" w:sz="4" w:space="0" w:color="000000"/>
            </w:tcBorders>
          </w:tcPr>
          <w:p>
            <w:pPr>
              <w:pStyle w:val="TableHeading"/>
              <w:rPr>
                <w:sz w:val="20"/>
                <w:szCs w:val="20"/>
              </w:rPr>
            </w:pPr>
            <w:r>
              <w:rPr>
                <w:sz w:val="20"/>
                <w:szCs w:val="20"/>
              </w:rPr>
              <w:t>Group</w:t>
            </w:r>
          </w:p>
        </w:tc>
        <w:tc>
          <w:tcPr>
            <w:tcW w:w="1408" w:type="dxa"/>
            <w:tcBorders>
              <w:top w:val="single" w:sz="4" w:space="0" w:color="000000"/>
              <w:start w:val="single" w:sz="4" w:space="0" w:color="000000"/>
              <w:bottom w:val="single" w:sz="4" w:space="0" w:color="000000"/>
            </w:tcBorders>
          </w:tcPr>
          <w:p>
            <w:pPr>
              <w:pStyle w:val="TableHeading"/>
              <w:spacing w:before="0" w:after="283"/>
              <w:rPr/>
            </w:pPr>
            <w:r>
              <w:rPr>
                <w:rStyle w:val="Strong"/>
                <w:b/>
                <w:bCs w:val="false"/>
                <w:sz w:val="20"/>
                <w:szCs w:val="20"/>
              </w:rPr>
              <w:t>Site</w:t>
            </w:r>
          </w:p>
        </w:tc>
        <w:tc>
          <w:tcPr>
            <w:tcW w:w="1427" w:type="dxa"/>
            <w:tcBorders>
              <w:top w:val="single" w:sz="4" w:space="0" w:color="000000"/>
              <w:start w:val="single" w:sz="4" w:space="0" w:color="000000"/>
              <w:bottom w:val="single" w:sz="4" w:space="0" w:color="000000"/>
            </w:tcBorders>
          </w:tcPr>
          <w:p>
            <w:pPr>
              <w:pStyle w:val="TableHeading"/>
              <w:spacing w:before="0" w:after="283"/>
              <w:rPr/>
            </w:pPr>
            <w:r>
              <w:rPr>
                <w:rStyle w:val="Strong"/>
                <w:b/>
                <w:bCs w:val="false"/>
                <w:sz w:val="20"/>
                <w:szCs w:val="20"/>
              </w:rPr>
              <w:t>Manufacturer</w:t>
            </w:r>
          </w:p>
        </w:tc>
        <w:tc>
          <w:tcPr>
            <w:tcW w:w="1110" w:type="dxa"/>
            <w:tcBorders>
              <w:top w:val="single" w:sz="4" w:space="0" w:color="000000"/>
              <w:start w:val="single" w:sz="4" w:space="0" w:color="000000"/>
              <w:bottom w:val="single" w:sz="4" w:space="0" w:color="000000"/>
            </w:tcBorders>
          </w:tcPr>
          <w:p>
            <w:pPr>
              <w:pStyle w:val="TableHeading"/>
              <w:spacing w:before="0" w:after="283"/>
              <w:rPr/>
            </w:pPr>
            <w:r>
              <w:rPr>
                <w:rStyle w:val="Strong"/>
                <w:b/>
                <w:bCs w:val="false"/>
                <w:sz w:val="20"/>
                <w:szCs w:val="20"/>
              </w:rPr>
              <w:t>Model</w:t>
            </w:r>
          </w:p>
        </w:tc>
        <w:tc>
          <w:tcPr>
            <w:tcW w:w="625" w:type="dxa"/>
            <w:tcBorders>
              <w:top w:val="single" w:sz="4" w:space="0" w:color="000000"/>
              <w:start w:val="single" w:sz="4" w:space="0" w:color="000000"/>
              <w:bottom w:val="single" w:sz="4" w:space="0" w:color="000000"/>
            </w:tcBorders>
          </w:tcPr>
          <w:p>
            <w:pPr>
              <w:pStyle w:val="TableHeading"/>
              <w:rPr>
                <w:sz w:val="20"/>
                <w:szCs w:val="20"/>
              </w:rPr>
            </w:pPr>
            <w:r>
              <w:rPr>
                <w:sz w:val="20"/>
                <w:szCs w:val="20"/>
              </w:rPr>
              <w:t>Bore</w:t>
            </w:r>
          </w:p>
        </w:tc>
        <w:tc>
          <w:tcPr>
            <w:tcW w:w="1145" w:type="dxa"/>
            <w:tcBorders>
              <w:top w:val="single" w:sz="4" w:space="0" w:color="000000"/>
              <w:start w:val="single" w:sz="4" w:space="0" w:color="000000"/>
              <w:bottom w:val="single" w:sz="4" w:space="0" w:color="000000"/>
            </w:tcBorders>
          </w:tcPr>
          <w:p>
            <w:pPr>
              <w:pStyle w:val="TableHeading"/>
              <w:rPr>
                <w:sz w:val="20"/>
                <w:szCs w:val="20"/>
              </w:rPr>
            </w:pPr>
            <w:r>
              <w:rPr>
                <w:sz w:val="20"/>
                <w:szCs w:val="20"/>
              </w:rPr>
              <w:t>Gradients</w:t>
            </w:r>
          </w:p>
        </w:tc>
        <w:tc>
          <w:tcPr>
            <w:tcW w:w="3460" w:type="dxa"/>
            <w:tcBorders>
              <w:top w:val="single" w:sz="4" w:space="0" w:color="000000"/>
              <w:start w:val="single" w:sz="4" w:space="0" w:color="000000"/>
              <w:bottom w:val="single" w:sz="4" w:space="0" w:color="000000"/>
              <w:end w:val="single" w:sz="4" w:space="0" w:color="000000"/>
            </w:tcBorders>
          </w:tcPr>
          <w:p>
            <w:pPr>
              <w:pStyle w:val="TableHeading"/>
              <w:spacing w:before="0" w:after="283"/>
              <w:rPr/>
            </w:pPr>
            <w:r>
              <w:rPr>
                <w:rStyle w:val="Strong"/>
                <w:b/>
                <w:bCs w:val="false"/>
                <w:sz w:val="20"/>
                <w:szCs w:val="20"/>
              </w:rPr>
              <w:t>Version</w:t>
            </w:r>
          </w:p>
        </w:tc>
      </w:tr>
      <w:tr>
        <w:trPr>
          <w:cantSplit w:val="true"/>
        </w:trPr>
        <w:tc>
          <w:tcPr>
            <w:tcW w:w="814" w:type="dxa"/>
            <w:vMerge w:val="restart"/>
            <w:tcBorders>
              <w:start w:val="single" w:sz="4" w:space="0" w:color="000000"/>
              <w:bottom w:val="single" w:sz="4" w:space="0" w:color="000000"/>
            </w:tcBorders>
            <w:vAlign w:val="center"/>
          </w:tcPr>
          <w:p>
            <w:pPr>
              <w:pStyle w:val="TableContents"/>
              <w:rPr>
                <w:b/>
                <w:bCs/>
                <w:sz w:val="20"/>
                <w:szCs w:val="20"/>
              </w:rPr>
            </w:pPr>
            <w:r>
              <w:rPr>
                <w:b/>
                <w:bCs/>
                <w:sz w:val="20"/>
                <w:szCs w:val="20"/>
              </w:rPr>
              <w:t>MCC1</w:t>
            </w:r>
          </w:p>
        </w:tc>
        <w:tc>
          <w:tcPr>
            <w:tcW w:w="1408" w:type="dxa"/>
            <w:tcBorders>
              <w:start w:val="single" w:sz="4" w:space="0" w:color="000000"/>
              <w:bottom w:val="single" w:sz="4" w:space="0" w:color="000000"/>
            </w:tcBorders>
            <w:vAlign w:val="center"/>
          </w:tcPr>
          <w:p>
            <w:pPr>
              <w:pStyle w:val="TableContents"/>
              <w:spacing w:before="0" w:after="283"/>
              <w:rPr>
                <w:sz w:val="20"/>
                <w:szCs w:val="20"/>
              </w:rPr>
            </w:pPr>
            <w:r>
              <w:rPr>
                <w:b/>
                <w:bCs/>
                <w:sz w:val="20"/>
                <w:szCs w:val="20"/>
              </w:rPr>
              <w:t xml:space="preserve">UI: </w:t>
            </w:r>
            <w:r>
              <w:rPr>
                <w:sz w:val="20"/>
                <w:szCs w:val="20"/>
              </w:rPr>
              <w:t>U. Illinois Chicago (UIC)</w:t>
            </w:r>
          </w:p>
        </w:tc>
        <w:tc>
          <w:tcPr>
            <w:tcW w:w="1427" w:type="dxa"/>
            <w:tcBorders>
              <w:start w:val="single" w:sz="4" w:space="0" w:color="000000"/>
              <w:bottom w:val="single" w:sz="4" w:space="0" w:color="000000"/>
            </w:tcBorders>
            <w:vAlign w:val="center"/>
          </w:tcPr>
          <w:p>
            <w:pPr>
              <w:pStyle w:val="TableContents"/>
              <w:spacing w:before="0" w:after="283"/>
              <w:rPr>
                <w:sz w:val="20"/>
                <w:szCs w:val="20"/>
              </w:rPr>
            </w:pPr>
            <w:r>
              <w:rPr>
                <w:sz w:val="20"/>
                <w:szCs w:val="20"/>
              </w:rPr>
              <w:t>GE</w:t>
            </w:r>
          </w:p>
        </w:tc>
        <w:tc>
          <w:tcPr>
            <w:tcW w:w="1110" w:type="dxa"/>
            <w:tcBorders>
              <w:start w:val="single" w:sz="4" w:space="0" w:color="000000"/>
              <w:bottom w:val="single" w:sz="4" w:space="0" w:color="000000"/>
            </w:tcBorders>
            <w:vAlign w:val="center"/>
          </w:tcPr>
          <w:p>
            <w:pPr>
              <w:pStyle w:val="TableContents"/>
              <w:spacing w:before="0" w:after="283"/>
              <w:rPr>
                <w:sz w:val="20"/>
                <w:szCs w:val="20"/>
              </w:rPr>
            </w:pPr>
            <w:r>
              <w:rPr>
                <w:sz w:val="20"/>
                <w:szCs w:val="20"/>
              </w:rPr>
              <w:t>Discovery 3T MR750</w:t>
            </w:r>
          </w:p>
        </w:tc>
        <w:tc>
          <w:tcPr>
            <w:tcW w:w="625" w:type="dxa"/>
            <w:tcBorders>
              <w:start w:val="single" w:sz="4" w:space="0" w:color="000000"/>
              <w:bottom w:val="single" w:sz="4" w:space="0" w:color="000000"/>
            </w:tcBorders>
            <w:vAlign w:val="center"/>
          </w:tcPr>
          <w:p>
            <w:pPr>
              <w:pStyle w:val="TableContents"/>
              <w:rPr>
                <w:sz w:val="20"/>
                <w:szCs w:val="20"/>
              </w:rPr>
            </w:pPr>
            <w:r>
              <w:rPr>
                <w:sz w:val="20"/>
                <w:szCs w:val="20"/>
              </w:rPr>
              <w:t>60cm</w:t>
            </w:r>
          </w:p>
        </w:tc>
        <w:tc>
          <w:tcPr>
            <w:tcW w:w="1145" w:type="dxa"/>
            <w:tcBorders>
              <w:start w:val="single" w:sz="4" w:space="0" w:color="000000"/>
              <w:bottom w:val="single" w:sz="4" w:space="0" w:color="000000"/>
            </w:tcBorders>
            <w:vAlign w:val="center"/>
          </w:tcPr>
          <w:p>
            <w:pPr>
              <w:pStyle w:val="TableContents"/>
              <w:rPr>
                <w:sz w:val="20"/>
                <w:szCs w:val="20"/>
              </w:rPr>
            </w:pPr>
            <w:r>
              <w:rPr>
                <w:sz w:val="20"/>
                <w:szCs w:val="20"/>
              </w:rPr>
              <w:t>50/200</w:t>
            </w:r>
          </w:p>
        </w:tc>
        <w:tc>
          <w:tcPr>
            <w:tcW w:w="3460" w:type="dxa"/>
            <w:tcBorders>
              <w:start w:val="single" w:sz="4" w:space="0" w:color="000000"/>
              <w:bottom w:val="single" w:sz="4" w:space="0" w:color="000000"/>
              <w:end w:val="single" w:sz="4" w:space="0" w:color="000000"/>
            </w:tcBorders>
            <w:vAlign w:val="center"/>
          </w:tcPr>
          <w:p>
            <w:pPr>
              <w:pStyle w:val="TableContents"/>
              <w:spacing w:before="0" w:after="283"/>
              <w:rPr>
                <w:sz w:val="20"/>
                <w:szCs w:val="20"/>
              </w:rPr>
            </w:pPr>
            <w:r>
              <w:rPr>
                <w:sz w:val="20"/>
                <w:szCs w:val="20"/>
              </w:rPr>
              <w:t>DV26.0 R02 1810.b</w:t>
            </w:r>
          </w:p>
        </w:tc>
      </w:tr>
      <w:tr>
        <w:trPr>
          <w:cantSplit w:val="true"/>
        </w:trPr>
        <w:tc>
          <w:tcPr>
            <w:tcW w:w="814" w:type="dxa"/>
            <w:vMerge w:val="continue"/>
            <w:tcBorders>
              <w:start w:val="single" w:sz="4" w:space="0" w:color="000000"/>
            </w:tcBorders>
            <w:vAlign w:val="center"/>
          </w:tcPr>
          <w:p>
            <w:pPr>
              <w:pStyle w:val="TableContents"/>
              <w:rPr>
                <w:sz w:val="20"/>
                <w:szCs w:val="20"/>
              </w:rPr>
            </w:pPr>
            <w:r>
              <w:rPr>
                <w:sz w:val="20"/>
                <w:szCs w:val="20"/>
              </w:rPr>
            </w:r>
          </w:p>
        </w:tc>
        <w:tc>
          <w:tcPr>
            <w:tcW w:w="1408" w:type="dxa"/>
            <w:tcBorders>
              <w:start w:val="single" w:sz="4" w:space="0" w:color="000000"/>
              <w:bottom w:val="single" w:sz="4" w:space="0" w:color="000000"/>
            </w:tcBorders>
            <w:vAlign w:val="center"/>
          </w:tcPr>
          <w:p>
            <w:pPr>
              <w:pStyle w:val="TableContents"/>
              <w:rPr>
                <w:sz w:val="20"/>
                <w:szCs w:val="20"/>
              </w:rPr>
            </w:pPr>
            <w:r>
              <w:rPr>
                <w:b/>
                <w:bCs/>
                <w:sz w:val="20"/>
                <w:szCs w:val="20"/>
              </w:rPr>
              <w:t xml:space="preserve">NS: </w:t>
            </w:r>
            <w:r>
              <w:rPr>
                <w:sz w:val="20"/>
                <w:szCs w:val="20"/>
              </w:rPr>
              <w:t>Endeavor Health</w:t>
            </w:r>
          </w:p>
        </w:tc>
        <w:tc>
          <w:tcPr>
            <w:tcW w:w="1427" w:type="dxa"/>
            <w:tcBorders>
              <w:start w:val="single" w:sz="4" w:space="0" w:color="000000"/>
              <w:bottom w:val="single" w:sz="4" w:space="0" w:color="000000"/>
            </w:tcBorders>
            <w:vAlign w:val="center"/>
          </w:tcPr>
          <w:p>
            <w:pPr>
              <w:pStyle w:val="TableContents"/>
              <w:rPr>
                <w:sz w:val="20"/>
                <w:szCs w:val="20"/>
              </w:rPr>
            </w:pPr>
            <w:r>
              <w:rPr>
                <w:sz w:val="20"/>
                <w:szCs w:val="20"/>
              </w:rPr>
              <w:t>Siemens</w:t>
            </w:r>
          </w:p>
        </w:tc>
        <w:tc>
          <w:tcPr>
            <w:tcW w:w="1110" w:type="dxa"/>
            <w:tcBorders>
              <w:start w:val="single" w:sz="4" w:space="0" w:color="000000"/>
              <w:bottom w:val="single" w:sz="4" w:space="0" w:color="000000"/>
            </w:tcBorders>
            <w:vAlign w:val="center"/>
          </w:tcPr>
          <w:p>
            <w:pPr>
              <w:pStyle w:val="TableContents"/>
              <w:rPr>
                <w:sz w:val="20"/>
                <w:szCs w:val="20"/>
              </w:rPr>
            </w:pPr>
            <w:r>
              <w:rPr>
                <w:sz w:val="20"/>
                <w:szCs w:val="20"/>
              </w:rPr>
              <w:t>Skyra_fit</w:t>
            </w:r>
          </w:p>
        </w:tc>
        <w:tc>
          <w:tcPr>
            <w:tcW w:w="625" w:type="dxa"/>
            <w:tcBorders>
              <w:start w:val="single" w:sz="4" w:space="0" w:color="000000"/>
              <w:bottom w:val="single" w:sz="4" w:space="0" w:color="000000"/>
            </w:tcBorders>
            <w:vAlign w:val="center"/>
          </w:tcPr>
          <w:p>
            <w:pPr>
              <w:pStyle w:val="TableContents"/>
              <w:rPr>
                <w:sz w:val="20"/>
                <w:szCs w:val="20"/>
              </w:rPr>
            </w:pPr>
            <w:r>
              <w:rPr>
                <w:sz w:val="20"/>
                <w:szCs w:val="20"/>
              </w:rPr>
              <w:t>70cm</w:t>
            </w:r>
          </w:p>
        </w:tc>
        <w:tc>
          <w:tcPr>
            <w:tcW w:w="1145" w:type="dxa"/>
            <w:tcBorders>
              <w:start w:val="single" w:sz="4" w:space="0" w:color="000000"/>
              <w:bottom w:val="single" w:sz="4" w:space="0" w:color="000000"/>
            </w:tcBorders>
            <w:vAlign w:val="center"/>
          </w:tcPr>
          <w:p>
            <w:pPr>
              <w:pStyle w:val="TableContents"/>
              <w:rPr>
                <w:sz w:val="20"/>
                <w:szCs w:val="20"/>
              </w:rPr>
            </w:pPr>
            <w:r>
              <w:rPr>
                <w:sz w:val="20"/>
                <w:szCs w:val="20"/>
              </w:rPr>
              <w:t>45/200</w:t>
            </w:r>
          </w:p>
        </w:tc>
        <w:tc>
          <w:tcPr>
            <w:tcW w:w="3460" w:type="dxa"/>
            <w:tcBorders>
              <w:start w:val="single" w:sz="4" w:space="0" w:color="000000"/>
              <w:bottom w:val="single" w:sz="4" w:space="0" w:color="000000"/>
              <w:end w:val="single" w:sz="4" w:space="0" w:color="000000"/>
            </w:tcBorders>
            <w:vAlign w:val="center"/>
          </w:tcPr>
          <w:p>
            <w:pPr>
              <w:pStyle w:val="TableContents"/>
              <w:rPr>
                <w:sz w:val="20"/>
                <w:szCs w:val="20"/>
              </w:rPr>
            </w:pPr>
            <w:r>
              <w:rPr>
                <w:sz w:val="20"/>
                <w:szCs w:val="20"/>
              </w:rPr>
              <w:t>syngo MR E11 (VE11C)</w:t>
            </w:r>
          </w:p>
        </w:tc>
      </w:tr>
      <w:tr>
        <w:trPr>
          <w:cantSplit w:val="true"/>
        </w:trPr>
        <w:tc>
          <w:tcPr>
            <w:tcW w:w="814" w:type="dxa"/>
            <w:vMerge w:val="continue"/>
            <w:tcBorders>
              <w:start w:val="single" w:sz="4" w:space="0" w:color="000000"/>
            </w:tcBorders>
            <w:vAlign w:val="center"/>
          </w:tcPr>
          <w:p>
            <w:pPr>
              <w:pStyle w:val="TableContents"/>
              <w:rPr>
                <w:sz w:val="20"/>
                <w:szCs w:val="20"/>
              </w:rPr>
            </w:pPr>
            <w:r>
              <w:rPr>
                <w:sz w:val="20"/>
                <w:szCs w:val="20"/>
              </w:rPr>
            </w:r>
          </w:p>
        </w:tc>
        <w:tc>
          <w:tcPr>
            <w:tcW w:w="1408" w:type="dxa"/>
            <w:tcBorders>
              <w:start w:val="single" w:sz="4" w:space="0" w:color="000000"/>
              <w:bottom w:val="single" w:sz="4" w:space="0" w:color="000000"/>
            </w:tcBorders>
            <w:vAlign w:val="center"/>
          </w:tcPr>
          <w:p>
            <w:pPr>
              <w:pStyle w:val="TableContents"/>
              <w:rPr>
                <w:sz w:val="20"/>
                <w:szCs w:val="20"/>
              </w:rPr>
            </w:pPr>
            <w:r>
              <w:rPr>
                <w:b/>
                <w:bCs/>
                <w:sz w:val="20"/>
                <w:szCs w:val="20"/>
              </w:rPr>
              <w:t xml:space="preserve">UC: </w:t>
            </w:r>
            <w:r>
              <w:rPr>
                <w:sz w:val="20"/>
                <w:szCs w:val="20"/>
              </w:rPr>
              <w:t>U. Chicago</w:t>
            </w:r>
          </w:p>
        </w:tc>
        <w:tc>
          <w:tcPr>
            <w:tcW w:w="1427" w:type="dxa"/>
            <w:tcBorders>
              <w:start w:val="single" w:sz="4" w:space="0" w:color="000000"/>
              <w:bottom w:val="single" w:sz="4" w:space="0" w:color="000000"/>
            </w:tcBorders>
            <w:vAlign w:val="center"/>
          </w:tcPr>
          <w:p>
            <w:pPr>
              <w:pStyle w:val="TableContents"/>
              <w:rPr>
                <w:sz w:val="20"/>
                <w:szCs w:val="20"/>
              </w:rPr>
            </w:pPr>
            <w:r>
              <w:rPr>
                <w:sz w:val="20"/>
                <w:szCs w:val="20"/>
              </w:rPr>
              <w:t>Philips</w:t>
            </w:r>
          </w:p>
        </w:tc>
        <w:tc>
          <w:tcPr>
            <w:tcW w:w="1110" w:type="dxa"/>
            <w:tcBorders>
              <w:start w:val="single" w:sz="4" w:space="0" w:color="000000"/>
              <w:bottom w:val="single" w:sz="4" w:space="0" w:color="000000"/>
            </w:tcBorders>
            <w:vAlign w:val="center"/>
          </w:tcPr>
          <w:p>
            <w:pPr>
              <w:pStyle w:val="TableContents"/>
              <w:rPr>
                <w:sz w:val="20"/>
                <w:szCs w:val="20"/>
              </w:rPr>
            </w:pPr>
            <w:r>
              <w:rPr>
                <w:sz w:val="20"/>
                <w:szCs w:val="20"/>
              </w:rPr>
              <w:t>Ingenia dStream</w:t>
            </w:r>
          </w:p>
        </w:tc>
        <w:tc>
          <w:tcPr>
            <w:tcW w:w="625" w:type="dxa"/>
            <w:tcBorders>
              <w:start w:val="single" w:sz="4" w:space="0" w:color="000000"/>
              <w:bottom w:val="single" w:sz="4" w:space="0" w:color="000000"/>
            </w:tcBorders>
            <w:vAlign w:val="center"/>
          </w:tcPr>
          <w:p>
            <w:pPr>
              <w:pStyle w:val="TableContents"/>
              <w:rPr>
                <w:sz w:val="20"/>
                <w:szCs w:val="20"/>
              </w:rPr>
            </w:pPr>
            <w:r>
              <w:rPr>
                <w:sz w:val="20"/>
                <w:szCs w:val="20"/>
              </w:rPr>
              <w:t>70cm</w:t>
            </w:r>
          </w:p>
        </w:tc>
        <w:tc>
          <w:tcPr>
            <w:tcW w:w="1145" w:type="dxa"/>
            <w:tcBorders>
              <w:start w:val="single" w:sz="4" w:space="0" w:color="000000"/>
              <w:bottom w:val="single" w:sz="4" w:space="0" w:color="000000"/>
            </w:tcBorders>
            <w:vAlign w:val="center"/>
          </w:tcPr>
          <w:p>
            <w:pPr>
              <w:pStyle w:val="TableContents"/>
              <w:rPr>
                <w:sz w:val="20"/>
                <w:szCs w:val="20"/>
              </w:rPr>
            </w:pPr>
            <w:r>
              <w:rPr>
                <w:sz w:val="20"/>
                <w:szCs w:val="20"/>
              </w:rPr>
              <w:t>80/200</w:t>
            </w:r>
          </w:p>
        </w:tc>
        <w:tc>
          <w:tcPr>
            <w:tcW w:w="3460" w:type="dxa"/>
            <w:tcBorders>
              <w:start w:val="single" w:sz="4" w:space="0" w:color="000000"/>
              <w:bottom w:val="single" w:sz="4" w:space="0" w:color="000000"/>
              <w:end w:val="single" w:sz="4" w:space="0" w:color="000000"/>
            </w:tcBorders>
            <w:vAlign w:val="center"/>
          </w:tcPr>
          <w:p>
            <w:pPr>
              <w:pStyle w:val="TableContents"/>
              <w:rPr>
                <w:sz w:val="20"/>
                <w:szCs w:val="20"/>
              </w:rPr>
            </w:pPr>
            <w:r>
              <w:rPr>
                <w:sz w:val="20"/>
                <w:szCs w:val="20"/>
              </w:rPr>
              <w:t>5.6.1.0</w:t>
            </w:r>
          </w:p>
        </w:tc>
      </w:tr>
      <w:tr>
        <w:trPr>
          <w:cantSplit w:val="true"/>
        </w:trPr>
        <w:tc>
          <w:tcPr>
            <w:tcW w:w="814" w:type="dxa"/>
            <w:vMerge w:val="continue"/>
            <w:tcBorders>
              <w:start w:val="single" w:sz="4" w:space="0" w:color="000000"/>
              <w:bottom w:val="single" w:sz="4" w:space="0" w:color="000000"/>
            </w:tcBorders>
            <w:vAlign w:val="center"/>
          </w:tcPr>
          <w:p>
            <w:pPr>
              <w:pStyle w:val="TableContents"/>
              <w:rPr>
                <w:sz w:val="20"/>
                <w:szCs w:val="20"/>
              </w:rPr>
            </w:pPr>
            <w:r>
              <w:rPr>
                <w:sz w:val="20"/>
                <w:szCs w:val="20"/>
              </w:rPr>
            </w:r>
          </w:p>
        </w:tc>
        <w:tc>
          <w:tcPr>
            <w:tcW w:w="1408" w:type="dxa"/>
            <w:tcBorders>
              <w:start w:val="single" w:sz="4" w:space="0" w:color="000000"/>
              <w:bottom w:val="single" w:sz="4" w:space="0" w:color="000000"/>
            </w:tcBorders>
            <w:vAlign w:val="center"/>
          </w:tcPr>
          <w:p>
            <w:pPr>
              <w:pStyle w:val="TableContents"/>
              <w:rPr>
                <w:sz w:val="20"/>
                <w:szCs w:val="20"/>
              </w:rPr>
            </w:pPr>
            <w:r>
              <w:rPr>
                <w:b/>
                <w:bCs/>
                <w:sz w:val="20"/>
                <w:szCs w:val="20"/>
              </w:rPr>
              <w:t>RU</w:t>
            </w:r>
            <w:r>
              <w:rPr>
                <w:sz w:val="20"/>
                <w:szCs w:val="20"/>
              </w:rPr>
              <w:t>: Rush University</w:t>
            </w:r>
          </w:p>
        </w:tc>
        <w:tc>
          <w:tcPr>
            <w:tcW w:w="1427" w:type="dxa"/>
            <w:tcBorders>
              <w:start w:val="single" w:sz="4" w:space="0" w:color="000000"/>
              <w:bottom w:val="single" w:sz="4" w:space="0" w:color="000000"/>
            </w:tcBorders>
            <w:vAlign w:val="center"/>
          </w:tcPr>
          <w:p>
            <w:pPr>
              <w:pStyle w:val="TableContents"/>
              <w:rPr>
                <w:sz w:val="20"/>
                <w:szCs w:val="20"/>
              </w:rPr>
            </w:pPr>
            <w:r>
              <w:rPr>
                <w:sz w:val="20"/>
                <w:szCs w:val="20"/>
              </w:rPr>
              <w:t>Siemens</w:t>
            </w:r>
          </w:p>
        </w:tc>
        <w:tc>
          <w:tcPr>
            <w:tcW w:w="1110" w:type="dxa"/>
            <w:tcBorders>
              <w:start w:val="single" w:sz="4" w:space="0" w:color="000000"/>
              <w:bottom w:val="single" w:sz="4" w:space="0" w:color="000000"/>
            </w:tcBorders>
            <w:vAlign w:val="center"/>
          </w:tcPr>
          <w:p>
            <w:pPr>
              <w:pStyle w:val="TableContents"/>
              <w:rPr>
                <w:sz w:val="20"/>
                <w:szCs w:val="20"/>
              </w:rPr>
            </w:pPr>
            <w:r>
              <w:rPr>
                <w:sz w:val="20"/>
                <w:szCs w:val="20"/>
              </w:rPr>
              <w:t>Prisma</w:t>
            </w:r>
          </w:p>
        </w:tc>
        <w:tc>
          <w:tcPr>
            <w:tcW w:w="625" w:type="dxa"/>
            <w:tcBorders>
              <w:start w:val="single" w:sz="4" w:space="0" w:color="000000"/>
              <w:bottom w:val="single" w:sz="4" w:space="0" w:color="000000"/>
            </w:tcBorders>
            <w:vAlign w:val="center"/>
          </w:tcPr>
          <w:p>
            <w:pPr>
              <w:pStyle w:val="TableContents"/>
              <w:rPr>
                <w:sz w:val="20"/>
                <w:szCs w:val="20"/>
              </w:rPr>
            </w:pPr>
            <w:r>
              <w:rPr>
                <w:sz w:val="20"/>
                <w:szCs w:val="20"/>
              </w:rPr>
              <w:t>60cm</w:t>
            </w:r>
          </w:p>
        </w:tc>
        <w:tc>
          <w:tcPr>
            <w:tcW w:w="1145" w:type="dxa"/>
            <w:tcBorders>
              <w:start w:val="single" w:sz="4" w:space="0" w:color="000000"/>
              <w:bottom w:val="single" w:sz="4" w:space="0" w:color="000000"/>
            </w:tcBorders>
            <w:vAlign w:val="center"/>
          </w:tcPr>
          <w:p>
            <w:pPr>
              <w:pStyle w:val="TableContents"/>
              <w:rPr>
                <w:sz w:val="20"/>
                <w:szCs w:val="20"/>
              </w:rPr>
            </w:pPr>
            <w:r>
              <w:rPr>
                <w:sz w:val="20"/>
                <w:szCs w:val="20"/>
              </w:rPr>
              <w:t>80/200</w:t>
            </w:r>
          </w:p>
        </w:tc>
        <w:tc>
          <w:tcPr>
            <w:tcW w:w="3460" w:type="dxa"/>
            <w:tcBorders>
              <w:start w:val="single" w:sz="4" w:space="0" w:color="000000"/>
              <w:bottom w:val="single" w:sz="4" w:space="0" w:color="000000"/>
              <w:end w:val="single" w:sz="4" w:space="0" w:color="000000"/>
            </w:tcBorders>
            <w:vAlign w:val="center"/>
          </w:tcPr>
          <w:p>
            <w:pPr>
              <w:pStyle w:val="TableContents"/>
              <w:rPr>
                <w:sz w:val="20"/>
                <w:szCs w:val="20"/>
              </w:rPr>
            </w:pPr>
            <w:r>
              <w:rPr>
                <w:sz w:val="20"/>
                <w:szCs w:val="20"/>
              </w:rPr>
              <w:t>XA30A</w:t>
            </w:r>
          </w:p>
        </w:tc>
      </w:tr>
      <w:tr>
        <w:trPr>
          <w:cantSplit w:val="true"/>
        </w:trPr>
        <w:tc>
          <w:tcPr>
            <w:tcW w:w="814" w:type="dxa"/>
            <w:vMerge w:val="restart"/>
            <w:tcBorders>
              <w:start w:val="single" w:sz="4" w:space="0" w:color="000000"/>
              <w:bottom w:val="single" w:sz="4" w:space="0" w:color="000000"/>
            </w:tcBorders>
            <w:vAlign w:val="center"/>
          </w:tcPr>
          <w:p>
            <w:pPr>
              <w:pStyle w:val="TableContents"/>
              <w:rPr>
                <w:b/>
                <w:bCs/>
                <w:sz w:val="20"/>
                <w:szCs w:val="20"/>
              </w:rPr>
            </w:pPr>
            <w:r>
              <w:rPr>
                <w:b/>
                <w:bCs/>
                <w:sz w:val="20"/>
                <w:szCs w:val="20"/>
              </w:rPr>
              <w:t>MCC2</w:t>
            </w:r>
          </w:p>
        </w:tc>
        <w:tc>
          <w:tcPr>
            <w:tcW w:w="1408" w:type="dxa"/>
            <w:vMerge w:val="restart"/>
            <w:tcBorders>
              <w:start w:val="single" w:sz="4" w:space="0" w:color="000000"/>
              <w:bottom w:val="single" w:sz="4" w:space="0" w:color="000000"/>
            </w:tcBorders>
            <w:vAlign w:val="center"/>
          </w:tcPr>
          <w:p>
            <w:pPr>
              <w:pStyle w:val="TableContents"/>
              <w:rPr>
                <w:sz w:val="20"/>
                <w:szCs w:val="20"/>
              </w:rPr>
            </w:pPr>
            <w:r>
              <w:rPr>
                <w:b/>
                <w:bCs/>
                <w:sz w:val="20"/>
                <w:szCs w:val="20"/>
              </w:rPr>
              <w:t xml:space="preserve">UM: </w:t>
            </w:r>
            <w:r>
              <w:rPr>
                <w:sz w:val="20"/>
                <w:szCs w:val="20"/>
              </w:rPr>
              <w:t>U. Michigan</w:t>
            </w:r>
          </w:p>
        </w:tc>
        <w:tc>
          <w:tcPr>
            <w:tcW w:w="1427" w:type="dxa"/>
            <w:tcBorders>
              <w:start w:val="single" w:sz="4" w:space="0" w:color="000000"/>
              <w:bottom w:val="single" w:sz="4" w:space="0" w:color="000000"/>
            </w:tcBorders>
            <w:vAlign w:val="center"/>
          </w:tcPr>
          <w:p>
            <w:pPr>
              <w:pStyle w:val="TableContents"/>
              <w:rPr>
                <w:sz w:val="20"/>
                <w:szCs w:val="20"/>
              </w:rPr>
            </w:pPr>
            <w:r>
              <w:rPr>
                <w:sz w:val="20"/>
                <w:szCs w:val="20"/>
              </w:rPr>
              <w:t>GE</w:t>
            </w:r>
          </w:p>
        </w:tc>
        <w:tc>
          <w:tcPr>
            <w:tcW w:w="1110" w:type="dxa"/>
            <w:tcBorders>
              <w:start w:val="single" w:sz="4" w:space="0" w:color="000000"/>
              <w:bottom w:val="single" w:sz="4" w:space="0" w:color="000000"/>
            </w:tcBorders>
            <w:vAlign w:val="center"/>
          </w:tcPr>
          <w:p>
            <w:pPr>
              <w:pStyle w:val="TableContents"/>
              <w:rPr>
                <w:sz w:val="20"/>
                <w:szCs w:val="20"/>
              </w:rPr>
            </w:pPr>
            <w:r>
              <w:rPr>
                <w:sz w:val="20"/>
                <w:szCs w:val="20"/>
              </w:rPr>
              <w:t>Discovery 3T MR750</w:t>
            </w:r>
          </w:p>
        </w:tc>
        <w:tc>
          <w:tcPr>
            <w:tcW w:w="625" w:type="dxa"/>
            <w:tcBorders>
              <w:start w:val="single" w:sz="4" w:space="0" w:color="000000"/>
              <w:bottom w:val="single" w:sz="4" w:space="0" w:color="000000"/>
            </w:tcBorders>
            <w:vAlign w:val="center"/>
          </w:tcPr>
          <w:p>
            <w:pPr>
              <w:pStyle w:val="TableContents"/>
              <w:rPr>
                <w:sz w:val="20"/>
                <w:szCs w:val="20"/>
              </w:rPr>
            </w:pPr>
            <w:r>
              <w:rPr>
                <w:sz w:val="20"/>
                <w:szCs w:val="20"/>
              </w:rPr>
              <w:t>60cm</w:t>
            </w:r>
          </w:p>
        </w:tc>
        <w:tc>
          <w:tcPr>
            <w:tcW w:w="1145" w:type="dxa"/>
            <w:tcBorders>
              <w:start w:val="single" w:sz="4" w:space="0" w:color="000000"/>
              <w:bottom w:val="single" w:sz="4" w:space="0" w:color="000000"/>
            </w:tcBorders>
            <w:vAlign w:val="center"/>
          </w:tcPr>
          <w:p>
            <w:pPr>
              <w:pStyle w:val="TableContents"/>
              <w:rPr>
                <w:sz w:val="20"/>
                <w:szCs w:val="20"/>
              </w:rPr>
            </w:pPr>
            <w:r>
              <w:rPr>
                <w:sz w:val="20"/>
                <w:szCs w:val="20"/>
              </w:rPr>
              <w:t>50/200</w:t>
            </w:r>
          </w:p>
        </w:tc>
        <w:tc>
          <w:tcPr>
            <w:tcW w:w="3460" w:type="dxa"/>
            <w:tcBorders>
              <w:start w:val="single" w:sz="4" w:space="0" w:color="000000"/>
              <w:bottom w:val="single" w:sz="4" w:space="0" w:color="000000"/>
              <w:end w:val="single" w:sz="4" w:space="0" w:color="000000"/>
            </w:tcBorders>
            <w:vAlign w:val="center"/>
          </w:tcPr>
          <w:p>
            <w:pPr>
              <w:pStyle w:val="TableContents"/>
              <w:rPr>
                <w:sz w:val="20"/>
                <w:szCs w:val="20"/>
              </w:rPr>
            </w:pPr>
            <w:r>
              <w:rPr>
                <w:sz w:val="20"/>
                <w:szCs w:val="20"/>
              </w:rPr>
              <w:t>DV26.0 R02 1810.b &amp; DV29.1 R02 2131.a</w:t>
            </w:r>
          </w:p>
        </w:tc>
      </w:tr>
      <w:tr>
        <w:trPr>
          <w:cantSplit w:val="true"/>
        </w:trPr>
        <w:tc>
          <w:tcPr>
            <w:tcW w:w="814" w:type="dxa"/>
            <w:vMerge w:val="continue"/>
            <w:tcBorders>
              <w:start w:val="single" w:sz="4" w:space="0" w:color="000000"/>
              <w:bottom w:val="single" w:sz="4" w:space="0" w:color="000000"/>
            </w:tcBorders>
            <w:vAlign w:val="center"/>
          </w:tcPr>
          <w:p>
            <w:pPr>
              <w:pStyle w:val="TableContents"/>
              <w:rPr>
                <w:sz w:val="20"/>
                <w:szCs w:val="20"/>
              </w:rPr>
            </w:pPr>
            <w:r>
              <w:rPr>
                <w:sz w:val="20"/>
                <w:szCs w:val="20"/>
              </w:rPr>
            </w:r>
          </w:p>
        </w:tc>
        <w:tc>
          <w:tcPr>
            <w:tcW w:w="1408" w:type="dxa"/>
            <w:vMerge w:val="continue"/>
            <w:tcBorders>
              <w:start w:val="single" w:sz="4" w:space="0" w:color="000000"/>
              <w:bottom w:val="single" w:sz="4" w:space="0" w:color="000000"/>
            </w:tcBorders>
            <w:vAlign w:val="center"/>
          </w:tcPr>
          <w:p>
            <w:pPr>
              <w:pStyle w:val="TableContents"/>
              <w:rPr>
                <w:sz w:val="20"/>
                <w:szCs w:val="20"/>
              </w:rPr>
            </w:pPr>
            <w:r>
              <w:rPr>
                <w:sz w:val="20"/>
                <w:szCs w:val="20"/>
              </w:rPr>
            </w:r>
          </w:p>
        </w:tc>
        <w:tc>
          <w:tcPr>
            <w:tcW w:w="1427" w:type="dxa"/>
            <w:tcBorders>
              <w:start w:val="single" w:sz="4" w:space="0" w:color="000000"/>
              <w:bottom w:val="single" w:sz="4" w:space="0" w:color="000000"/>
            </w:tcBorders>
            <w:vAlign w:val="center"/>
          </w:tcPr>
          <w:p>
            <w:pPr>
              <w:pStyle w:val="TableContents"/>
              <w:rPr>
                <w:sz w:val="20"/>
                <w:szCs w:val="20"/>
              </w:rPr>
            </w:pPr>
            <w:r>
              <w:rPr>
                <w:sz w:val="20"/>
                <w:szCs w:val="20"/>
              </w:rPr>
              <w:t>GE</w:t>
            </w:r>
          </w:p>
        </w:tc>
        <w:tc>
          <w:tcPr>
            <w:tcW w:w="1110" w:type="dxa"/>
            <w:tcBorders>
              <w:start w:val="single" w:sz="4" w:space="0" w:color="000000"/>
              <w:bottom w:val="single" w:sz="4" w:space="0" w:color="000000"/>
            </w:tcBorders>
            <w:vAlign w:val="center"/>
          </w:tcPr>
          <w:p>
            <w:pPr>
              <w:pStyle w:val="TableContents"/>
              <w:rPr>
                <w:sz w:val="20"/>
                <w:szCs w:val="20"/>
              </w:rPr>
            </w:pPr>
            <w:r>
              <w:rPr>
                <w:sz w:val="20"/>
                <w:szCs w:val="20"/>
              </w:rPr>
              <w:t>Signa UHP</w:t>
            </w:r>
          </w:p>
        </w:tc>
        <w:tc>
          <w:tcPr>
            <w:tcW w:w="625" w:type="dxa"/>
            <w:tcBorders>
              <w:start w:val="single" w:sz="4" w:space="0" w:color="000000"/>
              <w:bottom w:val="single" w:sz="4" w:space="0" w:color="000000"/>
            </w:tcBorders>
            <w:vAlign w:val="center"/>
          </w:tcPr>
          <w:p>
            <w:pPr>
              <w:pStyle w:val="TableContents"/>
              <w:rPr>
                <w:sz w:val="20"/>
                <w:szCs w:val="20"/>
              </w:rPr>
            </w:pPr>
            <w:r>
              <w:rPr>
                <w:sz w:val="20"/>
                <w:szCs w:val="20"/>
              </w:rPr>
              <w:t>60 cm</w:t>
            </w:r>
          </w:p>
        </w:tc>
        <w:tc>
          <w:tcPr>
            <w:tcW w:w="1145" w:type="dxa"/>
            <w:tcBorders>
              <w:start w:val="single" w:sz="4" w:space="0" w:color="000000"/>
              <w:bottom w:val="single" w:sz="4" w:space="0" w:color="000000"/>
            </w:tcBorders>
            <w:vAlign w:val="center"/>
          </w:tcPr>
          <w:p>
            <w:pPr>
              <w:pStyle w:val="TableContents"/>
              <w:rPr>
                <w:sz w:val="20"/>
                <w:szCs w:val="20"/>
              </w:rPr>
            </w:pPr>
            <w:r>
              <w:rPr>
                <w:sz w:val="20"/>
                <w:szCs w:val="20"/>
              </w:rPr>
              <w:t>100/200</w:t>
            </w:r>
          </w:p>
        </w:tc>
        <w:tc>
          <w:tcPr>
            <w:tcW w:w="3460" w:type="dxa"/>
            <w:tcBorders>
              <w:start w:val="single" w:sz="4" w:space="0" w:color="000000"/>
              <w:bottom w:val="single" w:sz="4" w:space="0" w:color="000000"/>
              <w:end w:val="single" w:sz="4" w:space="0" w:color="000000"/>
            </w:tcBorders>
            <w:vAlign w:val="center"/>
          </w:tcPr>
          <w:p>
            <w:pPr>
              <w:pStyle w:val="TableContents"/>
              <w:rPr>
                <w:sz w:val="20"/>
                <w:szCs w:val="20"/>
              </w:rPr>
            </w:pPr>
            <w:r>
              <w:rPr>
                <w:sz w:val="20"/>
                <w:szCs w:val="20"/>
              </w:rPr>
              <w:t>RX28.0 R04 UHP3T 2111.a</w:t>
            </w:r>
          </w:p>
        </w:tc>
      </w:tr>
      <w:tr>
        <w:trPr>
          <w:cantSplit w:val="true"/>
        </w:trPr>
        <w:tc>
          <w:tcPr>
            <w:tcW w:w="814" w:type="dxa"/>
            <w:vMerge w:val="continue"/>
            <w:tcBorders>
              <w:start w:val="single" w:sz="4" w:space="0" w:color="000000"/>
              <w:bottom w:val="single" w:sz="4" w:space="0" w:color="000000"/>
            </w:tcBorders>
            <w:vAlign w:val="center"/>
          </w:tcPr>
          <w:p>
            <w:pPr>
              <w:pStyle w:val="TableContents"/>
              <w:rPr>
                <w:sz w:val="20"/>
                <w:szCs w:val="20"/>
              </w:rPr>
            </w:pPr>
            <w:r>
              <w:rPr>
                <w:sz w:val="20"/>
                <w:szCs w:val="20"/>
              </w:rPr>
            </w:r>
          </w:p>
        </w:tc>
        <w:tc>
          <w:tcPr>
            <w:tcW w:w="1408" w:type="dxa"/>
            <w:tcBorders>
              <w:start w:val="single" w:sz="4" w:space="0" w:color="000000"/>
              <w:bottom w:val="single" w:sz="4" w:space="0" w:color="000000"/>
            </w:tcBorders>
            <w:vAlign w:val="center"/>
          </w:tcPr>
          <w:p>
            <w:pPr>
              <w:pStyle w:val="TableContents"/>
              <w:rPr>
                <w:sz w:val="20"/>
                <w:szCs w:val="20"/>
              </w:rPr>
            </w:pPr>
            <w:r>
              <w:rPr>
                <w:b/>
                <w:bCs/>
                <w:sz w:val="20"/>
                <w:szCs w:val="20"/>
              </w:rPr>
              <w:t>WS</w:t>
            </w:r>
            <w:r>
              <w:rPr>
                <w:sz w:val="20"/>
                <w:szCs w:val="20"/>
              </w:rPr>
              <w:t>: Wayne State</w:t>
            </w:r>
          </w:p>
        </w:tc>
        <w:tc>
          <w:tcPr>
            <w:tcW w:w="1427" w:type="dxa"/>
            <w:tcBorders>
              <w:start w:val="single" w:sz="4" w:space="0" w:color="000000"/>
              <w:bottom w:val="single" w:sz="4" w:space="0" w:color="000000"/>
            </w:tcBorders>
            <w:vAlign w:val="center"/>
          </w:tcPr>
          <w:p>
            <w:pPr>
              <w:pStyle w:val="TableContents"/>
              <w:rPr>
                <w:sz w:val="20"/>
                <w:szCs w:val="20"/>
              </w:rPr>
            </w:pPr>
            <w:r>
              <w:rPr>
                <w:sz w:val="20"/>
                <w:szCs w:val="20"/>
              </w:rPr>
              <w:t>Siemens</w:t>
            </w:r>
          </w:p>
        </w:tc>
        <w:tc>
          <w:tcPr>
            <w:tcW w:w="1110" w:type="dxa"/>
            <w:tcBorders>
              <w:start w:val="single" w:sz="4" w:space="0" w:color="000000"/>
              <w:bottom w:val="single" w:sz="4" w:space="0" w:color="000000"/>
            </w:tcBorders>
            <w:vAlign w:val="center"/>
          </w:tcPr>
          <w:p>
            <w:pPr>
              <w:pStyle w:val="TableContents"/>
              <w:rPr>
                <w:sz w:val="20"/>
                <w:szCs w:val="20"/>
              </w:rPr>
            </w:pPr>
            <w:r>
              <w:rPr>
                <w:sz w:val="20"/>
                <w:szCs w:val="20"/>
              </w:rPr>
              <w:t>Verio</w:t>
            </w:r>
          </w:p>
        </w:tc>
        <w:tc>
          <w:tcPr>
            <w:tcW w:w="625" w:type="dxa"/>
            <w:tcBorders>
              <w:start w:val="single" w:sz="4" w:space="0" w:color="000000"/>
              <w:bottom w:val="single" w:sz="4" w:space="0" w:color="000000"/>
            </w:tcBorders>
            <w:vAlign w:val="center"/>
          </w:tcPr>
          <w:p>
            <w:pPr>
              <w:pStyle w:val="TableContents"/>
              <w:rPr>
                <w:sz w:val="20"/>
                <w:szCs w:val="20"/>
              </w:rPr>
            </w:pPr>
            <w:r>
              <w:rPr>
                <w:sz w:val="20"/>
                <w:szCs w:val="20"/>
              </w:rPr>
              <w:t>70cm</w:t>
            </w:r>
          </w:p>
        </w:tc>
        <w:tc>
          <w:tcPr>
            <w:tcW w:w="1145" w:type="dxa"/>
            <w:tcBorders>
              <w:start w:val="single" w:sz="4" w:space="0" w:color="000000"/>
              <w:bottom w:val="single" w:sz="4" w:space="0" w:color="000000"/>
            </w:tcBorders>
            <w:vAlign w:val="center"/>
          </w:tcPr>
          <w:p>
            <w:pPr>
              <w:pStyle w:val="TableContents"/>
              <w:rPr>
                <w:sz w:val="20"/>
                <w:szCs w:val="20"/>
              </w:rPr>
            </w:pPr>
            <w:r>
              <w:rPr>
                <w:sz w:val="20"/>
                <w:szCs w:val="20"/>
              </w:rPr>
              <w:t>45/200</w:t>
            </w:r>
          </w:p>
        </w:tc>
        <w:tc>
          <w:tcPr>
            <w:tcW w:w="3460" w:type="dxa"/>
            <w:tcBorders>
              <w:start w:val="single" w:sz="4" w:space="0" w:color="000000"/>
              <w:bottom w:val="single" w:sz="4" w:space="0" w:color="000000"/>
              <w:end w:val="single" w:sz="4" w:space="0" w:color="000000"/>
            </w:tcBorders>
            <w:vAlign w:val="center"/>
          </w:tcPr>
          <w:p>
            <w:pPr>
              <w:pStyle w:val="TableContents"/>
              <w:rPr>
                <w:sz w:val="20"/>
                <w:szCs w:val="20"/>
              </w:rPr>
            </w:pPr>
            <w:r>
              <w:rPr>
                <w:sz w:val="20"/>
                <w:szCs w:val="20"/>
              </w:rPr>
              <w:t>syngo MR B17</w:t>
            </w:r>
          </w:p>
        </w:tc>
      </w:tr>
      <w:tr>
        <w:trPr>
          <w:cantSplit w:val="true"/>
        </w:trPr>
        <w:tc>
          <w:tcPr>
            <w:tcW w:w="814" w:type="dxa"/>
            <w:vMerge w:val="continue"/>
            <w:tcBorders>
              <w:start w:val="single" w:sz="4" w:space="0" w:color="000000"/>
              <w:bottom w:val="single" w:sz="4" w:space="0" w:color="000000"/>
            </w:tcBorders>
            <w:vAlign w:val="center"/>
          </w:tcPr>
          <w:p>
            <w:pPr>
              <w:pStyle w:val="TableContents"/>
              <w:rPr>
                <w:sz w:val="20"/>
                <w:szCs w:val="20"/>
              </w:rPr>
            </w:pPr>
            <w:r>
              <w:rPr>
                <w:sz w:val="20"/>
                <w:szCs w:val="20"/>
              </w:rPr>
            </w:r>
          </w:p>
        </w:tc>
        <w:tc>
          <w:tcPr>
            <w:tcW w:w="1408" w:type="dxa"/>
            <w:tcBorders>
              <w:start w:val="single" w:sz="4" w:space="0" w:color="000000"/>
              <w:bottom w:val="single" w:sz="4" w:space="0" w:color="000000"/>
            </w:tcBorders>
            <w:vAlign w:val="center"/>
          </w:tcPr>
          <w:p>
            <w:pPr>
              <w:pStyle w:val="TableContents"/>
              <w:rPr>
                <w:sz w:val="20"/>
                <w:szCs w:val="20"/>
              </w:rPr>
            </w:pPr>
            <w:r>
              <w:rPr>
                <w:b/>
                <w:bCs/>
                <w:sz w:val="20"/>
                <w:szCs w:val="20"/>
              </w:rPr>
              <w:t>SH</w:t>
            </w:r>
            <w:r>
              <w:rPr>
                <w:sz w:val="20"/>
                <w:szCs w:val="20"/>
              </w:rPr>
              <w:t>: Corewell Health/MSU - Grand Rapids</w:t>
            </w:r>
          </w:p>
        </w:tc>
        <w:tc>
          <w:tcPr>
            <w:tcW w:w="1427" w:type="dxa"/>
            <w:tcBorders>
              <w:start w:val="single" w:sz="4" w:space="0" w:color="000000"/>
              <w:bottom w:val="single" w:sz="4" w:space="0" w:color="000000"/>
            </w:tcBorders>
            <w:vAlign w:val="center"/>
          </w:tcPr>
          <w:p>
            <w:pPr>
              <w:pStyle w:val="TableContents"/>
              <w:rPr>
                <w:sz w:val="20"/>
                <w:szCs w:val="20"/>
              </w:rPr>
            </w:pPr>
            <w:r>
              <w:rPr>
                <w:sz w:val="20"/>
                <w:szCs w:val="20"/>
              </w:rPr>
              <w:t>Siemens</w:t>
            </w:r>
          </w:p>
        </w:tc>
        <w:tc>
          <w:tcPr>
            <w:tcW w:w="1110" w:type="dxa"/>
            <w:tcBorders>
              <w:start w:val="single" w:sz="4" w:space="0" w:color="000000"/>
              <w:bottom w:val="single" w:sz="4" w:space="0" w:color="000000"/>
            </w:tcBorders>
            <w:vAlign w:val="center"/>
          </w:tcPr>
          <w:p>
            <w:pPr>
              <w:pStyle w:val="TableContents"/>
              <w:rPr>
                <w:sz w:val="20"/>
                <w:szCs w:val="20"/>
              </w:rPr>
            </w:pPr>
            <w:r>
              <w:rPr>
                <w:sz w:val="20"/>
                <w:szCs w:val="20"/>
              </w:rPr>
              <w:t>Prisma</w:t>
            </w:r>
          </w:p>
        </w:tc>
        <w:tc>
          <w:tcPr>
            <w:tcW w:w="625" w:type="dxa"/>
            <w:tcBorders>
              <w:start w:val="single" w:sz="4" w:space="0" w:color="000000"/>
              <w:bottom w:val="single" w:sz="4" w:space="0" w:color="000000"/>
            </w:tcBorders>
            <w:vAlign w:val="center"/>
          </w:tcPr>
          <w:p>
            <w:pPr>
              <w:pStyle w:val="TableContents"/>
              <w:rPr>
                <w:sz w:val="20"/>
                <w:szCs w:val="20"/>
              </w:rPr>
            </w:pPr>
            <w:r>
              <w:rPr>
                <w:sz w:val="20"/>
                <w:szCs w:val="20"/>
              </w:rPr>
              <w:t>60cm</w:t>
            </w:r>
          </w:p>
        </w:tc>
        <w:tc>
          <w:tcPr>
            <w:tcW w:w="1145" w:type="dxa"/>
            <w:tcBorders>
              <w:start w:val="single" w:sz="4" w:space="0" w:color="000000"/>
              <w:bottom w:val="single" w:sz="4" w:space="0" w:color="000000"/>
            </w:tcBorders>
            <w:vAlign w:val="center"/>
          </w:tcPr>
          <w:p>
            <w:pPr>
              <w:pStyle w:val="TableContents"/>
              <w:rPr>
                <w:sz w:val="20"/>
                <w:szCs w:val="20"/>
              </w:rPr>
            </w:pPr>
            <w:r>
              <w:rPr>
                <w:sz w:val="20"/>
                <w:szCs w:val="20"/>
              </w:rPr>
              <w:t>80/200</w:t>
            </w:r>
          </w:p>
        </w:tc>
        <w:tc>
          <w:tcPr>
            <w:tcW w:w="3460" w:type="dxa"/>
            <w:tcBorders>
              <w:start w:val="single" w:sz="4" w:space="0" w:color="000000"/>
              <w:bottom w:val="single" w:sz="4" w:space="0" w:color="000000"/>
              <w:end w:val="single" w:sz="4" w:space="0" w:color="000000"/>
            </w:tcBorders>
            <w:vAlign w:val="center"/>
          </w:tcPr>
          <w:p>
            <w:pPr>
              <w:pStyle w:val="TableContents"/>
              <w:rPr>
                <w:sz w:val="20"/>
                <w:szCs w:val="20"/>
              </w:rPr>
            </w:pPr>
            <w:r>
              <w:rPr>
                <w:sz w:val="20"/>
                <w:szCs w:val="20"/>
              </w:rPr>
              <w:t>MR E11 (VE11C) &amp; XA30</w:t>
            </w:r>
          </w:p>
        </w:tc>
      </w:tr>
    </w:tbl>
    <w:p>
      <w:pPr>
        <w:pStyle w:val="BodyText"/>
        <w:rPr/>
      </w:pPr>
      <w:r>
        <w:rPr/>
        <w:t>Gradients: Maximum mT/m amplitude and T/m/s slew rate</w:t>
      </w:r>
    </w:p>
    <w:p>
      <w:pPr>
        <w:pStyle w:val="BodyText"/>
        <w:rPr/>
      </w:pPr>
      <w:r>
        <w:rPr/>
        <w:t>Corewell Health began the study as Spectrum Health, and thus has the designation “SH”, and likewise Endeavor Health began as “NorthShore”.</w:t>
      </w:r>
    </w:p>
    <w:p>
      <w:pPr>
        <w:pStyle w:val="Caption"/>
        <w:rPr/>
      </w:pPr>
      <w:r>
        <w:rPr>
          <w:b/>
          <w:bCs/>
        </w:rPr>
        <w:t>Table 2</w:t>
      </w:r>
      <w:r>
        <w:rPr/>
        <w:t>: Headcoils and multiband implementations by site.</w:t>
      </w:r>
    </w:p>
    <w:tbl>
      <w:tblPr>
        <w:tblW w:w="7500" w:type="dxa"/>
        <w:jc w:val="start"/>
        <w:tblInd w:w="62" w:type="dxa"/>
        <w:tblLayout w:type="fixed"/>
        <w:tblCellMar>
          <w:top w:w="29" w:type="dxa"/>
          <w:start w:w="29" w:type="dxa"/>
          <w:bottom w:w="29" w:type="dxa"/>
          <w:end w:w="29" w:type="dxa"/>
        </w:tblCellMar>
        <w:tblLook w:firstRow="1" w:noVBand="1" w:lastRow="0" w:firstColumn="1" w:lastColumn="0" w:noHBand="0" w:val="04a0"/>
      </w:tblPr>
      <w:tblGrid>
        <w:gridCol w:w="798"/>
        <w:gridCol w:w="942"/>
        <w:gridCol w:w="2610"/>
        <w:gridCol w:w="3149"/>
      </w:tblGrid>
      <w:tr>
        <w:trPr>
          <w:tblHeader w:val="true"/>
        </w:trPr>
        <w:tc>
          <w:tcPr>
            <w:tcW w:w="798" w:type="dxa"/>
            <w:tcBorders>
              <w:top w:val="single" w:sz="2" w:space="0" w:color="000000"/>
              <w:start w:val="single" w:sz="2" w:space="0" w:color="000000"/>
              <w:bottom w:val="single" w:sz="2" w:space="0" w:color="000000"/>
            </w:tcBorders>
            <w:vAlign w:val="center"/>
          </w:tcPr>
          <w:p>
            <w:pPr>
              <w:pStyle w:val="TableHeading"/>
              <w:rPr>
                <w:sz w:val="20"/>
                <w:szCs w:val="20"/>
              </w:rPr>
            </w:pPr>
            <w:r>
              <w:rPr>
                <w:sz w:val="20"/>
                <w:szCs w:val="20"/>
              </w:rPr>
              <w:t>Group</w:t>
            </w:r>
          </w:p>
        </w:tc>
        <w:tc>
          <w:tcPr>
            <w:tcW w:w="942" w:type="dxa"/>
            <w:tcBorders>
              <w:top w:val="single" w:sz="2" w:space="0" w:color="000000"/>
              <w:start w:val="single" w:sz="2" w:space="0" w:color="000000"/>
              <w:bottom w:val="single" w:sz="2" w:space="0" w:color="000000"/>
            </w:tcBorders>
            <w:vAlign w:val="center"/>
          </w:tcPr>
          <w:p>
            <w:pPr>
              <w:pStyle w:val="TableHeading"/>
              <w:rPr>
                <w:sz w:val="20"/>
                <w:szCs w:val="20"/>
              </w:rPr>
            </w:pPr>
            <w:r>
              <w:rPr>
                <w:sz w:val="20"/>
                <w:szCs w:val="20"/>
              </w:rPr>
              <w:t>Site</w:t>
            </w:r>
          </w:p>
        </w:tc>
        <w:tc>
          <w:tcPr>
            <w:tcW w:w="2610" w:type="dxa"/>
            <w:tcBorders>
              <w:top w:val="single" w:sz="2" w:space="0" w:color="000000"/>
              <w:start w:val="single" w:sz="2" w:space="0" w:color="000000"/>
              <w:bottom w:val="single" w:sz="2" w:space="0" w:color="000000"/>
            </w:tcBorders>
            <w:vAlign w:val="center"/>
          </w:tcPr>
          <w:p>
            <w:pPr>
              <w:pStyle w:val="TableHeading"/>
              <w:rPr>
                <w:sz w:val="20"/>
                <w:szCs w:val="20"/>
              </w:rPr>
            </w:pPr>
            <w:r>
              <w:rPr>
                <w:sz w:val="20"/>
                <w:szCs w:val="20"/>
              </w:rPr>
              <w:t>Head Coil</w:t>
            </w:r>
          </w:p>
        </w:tc>
        <w:tc>
          <w:tcPr>
            <w:tcW w:w="3149" w:type="dxa"/>
            <w:tcBorders>
              <w:top w:val="single" w:sz="2" w:space="0" w:color="000000"/>
              <w:start w:val="single" w:sz="2" w:space="0" w:color="000000"/>
              <w:bottom w:val="single" w:sz="2" w:space="0" w:color="000000"/>
              <w:end w:val="single" w:sz="2" w:space="0" w:color="000000"/>
            </w:tcBorders>
            <w:vAlign w:val="center"/>
          </w:tcPr>
          <w:p>
            <w:pPr>
              <w:pStyle w:val="TableHeading"/>
              <w:rPr>
                <w:sz w:val="20"/>
                <w:szCs w:val="20"/>
              </w:rPr>
            </w:pPr>
            <w:r>
              <w:rPr>
                <w:sz w:val="20"/>
                <w:szCs w:val="20"/>
              </w:rPr>
              <w:t>Multiband</w:t>
            </w:r>
          </w:p>
        </w:tc>
      </w:tr>
      <w:tr>
        <w:trPr/>
        <w:tc>
          <w:tcPr>
            <w:tcW w:w="798" w:type="dxa"/>
            <w:vMerge w:val="restart"/>
            <w:tcBorders>
              <w:start w:val="single" w:sz="2" w:space="0" w:color="000000"/>
              <w:bottom w:val="single" w:sz="2" w:space="0" w:color="000000"/>
            </w:tcBorders>
            <w:vAlign w:val="center"/>
          </w:tcPr>
          <w:p>
            <w:pPr>
              <w:pStyle w:val="TableContents"/>
              <w:rPr>
                <w:b/>
                <w:bCs/>
                <w:sz w:val="20"/>
                <w:szCs w:val="20"/>
              </w:rPr>
            </w:pPr>
            <w:r>
              <w:rPr>
                <w:b/>
                <w:bCs/>
                <w:sz w:val="20"/>
                <w:szCs w:val="20"/>
              </w:rPr>
              <w:t>MCC1</w:t>
            </w:r>
          </w:p>
        </w:tc>
        <w:tc>
          <w:tcPr>
            <w:tcW w:w="942" w:type="dxa"/>
            <w:tcBorders>
              <w:start w:val="single" w:sz="2" w:space="0" w:color="000000"/>
              <w:bottom w:val="single" w:sz="2" w:space="0" w:color="000000"/>
            </w:tcBorders>
            <w:vAlign w:val="center"/>
          </w:tcPr>
          <w:p>
            <w:pPr>
              <w:pStyle w:val="TableContents"/>
              <w:rPr>
                <w:sz w:val="20"/>
                <w:szCs w:val="20"/>
              </w:rPr>
            </w:pPr>
            <w:r>
              <w:rPr>
                <w:sz w:val="20"/>
                <w:szCs w:val="20"/>
              </w:rPr>
              <w:t>UI</w:t>
            </w:r>
          </w:p>
        </w:tc>
        <w:tc>
          <w:tcPr>
            <w:tcW w:w="2610" w:type="dxa"/>
            <w:tcBorders>
              <w:start w:val="single" w:sz="2" w:space="0" w:color="000000"/>
              <w:bottom w:val="single" w:sz="2" w:space="0" w:color="000000"/>
            </w:tcBorders>
            <w:vAlign w:val="center"/>
          </w:tcPr>
          <w:p>
            <w:pPr>
              <w:pStyle w:val="TableContents"/>
              <w:rPr>
                <w:sz w:val="20"/>
                <w:szCs w:val="20"/>
              </w:rPr>
            </w:pPr>
            <w:r>
              <w:rPr>
                <w:sz w:val="20"/>
                <w:szCs w:val="20"/>
              </w:rPr>
              <w:t>Nova Medical 32ch</w:t>
            </w:r>
          </w:p>
        </w:tc>
        <w:tc>
          <w:tcPr>
            <w:tcW w:w="3149"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ABCD</w:t>
            </w:r>
          </w:p>
        </w:tc>
      </w:tr>
      <w:tr>
        <w:trPr/>
        <w:tc>
          <w:tcPr>
            <w:tcW w:w="798" w:type="dxa"/>
            <w:vMerge w:val="continue"/>
            <w:tcBorders>
              <w:start w:val="single" w:sz="2" w:space="0" w:color="000000"/>
            </w:tcBorders>
            <w:vAlign w:val="center"/>
          </w:tcPr>
          <w:p>
            <w:pPr>
              <w:pStyle w:val="TableContents"/>
              <w:rPr>
                <w:sz w:val="20"/>
                <w:szCs w:val="20"/>
              </w:rPr>
            </w:pPr>
            <w:r>
              <w:rPr>
                <w:sz w:val="20"/>
                <w:szCs w:val="20"/>
              </w:rPr>
            </w:r>
          </w:p>
        </w:tc>
        <w:tc>
          <w:tcPr>
            <w:tcW w:w="942" w:type="dxa"/>
            <w:tcBorders>
              <w:start w:val="single" w:sz="2" w:space="0" w:color="000000"/>
              <w:bottom w:val="single" w:sz="2" w:space="0" w:color="000000"/>
            </w:tcBorders>
            <w:vAlign w:val="center"/>
          </w:tcPr>
          <w:p>
            <w:pPr>
              <w:pStyle w:val="TableContents"/>
              <w:rPr>
                <w:sz w:val="20"/>
                <w:szCs w:val="20"/>
              </w:rPr>
            </w:pPr>
            <w:r>
              <w:rPr>
                <w:sz w:val="20"/>
                <w:szCs w:val="20"/>
              </w:rPr>
              <w:t>NS</w:t>
            </w:r>
          </w:p>
        </w:tc>
        <w:tc>
          <w:tcPr>
            <w:tcW w:w="2610" w:type="dxa"/>
            <w:tcBorders>
              <w:start w:val="single" w:sz="2" w:space="0" w:color="000000"/>
              <w:bottom w:val="single" w:sz="2" w:space="0" w:color="000000"/>
            </w:tcBorders>
            <w:vAlign w:val="center"/>
          </w:tcPr>
          <w:p>
            <w:pPr>
              <w:pStyle w:val="TableContents"/>
              <w:rPr>
                <w:sz w:val="20"/>
                <w:szCs w:val="20"/>
              </w:rPr>
            </w:pPr>
            <w:r>
              <w:rPr>
                <w:sz w:val="20"/>
                <w:szCs w:val="20"/>
              </w:rPr>
              <w:t>64ch</w:t>
            </w:r>
          </w:p>
        </w:tc>
        <w:tc>
          <w:tcPr>
            <w:tcW w:w="3149"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MGH</w:t>
            </w:r>
          </w:p>
        </w:tc>
      </w:tr>
      <w:tr>
        <w:trPr/>
        <w:tc>
          <w:tcPr>
            <w:tcW w:w="798" w:type="dxa"/>
            <w:vMerge w:val="continue"/>
            <w:tcBorders>
              <w:start w:val="single" w:sz="2" w:space="0" w:color="000000"/>
            </w:tcBorders>
            <w:vAlign w:val="center"/>
          </w:tcPr>
          <w:p>
            <w:pPr>
              <w:pStyle w:val="TableContents"/>
              <w:rPr>
                <w:sz w:val="20"/>
                <w:szCs w:val="20"/>
              </w:rPr>
            </w:pPr>
            <w:r>
              <w:rPr>
                <w:sz w:val="20"/>
                <w:szCs w:val="20"/>
              </w:rPr>
            </w:r>
          </w:p>
        </w:tc>
        <w:tc>
          <w:tcPr>
            <w:tcW w:w="942" w:type="dxa"/>
            <w:tcBorders>
              <w:start w:val="single" w:sz="2" w:space="0" w:color="000000"/>
              <w:bottom w:val="single" w:sz="2" w:space="0" w:color="000000"/>
            </w:tcBorders>
            <w:vAlign w:val="center"/>
          </w:tcPr>
          <w:p>
            <w:pPr>
              <w:pStyle w:val="TableContents"/>
              <w:rPr>
                <w:sz w:val="20"/>
                <w:szCs w:val="20"/>
              </w:rPr>
            </w:pPr>
            <w:r>
              <w:rPr>
                <w:sz w:val="20"/>
                <w:szCs w:val="20"/>
              </w:rPr>
              <w:t>UC</w:t>
            </w:r>
          </w:p>
        </w:tc>
        <w:tc>
          <w:tcPr>
            <w:tcW w:w="2610" w:type="dxa"/>
            <w:tcBorders>
              <w:start w:val="single" w:sz="2" w:space="0" w:color="000000"/>
              <w:bottom w:val="single" w:sz="2" w:space="0" w:color="000000"/>
            </w:tcBorders>
            <w:vAlign w:val="center"/>
          </w:tcPr>
          <w:p>
            <w:pPr>
              <w:pStyle w:val="TableContents"/>
              <w:rPr>
                <w:sz w:val="20"/>
                <w:szCs w:val="20"/>
              </w:rPr>
            </w:pPr>
            <w:r>
              <w:rPr>
                <w:sz w:val="20"/>
                <w:szCs w:val="20"/>
              </w:rPr>
              <w:t>Philips 32ch dStream</w:t>
            </w:r>
          </w:p>
        </w:tc>
        <w:tc>
          <w:tcPr>
            <w:tcW w:w="3149"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Philips product sequence</w:t>
            </w:r>
          </w:p>
        </w:tc>
      </w:tr>
      <w:tr>
        <w:trPr/>
        <w:tc>
          <w:tcPr>
            <w:tcW w:w="798" w:type="dxa"/>
            <w:vMerge w:val="continue"/>
            <w:tcBorders>
              <w:start w:val="single" w:sz="2" w:space="0" w:color="000000"/>
              <w:bottom w:val="single" w:sz="2" w:space="0" w:color="000000"/>
            </w:tcBorders>
            <w:vAlign w:val="center"/>
          </w:tcPr>
          <w:p>
            <w:pPr>
              <w:pStyle w:val="TableContents"/>
              <w:rPr>
                <w:sz w:val="20"/>
                <w:szCs w:val="20"/>
              </w:rPr>
            </w:pPr>
            <w:r>
              <w:rPr>
                <w:sz w:val="20"/>
                <w:szCs w:val="20"/>
              </w:rPr>
            </w:r>
          </w:p>
        </w:tc>
        <w:tc>
          <w:tcPr>
            <w:tcW w:w="942" w:type="dxa"/>
            <w:tcBorders>
              <w:start w:val="single" w:sz="2" w:space="0" w:color="000000"/>
              <w:bottom w:val="single" w:sz="2" w:space="0" w:color="000000"/>
            </w:tcBorders>
            <w:vAlign w:val="center"/>
          </w:tcPr>
          <w:p>
            <w:pPr>
              <w:pStyle w:val="TableContents"/>
              <w:rPr>
                <w:sz w:val="20"/>
                <w:szCs w:val="20"/>
              </w:rPr>
            </w:pPr>
            <w:r>
              <w:rPr>
                <w:sz w:val="20"/>
                <w:szCs w:val="20"/>
              </w:rPr>
              <w:t>RU</w:t>
            </w:r>
          </w:p>
        </w:tc>
        <w:tc>
          <w:tcPr>
            <w:tcW w:w="2610" w:type="dxa"/>
            <w:tcBorders>
              <w:start w:val="single" w:sz="2" w:space="0" w:color="000000"/>
              <w:bottom w:val="single" w:sz="2" w:space="0" w:color="000000"/>
            </w:tcBorders>
            <w:vAlign w:val="center"/>
          </w:tcPr>
          <w:p>
            <w:pPr>
              <w:pStyle w:val="TableContents"/>
              <w:rPr>
                <w:sz w:val="20"/>
                <w:szCs w:val="20"/>
              </w:rPr>
            </w:pPr>
            <w:r>
              <w:rPr>
                <w:sz w:val="20"/>
                <w:szCs w:val="20"/>
              </w:rPr>
              <w:t>64ch</w:t>
            </w:r>
          </w:p>
        </w:tc>
        <w:tc>
          <w:tcPr>
            <w:tcW w:w="3149"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CMRR</w:t>
            </w:r>
          </w:p>
        </w:tc>
      </w:tr>
      <w:tr>
        <w:trPr/>
        <w:tc>
          <w:tcPr>
            <w:tcW w:w="798" w:type="dxa"/>
            <w:vMerge w:val="restart"/>
            <w:tcBorders>
              <w:start w:val="single" w:sz="2" w:space="0" w:color="000000"/>
              <w:bottom w:val="single" w:sz="2" w:space="0" w:color="000000"/>
            </w:tcBorders>
            <w:vAlign w:val="center"/>
          </w:tcPr>
          <w:p>
            <w:pPr>
              <w:pStyle w:val="TableContents"/>
              <w:rPr>
                <w:b/>
                <w:bCs/>
                <w:sz w:val="20"/>
                <w:szCs w:val="20"/>
              </w:rPr>
            </w:pPr>
            <w:r>
              <w:rPr>
                <w:b/>
                <w:bCs/>
                <w:sz w:val="20"/>
                <w:szCs w:val="20"/>
              </w:rPr>
              <w:t>MCC2</w:t>
            </w:r>
          </w:p>
        </w:tc>
        <w:tc>
          <w:tcPr>
            <w:tcW w:w="942" w:type="dxa"/>
            <w:tcBorders>
              <w:start w:val="single" w:sz="2" w:space="0" w:color="000000"/>
              <w:bottom w:val="single" w:sz="2" w:space="0" w:color="000000"/>
            </w:tcBorders>
            <w:vAlign w:val="center"/>
          </w:tcPr>
          <w:p>
            <w:pPr>
              <w:pStyle w:val="TableContents"/>
              <w:rPr>
                <w:sz w:val="20"/>
                <w:szCs w:val="20"/>
              </w:rPr>
            </w:pPr>
            <w:r>
              <w:rPr>
                <w:sz w:val="20"/>
                <w:szCs w:val="20"/>
              </w:rPr>
              <w:t>UM</w:t>
            </w:r>
          </w:p>
        </w:tc>
        <w:tc>
          <w:tcPr>
            <w:tcW w:w="2610" w:type="dxa"/>
            <w:tcBorders>
              <w:start w:val="single" w:sz="2" w:space="0" w:color="000000"/>
              <w:bottom w:val="single" w:sz="2" w:space="0" w:color="000000"/>
            </w:tcBorders>
            <w:vAlign w:val="center"/>
          </w:tcPr>
          <w:p>
            <w:pPr>
              <w:pStyle w:val="TableContents"/>
              <w:rPr>
                <w:sz w:val="20"/>
                <w:szCs w:val="20"/>
              </w:rPr>
            </w:pPr>
            <w:r>
              <w:rPr>
                <w:sz w:val="20"/>
                <w:szCs w:val="20"/>
              </w:rPr>
              <w:t>32ch</w:t>
            </w:r>
          </w:p>
        </w:tc>
        <w:tc>
          <w:tcPr>
            <w:tcW w:w="3149"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ABCD</w:t>
            </w:r>
          </w:p>
        </w:tc>
      </w:tr>
      <w:tr>
        <w:trPr/>
        <w:tc>
          <w:tcPr>
            <w:tcW w:w="798" w:type="dxa"/>
            <w:vMerge w:val="continue"/>
            <w:tcBorders>
              <w:start w:val="single" w:sz="2" w:space="0" w:color="000000"/>
              <w:bottom w:val="single" w:sz="2" w:space="0" w:color="000000"/>
            </w:tcBorders>
            <w:vAlign w:val="center"/>
          </w:tcPr>
          <w:p>
            <w:pPr>
              <w:pStyle w:val="TableContents"/>
              <w:rPr>
                <w:sz w:val="20"/>
                <w:szCs w:val="20"/>
              </w:rPr>
            </w:pPr>
            <w:r>
              <w:rPr>
                <w:sz w:val="20"/>
                <w:szCs w:val="20"/>
              </w:rPr>
            </w:r>
          </w:p>
        </w:tc>
        <w:tc>
          <w:tcPr>
            <w:tcW w:w="942" w:type="dxa"/>
            <w:tcBorders>
              <w:start w:val="single" w:sz="2" w:space="0" w:color="000000"/>
              <w:bottom w:val="single" w:sz="2" w:space="0" w:color="000000"/>
            </w:tcBorders>
            <w:vAlign w:val="center"/>
          </w:tcPr>
          <w:p>
            <w:pPr>
              <w:pStyle w:val="TableContents"/>
              <w:rPr>
                <w:sz w:val="20"/>
                <w:szCs w:val="20"/>
              </w:rPr>
            </w:pPr>
            <w:r>
              <w:rPr>
                <w:sz w:val="20"/>
                <w:szCs w:val="20"/>
              </w:rPr>
              <w:t>WS</w:t>
            </w:r>
          </w:p>
        </w:tc>
        <w:tc>
          <w:tcPr>
            <w:tcW w:w="2610" w:type="dxa"/>
            <w:tcBorders>
              <w:start w:val="single" w:sz="2" w:space="0" w:color="000000"/>
              <w:bottom w:val="single" w:sz="2" w:space="0" w:color="000000"/>
            </w:tcBorders>
            <w:vAlign w:val="center"/>
          </w:tcPr>
          <w:p>
            <w:pPr>
              <w:pStyle w:val="TableContents"/>
              <w:rPr>
                <w:sz w:val="20"/>
                <w:szCs w:val="20"/>
              </w:rPr>
            </w:pPr>
            <w:r>
              <w:rPr>
                <w:sz w:val="20"/>
                <w:szCs w:val="20"/>
              </w:rPr>
              <w:t>32ch</w:t>
            </w:r>
          </w:p>
        </w:tc>
        <w:tc>
          <w:tcPr>
            <w:tcW w:w="3149"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CMRR</w:t>
            </w:r>
          </w:p>
        </w:tc>
      </w:tr>
      <w:tr>
        <w:trPr/>
        <w:tc>
          <w:tcPr>
            <w:tcW w:w="798" w:type="dxa"/>
            <w:vMerge w:val="continue"/>
            <w:tcBorders>
              <w:start w:val="single" w:sz="2" w:space="0" w:color="000000"/>
              <w:bottom w:val="single" w:sz="2" w:space="0" w:color="000000"/>
            </w:tcBorders>
            <w:vAlign w:val="center"/>
          </w:tcPr>
          <w:p>
            <w:pPr>
              <w:pStyle w:val="TableContents"/>
              <w:rPr>
                <w:sz w:val="20"/>
                <w:szCs w:val="20"/>
              </w:rPr>
            </w:pPr>
            <w:r>
              <w:rPr>
                <w:sz w:val="20"/>
                <w:szCs w:val="20"/>
              </w:rPr>
            </w:r>
          </w:p>
        </w:tc>
        <w:tc>
          <w:tcPr>
            <w:tcW w:w="942" w:type="dxa"/>
            <w:tcBorders>
              <w:start w:val="single" w:sz="2" w:space="0" w:color="000000"/>
              <w:bottom w:val="single" w:sz="2" w:space="0" w:color="000000"/>
            </w:tcBorders>
            <w:vAlign w:val="center"/>
          </w:tcPr>
          <w:p>
            <w:pPr>
              <w:pStyle w:val="TableContents"/>
              <w:rPr>
                <w:sz w:val="20"/>
                <w:szCs w:val="20"/>
              </w:rPr>
            </w:pPr>
            <w:r>
              <w:rPr>
                <w:sz w:val="20"/>
                <w:szCs w:val="20"/>
              </w:rPr>
              <w:t>SH</w:t>
            </w:r>
          </w:p>
        </w:tc>
        <w:tc>
          <w:tcPr>
            <w:tcW w:w="2610" w:type="dxa"/>
            <w:tcBorders>
              <w:start w:val="single" w:sz="2" w:space="0" w:color="000000"/>
              <w:bottom w:val="single" w:sz="2" w:space="0" w:color="000000"/>
            </w:tcBorders>
            <w:vAlign w:val="center"/>
          </w:tcPr>
          <w:p>
            <w:pPr>
              <w:pStyle w:val="TableContents"/>
              <w:rPr>
                <w:sz w:val="20"/>
                <w:szCs w:val="20"/>
              </w:rPr>
            </w:pPr>
            <w:r>
              <w:rPr>
                <w:sz w:val="20"/>
                <w:szCs w:val="20"/>
              </w:rPr>
              <w:t>64ch</w:t>
            </w:r>
          </w:p>
        </w:tc>
        <w:tc>
          <w:tcPr>
            <w:tcW w:w="3149"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Siemens product sequence</w:t>
            </w:r>
          </w:p>
        </w:tc>
      </w:tr>
    </w:tbl>
    <w:p>
      <w:pPr>
        <w:pStyle w:val="BodyText"/>
        <w:spacing w:before="120" w:after="58"/>
        <w:rPr/>
      </w:pPr>
      <w:r>
        <w:rPr/>
        <w:t>Site specific imaging protocols were adapted from the ABCD study's published imaging protocol (</w:t>
      </w:r>
      <w:hyperlink r:id="rId11">
        <w:r>
          <w:rPr>
            <w:rStyle w:val="Hyperlink"/>
          </w:rPr>
          <w:t>https://abcdstudy.org/images/Protocol_Imaging_Sequences.pdf</w:t>
        </w:r>
      </w:hyperlink>
      <w:r>
        <w:rPr/>
        <w:t>) and at some sites ABCD sequences were available and used. Most sites follow ABCD’s T1w, DWI, and fMRI specification exactly, but fMRI and DWI protocols required alternate parameters on older scanners. Specific sequence parameter information is available in the BIDS .json files for each scan.</w:t>
      </w:r>
    </w:p>
    <w:p>
      <w:pPr>
        <w:pStyle w:val="Caption"/>
        <w:rPr/>
      </w:pPr>
      <w:r>
        <w:rPr>
          <w:b/>
          <w:bCs/>
        </w:rPr>
        <w:t>Table 3</w:t>
      </w:r>
      <w:r>
        <w:rPr/>
        <w:t xml:space="preserve">: Scanner serial numbers. </w:t>
      </w:r>
    </w:p>
    <w:tbl>
      <w:tblPr>
        <w:tblW w:w="4890" w:type="dxa"/>
        <w:jc w:val="start"/>
        <w:tblInd w:w="62" w:type="dxa"/>
        <w:tblLayout w:type="fixed"/>
        <w:tblCellMar>
          <w:top w:w="29" w:type="dxa"/>
          <w:start w:w="29" w:type="dxa"/>
          <w:bottom w:w="29" w:type="dxa"/>
          <w:end w:w="29" w:type="dxa"/>
        </w:tblCellMar>
        <w:tblLook w:firstRow="1" w:noVBand="1" w:lastRow="0" w:firstColumn="1" w:lastColumn="0" w:noHBand="0" w:val="04a0"/>
      </w:tblPr>
      <w:tblGrid>
        <w:gridCol w:w="798"/>
        <w:gridCol w:w="935"/>
        <w:gridCol w:w="3157"/>
      </w:tblGrid>
      <w:tr>
        <w:trPr>
          <w:tblHeader w:val="true"/>
        </w:trPr>
        <w:tc>
          <w:tcPr>
            <w:tcW w:w="798" w:type="dxa"/>
            <w:tcBorders>
              <w:top w:val="single" w:sz="2" w:space="0" w:color="000000"/>
              <w:start w:val="single" w:sz="2" w:space="0" w:color="000000"/>
              <w:bottom w:val="single" w:sz="2" w:space="0" w:color="000000"/>
            </w:tcBorders>
            <w:vAlign w:val="center"/>
          </w:tcPr>
          <w:p>
            <w:pPr>
              <w:pStyle w:val="TableHeading"/>
              <w:rPr>
                <w:sz w:val="20"/>
                <w:szCs w:val="20"/>
              </w:rPr>
            </w:pPr>
            <w:r>
              <w:rPr>
                <w:sz w:val="20"/>
                <w:szCs w:val="20"/>
              </w:rPr>
              <w:t>Group</w:t>
            </w:r>
          </w:p>
        </w:tc>
        <w:tc>
          <w:tcPr>
            <w:tcW w:w="935" w:type="dxa"/>
            <w:tcBorders>
              <w:top w:val="single" w:sz="2" w:space="0" w:color="000000"/>
              <w:start w:val="single" w:sz="2" w:space="0" w:color="000000"/>
              <w:bottom w:val="single" w:sz="2" w:space="0" w:color="000000"/>
            </w:tcBorders>
            <w:vAlign w:val="center"/>
          </w:tcPr>
          <w:p>
            <w:pPr>
              <w:pStyle w:val="TableHeading"/>
              <w:rPr>
                <w:sz w:val="20"/>
                <w:szCs w:val="20"/>
              </w:rPr>
            </w:pPr>
            <w:r>
              <w:rPr>
                <w:sz w:val="20"/>
                <w:szCs w:val="20"/>
              </w:rPr>
              <w:t>Site</w:t>
            </w:r>
          </w:p>
        </w:tc>
        <w:tc>
          <w:tcPr>
            <w:tcW w:w="3157" w:type="dxa"/>
            <w:tcBorders>
              <w:top w:val="single" w:sz="2" w:space="0" w:color="000000"/>
              <w:start w:val="single" w:sz="2" w:space="0" w:color="000000"/>
              <w:bottom w:val="single" w:sz="2" w:space="0" w:color="000000"/>
              <w:end w:val="single" w:sz="2" w:space="0" w:color="000000"/>
            </w:tcBorders>
            <w:vAlign w:val="center"/>
          </w:tcPr>
          <w:p>
            <w:pPr>
              <w:pStyle w:val="TableHeading"/>
              <w:rPr>
                <w:sz w:val="20"/>
                <w:szCs w:val="20"/>
              </w:rPr>
            </w:pPr>
            <w:r>
              <w:rPr>
                <w:sz w:val="20"/>
                <w:szCs w:val="20"/>
              </w:rPr>
              <w:t>Serial Number</w:t>
            </w:r>
          </w:p>
        </w:tc>
      </w:tr>
      <w:tr>
        <w:trPr/>
        <w:tc>
          <w:tcPr>
            <w:tcW w:w="798" w:type="dxa"/>
            <w:vMerge w:val="restart"/>
            <w:tcBorders>
              <w:start w:val="single" w:sz="2" w:space="0" w:color="000000"/>
              <w:bottom w:val="single" w:sz="2" w:space="0" w:color="000000"/>
            </w:tcBorders>
            <w:vAlign w:val="center"/>
          </w:tcPr>
          <w:p>
            <w:pPr>
              <w:pStyle w:val="TableContents"/>
              <w:rPr>
                <w:b/>
                <w:bCs/>
                <w:sz w:val="20"/>
                <w:szCs w:val="20"/>
              </w:rPr>
            </w:pPr>
            <w:r>
              <w:rPr>
                <w:b/>
                <w:bCs/>
                <w:sz w:val="20"/>
                <w:szCs w:val="20"/>
              </w:rPr>
              <w:t>MCC1</w:t>
            </w:r>
          </w:p>
        </w:tc>
        <w:tc>
          <w:tcPr>
            <w:tcW w:w="935" w:type="dxa"/>
            <w:tcBorders>
              <w:start w:val="single" w:sz="2" w:space="0" w:color="000000"/>
              <w:bottom w:val="single" w:sz="2" w:space="0" w:color="000000"/>
            </w:tcBorders>
            <w:vAlign w:val="center"/>
          </w:tcPr>
          <w:p>
            <w:pPr>
              <w:pStyle w:val="TableContents"/>
              <w:rPr>
                <w:sz w:val="20"/>
                <w:szCs w:val="20"/>
              </w:rPr>
            </w:pPr>
            <w:r>
              <w:rPr>
                <w:sz w:val="20"/>
                <w:szCs w:val="20"/>
              </w:rPr>
              <w:t>UI</w:t>
            </w:r>
          </w:p>
        </w:tc>
        <w:tc>
          <w:tcPr>
            <w:tcW w:w="3157"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000000312996MR3T</w:t>
            </w:r>
          </w:p>
        </w:tc>
      </w:tr>
      <w:tr>
        <w:trPr/>
        <w:tc>
          <w:tcPr>
            <w:tcW w:w="798" w:type="dxa"/>
            <w:vMerge w:val="continue"/>
            <w:tcBorders>
              <w:start w:val="single" w:sz="2" w:space="0" w:color="000000"/>
            </w:tcBorders>
            <w:vAlign w:val="center"/>
          </w:tcPr>
          <w:p>
            <w:pPr>
              <w:pStyle w:val="TableContents"/>
              <w:rPr>
                <w:sz w:val="20"/>
                <w:szCs w:val="20"/>
              </w:rPr>
            </w:pPr>
            <w:r>
              <w:rPr>
                <w:sz w:val="20"/>
                <w:szCs w:val="20"/>
              </w:rPr>
            </w:r>
          </w:p>
        </w:tc>
        <w:tc>
          <w:tcPr>
            <w:tcW w:w="935" w:type="dxa"/>
            <w:tcBorders>
              <w:start w:val="single" w:sz="2" w:space="0" w:color="000000"/>
              <w:bottom w:val="single" w:sz="2" w:space="0" w:color="000000"/>
            </w:tcBorders>
            <w:vAlign w:val="center"/>
          </w:tcPr>
          <w:p>
            <w:pPr>
              <w:pStyle w:val="TableContents"/>
              <w:rPr>
                <w:sz w:val="20"/>
                <w:szCs w:val="20"/>
              </w:rPr>
            </w:pPr>
            <w:r>
              <w:rPr>
                <w:sz w:val="20"/>
                <w:szCs w:val="20"/>
              </w:rPr>
              <w:t>NS</w:t>
            </w:r>
          </w:p>
        </w:tc>
        <w:tc>
          <w:tcPr>
            <w:tcW w:w="3157"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70032</w:t>
            </w:r>
          </w:p>
        </w:tc>
      </w:tr>
      <w:tr>
        <w:trPr/>
        <w:tc>
          <w:tcPr>
            <w:tcW w:w="798" w:type="dxa"/>
            <w:vMerge w:val="continue"/>
            <w:tcBorders>
              <w:start w:val="single" w:sz="2" w:space="0" w:color="000000"/>
            </w:tcBorders>
            <w:vAlign w:val="center"/>
          </w:tcPr>
          <w:p>
            <w:pPr>
              <w:pStyle w:val="TableContents"/>
              <w:rPr>
                <w:sz w:val="20"/>
                <w:szCs w:val="20"/>
              </w:rPr>
            </w:pPr>
            <w:r>
              <w:rPr>
                <w:sz w:val="20"/>
                <w:szCs w:val="20"/>
              </w:rPr>
            </w:r>
          </w:p>
        </w:tc>
        <w:tc>
          <w:tcPr>
            <w:tcW w:w="935" w:type="dxa"/>
            <w:tcBorders>
              <w:start w:val="single" w:sz="2" w:space="0" w:color="000000"/>
              <w:bottom w:val="single" w:sz="2" w:space="0" w:color="000000"/>
            </w:tcBorders>
            <w:vAlign w:val="center"/>
          </w:tcPr>
          <w:p>
            <w:pPr>
              <w:pStyle w:val="TableContents"/>
              <w:rPr>
                <w:sz w:val="20"/>
                <w:szCs w:val="20"/>
              </w:rPr>
            </w:pPr>
            <w:r>
              <w:rPr>
                <w:sz w:val="20"/>
                <w:szCs w:val="20"/>
              </w:rPr>
              <w:t>UC</w:t>
            </w:r>
          </w:p>
        </w:tc>
        <w:tc>
          <w:tcPr>
            <w:tcW w:w="3157"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71399</w:t>
            </w:r>
          </w:p>
        </w:tc>
      </w:tr>
      <w:tr>
        <w:trPr/>
        <w:tc>
          <w:tcPr>
            <w:tcW w:w="798" w:type="dxa"/>
            <w:vMerge w:val="continue"/>
            <w:tcBorders>
              <w:start w:val="single" w:sz="2" w:space="0" w:color="000000"/>
              <w:bottom w:val="single" w:sz="2" w:space="0" w:color="000000"/>
            </w:tcBorders>
            <w:vAlign w:val="center"/>
          </w:tcPr>
          <w:p>
            <w:pPr>
              <w:pStyle w:val="TableContents"/>
              <w:rPr>
                <w:sz w:val="20"/>
                <w:szCs w:val="20"/>
              </w:rPr>
            </w:pPr>
            <w:r>
              <w:rPr>
                <w:sz w:val="20"/>
                <w:szCs w:val="20"/>
              </w:rPr>
            </w:r>
          </w:p>
        </w:tc>
        <w:tc>
          <w:tcPr>
            <w:tcW w:w="935" w:type="dxa"/>
            <w:tcBorders>
              <w:start w:val="single" w:sz="2" w:space="0" w:color="000000"/>
              <w:bottom w:val="single" w:sz="2" w:space="0" w:color="000000"/>
            </w:tcBorders>
            <w:vAlign w:val="center"/>
          </w:tcPr>
          <w:p>
            <w:pPr>
              <w:pStyle w:val="TableContents"/>
              <w:rPr>
                <w:sz w:val="20"/>
                <w:szCs w:val="20"/>
              </w:rPr>
            </w:pPr>
            <w:r>
              <w:rPr>
                <w:sz w:val="20"/>
                <w:szCs w:val="20"/>
              </w:rPr>
              <w:t>RU</w:t>
            </w:r>
          </w:p>
        </w:tc>
        <w:tc>
          <w:tcPr>
            <w:tcW w:w="3157"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166295</w:t>
            </w:r>
          </w:p>
        </w:tc>
      </w:tr>
      <w:tr>
        <w:trPr/>
        <w:tc>
          <w:tcPr>
            <w:tcW w:w="798" w:type="dxa"/>
            <w:vMerge w:val="restart"/>
            <w:tcBorders>
              <w:start w:val="single" w:sz="2" w:space="0" w:color="000000"/>
              <w:bottom w:val="single" w:sz="2" w:space="0" w:color="000000"/>
            </w:tcBorders>
            <w:vAlign w:val="center"/>
          </w:tcPr>
          <w:p>
            <w:pPr>
              <w:pStyle w:val="TableContents"/>
              <w:rPr>
                <w:b/>
                <w:bCs/>
                <w:sz w:val="20"/>
                <w:szCs w:val="20"/>
              </w:rPr>
            </w:pPr>
            <w:r>
              <w:rPr>
                <w:b/>
                <w:bCs/>
                <w:sz w:val="20"/>
                <w:szCs w:val="20"/>
              </w:rPr>
              <w:t>MCC2</w:t>
            </w:r>
          </w:p>
        </w:tc>
        <w:tc>
          <w:tcPr>
            <w:tcW w:w="935" w:type="dxa"/>
            <w:tcBorders>
              <w:start w:val="single" w:sz="2" w:space="0" w:color="000000"/>
              <w:bottom w:val="single" w:sz="2" w:space="0" w:color="000000"/>
            </w:tcBorders>
            <w:vAlign w:val="center"/>
          </w:tcPr>
          <w:p>
            <w:pPr>
              <w:pStyle w:val="TableContents"/>
              <w:rPr>
                <w:sz w:val="20"/>
                <w:szCs w:val="20"/>
              </w:rPr>
            </w:pPr>
            <w:r>
              <w:rPr>
                <w:sz w:val="20"/>
                <w:szCs w:val="20"/>
              </w:rPr>
              <w:t>UM1</w:t>
            </w:r>
          </w:p>
        </w:tc>
        <w:tc>
          <w:tcPr>
            <w:tcW w:w="3157"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000000000UM750MR</w:t>
            </w:r>
          </w:p>
        </w:tc>
      </w:tr>
      <w:tr>
        <w:trPr/>
        <w:tc>
          <w:tcPr>
            <w:tcW w:w="798" w:type="dxa"/>
            <w:vMerge w:val="continue"/>
            <w:tcBorders>
              <w:start w:val="single" w:sz="2" w:space="0" w:color="000000"/>
              <w:bottom w:val="single" w:sz="2" w:space="0" w:color="000000"/>
            </w:tcBorders>
            <w:vAlign w:val="center"/>
          </w:tcPr>
          <w:p>
            <w:pPr>
              <w:pStyle w:val="TableContents"/>
              <w:rPr>
                <w:b/>
                <w:bCs/>
                <w:sz w:val="20"/>
                <w:szCs w:val="20"/>
              </w:rPr>
            </w:pPr>
            <w:r>
              <w:rPr>
                <w:b/>
                <w:bCs/>
                <w:sz w:val="20"/>
                <w:szCs w:val="20"/>
              </w:rPr>
            </w:r>
          </w:p>
        </w:tc>
        <w:tc>
          <w:tcPr>
            <w:tcW w:w="935" w:type="dxa"/>
            <w:tcBorders>
              <w:start w:val="single" w:sz="2" w:space="0" w:color="000000"/>
              <w:bottom w:val="single" w:sz="2" w:space="0" w:color="000000"/>
            </w:tcBorders>
            <w:vAlign w:val="center"/>
          </w:tcPr>
          <w:p>
            <w:pPr>
              <w:pStyle w:val="TableContents"/>
              <w:rPr>
                <w:sz w:val="20"/>
                <w:szCs w:val="20"/>
              </w:rPr>
            </w:pPr>
            <w:r>
              <w:rPr>
                <w:sz w:val="20"/>
                <w:szCs w:val="20"/>
              </w:rPr>
              <w:t>UM2</w:t>
            </w:r>
          </w:p>
        </w:tc>
        <w:tc>
          <w:tcPr>
            <w:tcW w:w="3157"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0007347633TMRFIX</w:t>
            </w:r>
          </w:p>
        </w:tc>
      </w:tr>
      <w:tr>
        <w:trPr/>
        <w:tc>
          <w:tcPr>
            <w:tcW w:w="798" w:type="dxa"/>
            <w:vMerge w:val="continue"/>
            <w:tcBorders>
              <w:start w:val="single" w:sz="2" w:space="0" w:color="000000"/>
              <w:bottom w:val="single" w:sz="2" w:space="0" w:color="000000"/>
            </w:tcBorders>
            <w:vAlign w:val="center"/>
          </w:tcPr>
          <w:p>
            <w:pPr>
              <w:pStyle w:val="TableContents"/>
              <w:rPr>
                <w:sz w:val="20"/>
                <w:szCs w:val="20"/>
              </w:rPr>
            </w:pPr>
            <w:r>
              <w:rPr>
                <w:sz w:val="20"/>
                <w:szCs w:val="20"/>
              </w:rPr>
            </w:r>
          </w:p>
        </w:tc>
        <w:tc>
          <w:tcPr>
            <w:tcW w:w="935" w:type="dxa"/>
            <w:tcBorders>
              <w:start w:val="single" w:sz="2" w:space="0" w:color="000000"/>
              <w:bottom w:val="single" w:sz="2" w:space="0" w:color="000000"/>
            </w:tcBorders>
            <w:vAlign w:val="center"/>
          </w:tcPr>
          <w:p>
            <w:pPr>
              <w:pStyle w:val="TableContents"/>
              <w:rPr>
                <w:sz w:val="20"/>
                <w:szCs w:val="20"/>
              </w:rPr>
            </w:pPr>
            <w:r>
              <w:rPr>
                <w:sz w:val="20"/>
                <w:szCs w:val="20"/>
              </w:rPr>
              <w:t>WS</w:t>
            </w:r>
          </w:p>
        </w:tc>
        <w:tc>
          <w:tcPr>
            <w:tcW w:w="3157"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40292</w:t>
            </w:r>
          </w:p>
        </w:tc>
      </w:tr>
      <w:tr>
        <w:trPr/>
        <w:tc>
          <w:tcPr>
            <w:tcW w:w="798" w:type="dxa"/>
            <w:vMerge w:val="continue"/>
            <w:tcBorders>
              <w:start w:val="single" w:sz="2" w:space="0" w:color="000000"/>
              <w:bottom w:val="single" w:sz="2" w:space="0" w:color="000000"/>
            </w:tcBorders>
            <w:vAlign w:val="center"/>
          </w:tcPr>
          <w:p>
            <w:pPr>
              <w:pStyle w:val="TableContents"/>
              <w:rPr>
                <w:sz w:val="20"/>
                <w:szCs w:val="20"/>
              </w:rPr>
            </w:pPr>
            <w:r>
              <w:rPr>
                <w:sz w:val="20"/>
                <w:szCs w:val="20"/>
              </w:rPr>
            </w:r>
          </w:p>
        </w:tc>
        <w:tc>
          <w:tcPr>
            <w:tcW w:w="935" w:type="dxa"/>
            <w:tcBorders>
              <w:start w:val="single" w:sz="2" w:space="0" w:color="000000"/>
              <w:bottom w:val="single" w:sz="2" w:space="0" w:color="000000"/>
            </w:tcBorders>
            <w:vAlign w:val="center"/>
          </w:tcPr>
          <w:p>
            <w:pPr>
              <w:pStyle w:val="TableContents"/>
              <w:rPr>
                <w:sz w:val="20"/>
                <w:szCs w:val="20"/>
              </w:rPr>
            </w:pPr>
            <w:r>
              <w:rPr>
                <w:sz w:val="20"/>
                <w:szCs w:val="20"/>
              </w:rPr>
              <w:t>SH</w:t>
            </w:r>
          </w:p>
        </w:tc>
        <w:tc>
          <w:tcPr>
            <w:tcW w:w="3157" w:type="dxa"/>
            <w:tcBorders>
              <w:start w:val="single" w:sz="2" w:space="0" w:color="000000"/>
              <w:bottom w:val="single" w:sz="2" w:space="0" w:color="000000"/>
              <w:end w:val="single" w:sz="2" w:space="0" w:color="000000"/>
            </w:tcBorders>
            <w:vAlign w:val="center"/>
          </w:tcPr>
          <w:p>
            <w:pPr>
              <w:pStyle w:val="TableContents"/>
              <w:rPr>
                <w:sz w:val="20"/>
                <w:szCs w:val="20"/>
              </w:rPr>
            </w:pPr>
            <w:r>
              <w:rPr>
                <w:sz w:val="20"/>
                <w:szCs w:val="20"/>
              </w:rPr>
              <w:t>66022</w:t>
            </w:r>
          </w:p>
        </w:tc>
      </w:tr>
    </w:tbl>
    <w:p>
      <w:pPr>
        <w:pStyle w:val="BodyText"/>
        <w:spacing w:before="120" w:after="58"/>
        <w:rPr/>
      </w:pPr>
      <w:r>
        <w:rPr/>
        <w:t>Scanner serial numbers are the intended way to distinguish sites and scanners. They are found in BIDS “sessions” files.</w:t>
      </w:r>
    </w:p>
    <w:p>
      <w:pPr>
        <w:pStyle w:val="BodyText"/>
        <w:spacing w:before="120" w:after="58"/>
        <w:rPr/>
      </w:pPr>
      <w:r>
        <w:rPr/>
        <w:t>Note that internally the Imaging CRF in REDCap uses codes “2” and “1” for the “Scanner Name” field to refer to what are designated “UM1” and “UM2” here, respectively.</w:t>
      </w:r>
    </w:p>
    <w:p>
      <w:pPr>
        <w:pStyle w:val="Heading1"/>
        <w:numPr>
          <w:ilvl w:val="0"/>
          <w:numId w:val="1"/>
        </w:numPr>
        <w:rPr/>
      </w:pPr>
      <w:bookmarkStart w:id="14" w:name="__RefHeading___Toc2887_70583006"/>
      <w:bookmarkStart w:id="15" w:name="_Toc200012174"/>
      <w:bookmarkEnd w:id="14"/>
      <w:r>
        <w:rPr/>
        <w:t>3. Assigned Quality Ratings</w:t>
      </w:r>
      <w:bookmarkEnd w:id="15"/>
    </w:p>
    <w:p>
      <w:pPr>
        <w:pStyle w:val="BodyText"/>
        <w:rPr/>
      </w:pPr>
      <w:r>
        <w:rPr/>
        <w:t>To facilitate monitoring of the success of image acquisitions across sites and to aid in recording problematic cases we devised a simple “tri-band” rating scheme that is used to assign all images a color code:</w:t>
      </w:r>
    </w:p>
    <w:p>
      <w:pPr>
        <w:pStyle w:val="BodyText"/>
        <w:numPr>
          <w:ilvl w:val="0"/>
          <w:numId w:val="5"/>
        </w:numPr>
        <w:rPr/>
      </w:pPr>
      <w:r>
        <w:rPr/>
        <w:t>Green: no known issues</w:t>
      </w:r>
    </w:p>
    <w:p>
      <w:pPr>
        <w:pStyle w:val="BodyText"/>
        <w:numPr>
          <w:ilvl w:val="0"/>
          <w:numId w:val="5"/>
        </w:numPr>
        <w:rPr/>
      </w:pPr>
      <w:r>
        <w:rPr/>
        <w:t>Yellow: minor variations/issues; correctable</w:t>
      </w:r>
    </w:p>
    <w:p>
      <w:pPr>
        <w:pStyle w:val="BodyText"/>
        <w:numPr>
          <w:ilvl w:val="0"/>
          <w:numId w:val="5"/>
        </w:numPr>
        <w:rPr/>
      </w:pPr>
      <w:r>
        <w:rPr/>
        <w:t>Red: significant variations/issues; not expected to be comparable</w:t>
      </w:r>
    </w:p>
    <w:p>
      <w:pPr>
        <w:pStyle w:val="BodyText"/>
        <w:rPr/>
      </w:pPr>
      <w:r>
        <w:rPr/>
        <w:t xml:space="preserve">Note that a “red” rating does </w:t>
      </w:r>
      <w:r>
        <w:rPr>
          <w:i/>
          <w:iCs/>
        </w:rPr>
        <w:t>not</w:t>
      </w:r>
      <w:r>
        <w:rPr/>
        <w:t xml:space="preserve"> mean that data are unusable, but simply that a scan has been judged to be different from other scans of its type in a non-correctable way. We expect that a final decision on the  usability of scans will need to be made by experimenters using a more detailed assessment in comparison to the actual needs of a specific analysis, and we therefore caution not to take these quality assessments as final usability evaluations. </w:t>
      </w:r>
    </w:p>
    <w:p>
      <w:pPr>
        <w:pStyle w:val="BodyText"/>
        <w:rPr/>
      </w:pPr>
      <w:r>
        <w:rPr/>
        <w:t>In this release, quality ratings are limited to raw data, though in future releases we plan to provide similar ratings guidance on at least key aspects of derivative outputs (such as masks). No significant issues are known to affect the outputs of any of the A2CPS imaging derivative pipelines, and in the event of pipeline failures for any reason on individual cases, those results are omitted unless they can be corrected.</w:t>
      </w:r>
    </w:p>
    <w:p>
      <w:pPr>
        <w:pStyle w:val="Heading1"/>
        <w:numPr>
          <w:ilvl w:val="0"/>
          <w:numId w:val="1"/>
        </w:numPr>
        <w:rPr/>
      </w:pPr>
      <w:bookmarkStart w:id="16" w:name="__RefHeading___Toc2889_70583006"/>
      <w:bookmarkStart w:id="17" w:name="_Toc200012175"/>
      <w:bookmarkEnd w:id="16"/>
      <w:r>
        <w:rPr/>
        <w:t>4. fMRI Protocol Issues</w:t>
      </w:r>
      <w:bookmarkEnd w:id="17"/>
    </w:p>
    <w:p>
      <w:pPr>
        <w:pStyle w:val="BodyText"/>
        <w:rPr/>
      </w:pPr>
      <w:r>
        <w:rPr/>
        <w:t>There were compromises needed to run the ABCD protocol successfully on some scanners.</w:t>
      </w:r>
    </w:p>
    <w:p>
      <w:pPr>
        <w:pStyle w:val="BodyText"/>
        <w:rPr/>
      </w:pPr>
      <w:r>
        <w:rPr/>
        <w:t xml:space="preserve">MCC1/NS fMRI scans have a TE of 32 ms, versus 30 ms in the ABCD protocol. </w:t>
      </w:r>
    </w:p>
    <w:p>
      <w:pPr>
        <w:pStyle w:val="BodyText"/>
        <w:rPr/>
      </w:pPr>
      <w:r>
        <w:rPr/>
        <w:t>MCC1/UC fMRI scans use a reconstruction matrix of 96x96, versus 90x90 in the ABCD protocol, and an FOV of 213 instead of the 216 specified. This results in a voxel resolution of 2.22 x 2.22 x 2.4 mm instead of the target 2.4 mm isotropic resolution. The acquisition matrix is set to 88x89, which does result in a 2.4 mm isotropic acquisition voxel size. Variations were required because Philips scanners cannot set arbitrary in-plane matrix size on reconstructed EPI images.</w:t>
      </w:r>
    </w:p>
    <w:p>
      <w:pPr>
        <w:pStyle w:val="BodyText"/>
        <w:rPr/>
      </w:pPr>
      <w:r>
        <w:rPr/>
        <w:t xml:space="preserve">The number of slices for both MCC1/NS and MCC1/UC fMRI scans is 54 versus 60 in the ABCD protocol, which means that coverage is 10% less than in the ABCD protocol (54 x 2.4 = 129.6 mm versus 144 mm in ABCD).  </w:t>
      </w:r>
    </w:p>
    <w:p>
      <w:pPr>
        <w:pStyle w:val="Heading2"/>
        <w:numPr>
          <w:ilvl w:val="1"/>
          <w:numId w:val="1"/>
        </w:numPr>
        <w:rPr/>
      </w:pPr>
      <w:bookmarkStart w:id="18" w:name="__RefHeading___Toc2891_70583006"/>
      <w:bookmarkStart w:id="19" w:name="_Toc200012176"/>
      <w:bookmarkEnd w:id="18"/>
      <w:r>
        <w:rPr/>
        <w:t>fMRI Slice Packets</w:t>
      </w:r>
      <w:bookmarkEnd w:id="19"/>
    </w:p>
    <w:p>
      <w:pPr>
        <w:pStyle w:val="BodyText"/>
        <w:rPr/>
      </w:pPr>
      <w:r>
        <w:rPr/>
        <w:t xml:space="preserve">In principle, when using a multiband acquisition with the most basic sequential ordering of slices care should be taken in choosing the number of slices in relation to the multiband acceleration factor, as some choices can result in spatially adjacent slices being excited in rapid succession, leading to slice cross talk (Barth et al. 2016). In practice, since this issue was highlighted, individual vendors have developed slice ordering strategies that avoid this issue, and although the ABCD fMRI sequence used in A2CPS is in theory susceptible to this issue, we have found no evidence of signal loss in the slices identified as potentially vulnerable. See the document </w:t>
      </w:r>
      <w:r>
        <w:rPr>
          <w:i/>
          <w:iCs/>
        </w:rPr>
        <w:t>A2CPS fMRI Slice Packets</w:t>
      </w:r>
      <w:r>
        <w:rPr/>
        <w:t xml:space="preserve"> for further notes on this issue and how it applies to ABCD/A2CPS scans.</w:t>
      </w:r>
    </w:p>
    <w:p>
      <w:pPr>
        <w:pStyle w:val="Heading2"/>
        <w:numPr>
          <w:ilvl w:val="1"/>
          <w:numId w:val="1"/>
        </w:numPr>
        <w:rPr/>
      </w:pPr>
      <w:bookmarkStart w:id="20" w:name="__RefHeading___Toc2893_70583006"/>
      <w:bookmarkStart w:id="21" w:name="_Toc200012177"/>
      <w:bookmarkEnd w:id="20"/>
      <w:r>
        <w:rPr/>
        <w:t>B0 Distortion Correction Scans</w:t>
      </w:r>
      <w:bookmarkEnd w:id="21"/>
    </w:p>
    <w:p>
      <w:pPr>
        <w:pStyle w:val="BodyText"/>
        <w:rPr/>
      </w:pPr>
      <w:r>
        <w:rPr/>
        <w:t xml:space="preserve">The A2CPS project uses the (Holland et al. 2010) method of acquiring spin echo images with opposite phase encoding direction and using them to construct fieldmaps for susceptibility distortion correction. </w:t>
      </w:r>
    </w:p>
    <w:p>
      <w:pPr>
        <w:pStyle w:val="BodyText"/>
        <w:rPr/>
      </w:pPr>
      <w:r>
        <w:rPr/>
        <w:t xml:space="preserve">The ABCD protocol followed by A2CPS does not specify what should be done for distortion correction, though it is possible that ABCD sites are following unpublished advice on this. </w:t>
      </w:r>
    </w:p>
    <w:p>
      <w:pPr>
        <w:pStyle w:val="BodyText"/>
        <w:rPr/>
      </w:pPr>
      <w:r>
        <w:rPr/>
        <w:t>In common practice, B0 scans for constructing fieldmaps match the geometry of the target scans (the ones to be distortion corrected) by matching field of view, acquisition matrix, and shimming. In some cases in A2CPS, the geometry will be slightly different.</w:t>
      </w:r>
    </w:p>
    <w:p>
      <w:pPr>
        <w:pStyle w:val="BodyText"/>
        <w:rPr/>
      </w:pPr>
      <w:r>
        <w:rPr/>
        <w:t>The target ABCD FMRI protocol specifies the following: 90x90, 2.4x2.4x2.4, FOV 216x216.</w:t>
      </w:r>
    </w:p>
    <w:p>
      <w:pPr>
        <w:pStyle w:val="BodyText"/>
        <w:numPr>
          <w:ilvl w:val="0"/>
          <w:numId w:val="2"/>
        </w:numPr>
        <w:rPr/>
      </w:pPr>
      <w:r>
        <w:rPr/>
        <w:t>The NS Siemens fMRI B0 (“GE_EPI_B0”) matches this, as does its fMRI, except that the number of slices is different (60 for AP/PA GE_EPI_B0, vs. 54 for fMRI). The number of fMRI slices was reduced to allow the scanner to match the other details of the ABCD protocol, and this had the side effect of mitigating slice packet issues (see fMRI Slice Packets section).</w:t>
      </w:r>
    </w:p>
    <w:p>
      <w:pPr>
        <w:pStyle w:val="BodyText"/>
        <w:numPr>
          <w:ilvl w:val="0"/>
          <w:numId w:val="2"/>
        </w:numPr>
        <w:rPr/>
      </w:pPr>
      <w:r>
        <w:rPr/>
        <w:t>The UC Philips fMRI B0 has a different setup for both fMRi and B0: 96x96, 2.2x2.2x2.4, implying FOV of 213x213.</w:t>
      </w:r>
    </w:p>
    <w:p>
      <w:pPr>
        <w:pStyle w:val="BodyText"/>
        <w:numPr>
          <w:ilvl w:val="0"/>
          <w:numId w:val="2"/>
        </w:numPr>
        <w:rPr/>
      </w:pPr>
      <w:r>
        <w:rPr/>
        <w:t>The UIC GE fMRI B0 is different from fMRI: 128x128, 1.69x1.69x2.4, implying FOV of 216x216. This setup also has other differences, as explained in the next section.</w:t>
      </w:r>
    </w:p>
    <w:p>
      <w:pPr>
        <w:pStyle w:val="Heading3"/>
        <w:numPr>
          <w:ilvl w:val="2"/>
          <w:numId w:val="1"/>
        </w:numPr>
        <w:rPr/>
      </w:pPr>
      <w:r>
        <w:rPr/>
        <w:t>GE B0 Scans</w:t>
      </w:r>
    </w:p>
    <w:p>
      <w:pPr>
        <w:pStyle w:val="BodyText"/>
        <w:rPr/>
      </w:pPr>
      <w:r>
        <w:rPr/>
        <w:t xml:space="preserve">The GE setup is different from other sites in that AP and PA are not separate acquisitions. The single "FMRI_B0" scan packs AP and PA spin echo scans together with a front-back flip on alternate brains with order AP-PA-AP-PA. The GE "DWI_B0", in contrast, has 8 images in the same orientation (no front/back flip), of which only the first two have the desired b=0 (the other six have b=3000). This is because a 6 direction DWI with one phase encoding direction had to be used as it was not possible to collect unweighted images only with opposite phase encoding. </w:t>
      </w:r>
    </w:p>
    <w:p>
      <w:pPr>
        <w:pStyle w:val="BodyText"/>
        <w:rPr/>
      </w:pPr>
      <w:r>
        <w:rPr/>
        <w:t>The intention is that the two b=0 images (phase encoding PA) should be combined with the b=0 images from the A2CPS DWI (phase encoding AP) to create a fieldmap. Accordingly, we build "DWI_B0_PA" and "DWI_B0_AP" images to match the other scanners:</w:t>
      </w:r>
    </w:p>
    <w:p>
      <w:pPr>
        <w:pStyle w:val="BodyText"/>
        <w:rPr/>
      </w:pPr>
      <w:r>
        <w:rPr/>
        <w:t xml:space="preserve">    </w:t>
      </w:r>
      <w:r>
        <w:rPr/>
        <w:t>DWI_B0_PA is the first 2 volumes (determined from the bvals) of the acquired DWI_B0 image</w:t>
      </w:r>
    </w:p>
    <w:p>
      <w:pPr>
        <w:pStyle w:val="BodyText"/>
        <w:rPr/>
      </w:pPr>
      <w:r>
        <w:rPr/>
        <w:t xml:space="preserve">    </w:t>
      </w:r>
      <w:r>
        <w:rPr/>
        <w:t>DWI_B0_AP is a copy of the first 2 volumes (determined from the bvals) of the acquired dwi image</w:t>
      </w:r>
    </w:p>
    <w:p>
      <w:pPr>
        <w:pStyle w:val="BodyText"/>
        <w:rPr/>
      </w:pPr>
      <w:r>
        <w:rPr/>
        <w:t>For both the UIC FMRI_B0 and the UIC DWI_B0, the BIDS JSON files are adjusted to ensure opposite phase encoding directions are recorded properly.</w:t>
      </w:r>
    </w:p>
    <w:p>
      <w:pPr>
        <w:pStyle w:val="BodyText"/>
        <w:rPr/>
      </w:pPr>
      <w:r>
        <w:rPr/>
        <w:t>When GE v. 28 and v. 29 acquisitions were acquired for the UM site, a slightly different setup from UIC was used that resulted in the same output data. Specifically, an opposite phase DWI is acquired as part of the DWI acquisition and exported as a DWI derived series, matching the DWI_B0 for UIC GE scans.</w:t>
      </w:r>
    </w:p>
    <w:p>
      <w:pPr>
        <w:pStyle w:val="Heading1"/>
        <w:numPr>
          <w:ilvl w:val="0"/>
          <w:numId w:val="1"/>
        </w:numPr>
        <w:rPr/>
      </w:pPr>
      <w:bookmarkStart w:id="22" w:name="__RefHeading___Toc2895_70583006"/>
      <w:bookmarkStart w:id="23" w:name="_Toc200012178"/>
      <w:bookmarkEnd w:id="22"/>
      <w:r>
        <w:rPr/>
        <w:t>5. DWI Protocol Issues</w:t>
      </w:r>
      <w:bookmarkEnd w:id="23"/>
    </w:p>
    <w:p>
      <w:pPr>
        <w:pStyle w:val="Heading2"/>
        <w:numPr>
          <w:ilvl w:val="1"/>
          <w:numId w:val="1"/>
        </w:numPr>
        <w:rPr/>
      </w:pPr>
      <w:bookmarkStart w:id="24" w:name="__RefHeading___Toc2897_70583006"/>
      <w:bookmarkStart w:id="25" w:name="_Toc200012179"/>
      <w:bookmarkEnd w:id="24"/>
      <w:r>
        <w:rPr/>
        <w:t>DWI Protocol Variations</w:t>
      </w:r>
      <w:bookmarkEnd w:id="25"/>
    </w:p>
    <w:p>
      <w:pPr>
        <w:pStyle w:val="BodyText"/>
        <w:rPr/>
      </w:pPr>
      <w:r>
        <w:rPr/>
        <w:t>The DWI matrix dimensions per the ABCD protocol that A2CPS adopted are 140x140, with FOV of 240x240 and resulting 1.7 mm isotropic voxel dimensions. In practice the Philips setup (UChicago) has a matrix of 144x144 and all sites deviate slightly on voxel dimensions (1.67x1.67x1.70 for Philips, 1.71x1.71.x1.70 for GE/Siemens).</w:t>
      </w:r>
    </w:p>
    <w:p>
      <w:pPr>
        <w:pStyle w:val="BodyText"/>
        <w:rPr/>
      </w:pPr>
      <w:r>
        <w:rPr/>
        <w:t>The number of b=0 volumes used for GE scanners was increased by two in the ABCD protocol in an update for scanner version DV26, resulting in 104 volumes total (versus 102 at other sites).</w:t>
      </w:r>
    </w:p>
    <w:p>
      <w:pPr>
        <w:pStyle w:val="BodyText"/>
        <w:rPr/>
      </w:pPr>
      <w:r>
        <w:rPr/>
        <w:t>All scanners have DWI B0 scans with dimensions corresponding to the DWIs.</w:t>
      </w:r>
    </w:p>
    <w:p>
      <w:pPr>
        <w:pStyle w:val="Heading2"/>
        <w:numPr>
          <w:ilvl w:val="1"/>
          <w:numId w:val="1"/>
        </w:numPr>
        <w:rPr/>
      </w:pPr>
      <w:bookmarkStart w:id="26" w:name="__RefHeading___Toc2899_70583006"/>
      <w:bookmarkStart w:id="27" w:name="_Toc200012180"/>
      <w:bookmarkEnd w:id="26"/>
      <w:r>
        <w:rPr/>
        <w:t>GE Specific DICOM Problems</w:t>
      </w:r>
      <w:bookmarkEnd w:id="27"/>
    </w:p>
    <w:p>
      <w:pPr>
        <w:pStyle w:val="BodyText"/>
        <w:rPr/>
      </w:pPr>
      <w:r>
        <w:rPr/>
        <w:t>Incorrect DWI information was stored in DWI sequences in GE software versions up to DV26 (this seemingly was improved in DV27 and finally corrected in DV28). Thus we do not have the ability to automatically extract the right information from MCC1/UIC scans, and must rely on the assumption of correct b-values and b-vectors.</w:t>
      </w:r>
    </w:p>
    <w:p>
      <w:pPr>
        <w:pStyle w:val="BodyText"/>
        <w:rPr/>
      </w:pPr>
      <w:r>
        <w:rPr/>
        <w:t>GE engineers worked with dcm2niix’s team to improve the dcm2niix handling of GE DWI DICOMs. The version of dcm2niix used for this data should be the Fall 2021 release or later to benefit from these improvements.</w:t>
      </w:r>
    </w:p>
    <w:p>
      <w:pPr>
        <w:pStyle w:val="Heading3"/>
        <w:numPr>
          <w:ilvl w:val="2"/>
          <w:numId w:val="1"/>
        </w:numPr>
        <w:rPr/>
      </w:pPr>
      <w:r>
        <w:rPr/>
        <w:t>MCC1/UC b-Value Variations</w:t>
      </w:r>
    </w:p>
    <w:p>
      <w:pPr>
        <w:pStyle w:val="BodyText"/>
        <w:numPr>
          <w:ilvl w:val="2"/>
          <w:numId w:val="1"/>
        </w:numPr>
        <w:rPr/>
      </w:pPr>
      <w:r>
        <w:rPr/>
        <w:t xml:space="preserve">UC DWI “b=0” images actually have very low but nonzero b-values (e.g. 0.01). This appears to be a Philips encoding decision to support custom gradient tables. Tools like QSIprep (used in the A2CPS imaging pipeline) handle this kind of variation by treating everything below a given threshold as b=0 (by default </w:t>
      </w:r>
      <w:r>
        <w:rPr>
          <w:rFonts w:ascii="Consolas" w:hAnsi="Consolas"/>
          <w:sz w:val="22"/>
          <w:szCs w:val="22"/>
        </w:rPr>
        <w:t>--b0-threshold</w:t>
      </w:r>
      <w:r>
        <w:rPr/>
        <w:t xml:space="preserve"> is set to 100: see </w:t>
      </w:r>
      <w:r>
        <w:fldChar w:fldCharType="begin"/>
      </w:r>
      <w:r>
        <w:rPr>
          <w:rStyle w:val="Hyperlink"/>
        </w:rPr>
        <w:instrText xml:space="preserve"> HYPERLINK "https://qsiprep.readthedocs.io/en/latest/usage.html" \l "workflow-configuration"</w:instrText>
      </w:r>
      <w:r>
        <w:rPr>
          <w:rStyle w:val="Hyperlink"/>
        </w:rPr>
        <w:fldChar w:fldCharType="separate"/>
      </w:r>
      <w:r>
        <w:rPr>
          <w:rStyle w:val="Hyperlink"/>
        </w:rPr>
        <w:t>https://qsiprep.readthedocs.io/en/latest/usage.html#workflow-configuration</w:t>
      </w:r>
      <w:r>
        <w:rPr>
          <w:rStyle w:val="Hyperlink"/>
        </w:rPr>
        <w:fldChar w:fldCharType="end"/>
      </w:r>
      <w:r>
        <w:rPr/>
        <w:t>).</w:t>
      </w:r>
    </w:p>
    <w:p>
      <w:pPr>
        <w:pStyle w:val="Heading3"/>
        <w:numPr>
          <w:ilvl w:val="2"/>
          <w:numId w:val="1"/>
        </w:numPr>
        <w:rPr/>
      </w:pPr>
      <w:r>
        <w:rPr/>
        <w:t>MCC2/WS b-Value Variations</w:t>
      </w:r>
    </w:p>
    <w:p>
      <w:pPr>
        <w:pStyle w:val="BodyText"/>
        <w:rPr/>
      </w:pPr>
      <w:r>
        <w:rPr/>
        <w:t>The b-values on the MCC2/WS Wayne State Siemens Verio scanner have an imprecision of about 0.5% in many of the values relative to the MCC1/NS NorthShore values, from which they were set using a Siemens b-matrix file. For example, the first ten NorthShore b-values are</w:t>
      </w:r>
    </w:p>
    <w:p>
      <w:pPr>
        <w:pStyle w:val="PreformattedText"/>
        <w:rPr/>
      </w:pPr>
      <w:r>
        <w:rPr/>
        <w:t xml:space="preserve">         </w:t>
      </w:r>
      <w:r>
        <w:rPr/>
        <w:t>0 3000 3000 2000 3000 1000 3000 3000 2000 3000</w:t>
      </w:r>
    </w:p>
    <w:p>
      <w:pPr>
        <w:pStyle w:val="BodyText"/>
        <w:rPr/>
      </w:pPr>
      <w:r>
        <w:rPr/>
        <w:t>and the corresponding values as recorded at Wayne State become</w:t>
      </w:r>
    </w:p>
    <w:p>
      <w:pPr>
        <w:pStyle w:val="PreformattedText"/>
        <w:rPr/>
      </w:pPr>
      <w:r>
        <w:rPr/>
        <w:t xml:space="preserve">         </w:t>
      </w:r>
      <w:r>
        <w:rPr/>
        <w:t>5 2995 3000 2000 2995 1000 2995 3005 1995 3000</w:t>
      </w:r>
    </w:p>
    <w:p>
      <w:pPr>
        <w:pStyle w:val="BodyText"/>
        <w:rPr/>
      </w:pPr>
      <w:r>
        <w:rPr/>
        <w:t>This is believed to be a rounding issue – the Siemens b-matrix format encodes each bvec as a unit vector scaled according to b-value. This was judged to be an acceptable variation. Though the examples here have deviations of at most 5, the maximum deviation that has been seen is 15 on b=3000.</w:t>
      </w:r>
    </w:p>
    <w:p>
      <w:pPr>
        <w:pStyle w:val="Heading3"/>
        <w:numPr>
          <w:ilvl w:val="2"/>
          <w:numId w:val="1"/>
        </w:numPr>
        <w:rPr/>
      </w:pPr>
      <w:r>
        <w:rPr/>
        <w:t>MCC2/SH b-Vector Variations</w:t>
      </w:r>
    </w:p>
    <w:p>
      <w:pPr>
        <w:pStyle w:val="BodyText"/>
        <w:numPr>
          <w:ilvl w:val="0"/>
          <w:numId w:val="1"/>
        </w:numPr>
        <w:rPr/>
      </w:pPr>
      <w:r>
        <w:rPr/>
        <w:t xml:space="preserve">The b-vectors from MCC2/SH Corewell Health (formerly Spectrum Health) do not match the MCC1/NS Endeavor Health (formerly NorthShore) reference values. Also, the SH setup has 103 volumes vs. 102 at NS (SH has two b=0 volumes at the start vs. one at NS).  </w:t>
      </w:r>
    </w:p>
    <w:p>
      <w:pPr>
        <w:pStyle w:val="BodyText"/>
        <w:numPr>
          <w:ilvl w:val="0"/>
          <w:numId w:val="1"/>
        </w:numPr>
        <w:rPr/>
      </w:pPr>
      <w:r>
        <w:rPr/>
        <w:t>First 5 bvecs (SH), including initial b=0 volumes:</w:t>
      </w:r>
    </w:p>
    <w:p>
      <w:pPr>
        <w:pStyle w:val="PreformattedText"/>
        <w:numPr>
          <w:ilvl w:val="0"/>
          <w:numId w:val="1"/>
        </w:numPr>
        <w:rPr/>
      </w:pPr>
      <w:r>
        <w:rPr/>
        <w:t xml:space="preserve">         </w:t>
      </w:r>
      <w:r>
        <w:rPr/>
        <w:t>0    0        -0.3563   -0.9345   -0.1869</w:t>
      </w:r>
    </w:p>
    <w:p>
      <w:pPr>
        <w:pStyle w:val="PreformattedText"/>
        <w:numPr>
          <w:ilvl w:val="0"/>
          <w:numId w:val="1"/>
        </w:numPr>
        <w:rPr/>
      </w:pPr>
      <w:r>
        <w:rPr/>
        <w:t xml:space="preserve">         </w:t>
      </w:r>
      <w:r>
        <w:rPr/>
        <w:t>0    0        -0.6561   -0.2721    0.9566</w:t>
      </w:r>
    </w:p>
    <w:p>
      <w:pPr>
        <w:pStyle w:val="PreformattedText"/>
        <w:numPr>
          <w:ilvl w:val="0"/>
          <w:numId w:val="1"/>
        </w:numPr>
        <w:rPr/>
      </w:pPr>
      <w:r>
        <w:rPr/>
        <w:t xml:space="preserve">         </w:t>
      </w:r>
      <w:r>
        <w:rPr/>
        <w:t>0    0         0.6653    0.2293   -0.2234</w:t>
      </w:r>
    </w:p>
    <w:p>
      <w:pPr>
        <w:pStyle w:val="BodyText"/>
        <w:numPr>
          <w:ilvl w:val="0"/>
          <w:numId w:val="1"/>
        </w:numPr>
        <w:rPr/>
      </w:pPr>
      <w:r>
        <w:rPr/>
        <w:t>Corresponding first 5 bvecs from NS:</w:t>
      </w:r>
    </w:p>
    <w:p>
      <w:pPr>
        <w:pStyle w:val="PreformattedText"/>
        <w:numPr>
          <w:ilvl w:val="0"/>
          <w:numId w:val="1"/>
        </w:numPr>
        <w:rPr/>
      </w:pPr>
      <w:r>
        <w:rPr/>
        <w:t xml:space="preserve">         </w:t>
      </w:r>
      <w:r>
        <w:rPr/>
        <w:t>0    0.3563    0.9346    0.1869    0.1108</w:t>
      </w:r>
    </w:p>
    <w:p>
      <w:pPr>
        <w:pStyle w:val="PreformattedText"/>
        <w:numPr>
          <w:ilvl w:val="0"/>
          <w:numId w:val="1"/>
        </w:numPr>
        <w:rPr/>
      </w:pPr>
      <w:r>
        <w:rPr/>
        <w:t xml:space="preserve">         </w:t>
      </w:r>
      <w:r>
        <w:rPr/>
        <w:t>0    0.6563    0.2722   -0.9565   -0.1193</w:t>
      </w:r>
    </w:p>
    <w:p>
      <w:pPr>
        <w:pStyle w:val="PreformattedText"/>
        <w:numPr>
          <w:ilvl w:val="0"/>
          <w:numId w:val="1"/>
        </w:numPr>
        <w:rPr/>
      </w:pPr>
      <w:r>
        <w:rPr/>
        <w:t xml:space="preserve">         </w:t>
      </w:r>
      <w:r>
        <w:rPr/>
        <w:t>0    0.6651    0.2290   -0.2238    0.9867</w:t>
      </w:r>
    </w:p>
    <w:p>
      <w:pPr>
        <w:pStyle w:val="BodyText"/>
        <w:numPr>
          <w:ilvl w:val="2"/>
          <w:numId w:val="1"/>
        </w:numPr>
        <w:rPr/>
      </w:pPr>
      <w:r>
        <w:rPr/>
        <w:t>Both NS and SH use versions of the ABCD fMRI sequences, but they are believed to differ in version. The alternate vectors would be geometrically equivalent, and will not affect processing if as intended individual bvec/bval files are always used for each scan.</w:t>
      </w:r>
    </w:p>
    <w:p>
      <w:pPr>
        <w:pStyle w:val="Heading3"/>
        <w:numPr>
          <w:ilvl w:val="2"/>
          <w:numId w:val="1"/>
        </w:numPr>
        <w:rPr/>
      </w:pPr>
      <w:r>
        <w:rPr/>
        <w:t>MCC2/WS b-Vector Variations</w:t>
      </w:r>
    </w:p>
    <w:p>
      <w:pPr>
        <w:pStyle w:val="BodyText"/>
        <w:rPr/>
      </w:pPr>
      <w:r>
        <w:rPr/>
        <w:t>The b-vectors from the MCC2/WS Wayne State Siemens Verio scanner do not match the MCC1/NS NorthShore values, from which they were set using a Siemens b-matrix file. The first five vectors are as follows at Northshore,</w:t>
      </w:r>
    </w:p>
    <w:p>
      <w:pPr>
        <w:pStyle w:val="PreformattedText"/>
        <w:rPr/>
      </w:pPr>
      <w:r>
        <w:rPr/>
        <w:t xml:space="preserve">         </w:t>
      </w:r>
      <w:r>
        <w:rPr/>
        <w:t>0    0.3563   0.9346    0.1869   0.1108</w:t>
      </w:r>
    </w:p>
    <w:p>
      <w:pPr>
        <w:pStyle w:val="PreformattedText"/>
        <w:rPr/>
      </w:pPr>
      <w:r>
        <w:rPr/>
        <w:t xml:space="preserve">         </w:t>
      </w:r>
      <w:r>
        <w:rPr/>
        <w:t>0    0.6563   0.2722   -0.9565  -0.1193</w:t>
      </w:r>
    </w:p>
    <w:p>
      <w:pPr>
        <w:pStyle w:val="PreformattedText"/>
        <w:rPr/>
      </w:pPr>
      <w:r>
        <w:rPr/>
        <w:t xml:space="preserve">         </w:t>
      </w:r>
      <w:r>
        <w:rPr/>
        <w:t>0    0.6651   0.2290   -0.2238   0.9867</w:t>
      </w:r>
    </w:p>
    <w:p>
      <w:pPr>
        <w:pStyle w:val="BodyText"/>
        <w:rPr/>
      </w:pPr>
      <w:r>
        <w:rPr/>
        <w:t>and at Wayne State,</w:t>
      </w:r>
    </w:p>
    <w:p>
      <w:pPr>
        <w:pStyle w:val="PreformattedText"/>
        <w:rPr/>
      </w:pPr>
      <w:r>
        <w:rPr/>
        <w:t xml:space="preserve">         </w:t>
      </w:r>
      <w:r>
        <w:rPr/>
        <w:t>0    0.6555   0.2720   -0.9571  -0.1188</w:t>
      </w:r>
    </w:p>
    <w:p>
      <w:pPr>
        <w:pStyle w:val="PreformattedText"/>
        <w:rPr/>
      </w:pPr>
      <w:r>
        <w:rPr/>
        <w:t xml:space="preserve">         </w:t>
      </w:r>
      <w:r>
        <w:rPr/>
        <w:t>0    0.3559   0.9342    0.1870   0.1107</w:t>
      </w:r>
    </w:p>
    <w:p>
      <w:pPr>
        <w:pStyle w:val="PreformattedText"/>
        <w:rPr/>
      </w:pPr>
      <w:r>
        <w:rPr/>
        <w:t xml:space="preserve">         </w:t>
      </w:r>
      <w:r>
        <w:rPr/>
        <w:t>0   -0.6661  -0.2306    0.2214  -0.9867</w:t>
      </w:r>
    </w:p>
    <w:p>
      <w:pPr>
        <w:pStyle w:val="BodyText"/>
        <w:rPr/>
      </w:pPr>
      <w:r>
        <w:rPr/>
        <w:t>The Siemens vector input file is interpreted differently by the two scanners so that (x, y, z) at NorthShore becomes (y, x, -z) at WSU. The spatial coverage is identical. (Note that in the WSU case, there will be the appearance of 6 extra vectors because the "b=0" images, which have (0,0,0) vectors in the NorthShore case, are assigned actual vectors due to having b=5 in the WSU setup due to the previous issue above.)</w:t>
      </w:r>
    </w:p>
    <w:p>
      <w:pPr>
        <w:pStyle w:val="Heading1"/>
        <w:numPr>
          <w:ilvl w:val="0"/>
          <w:numId w:val="1"/>
        </w:numPr>
        <w:rPr/>
      </w:pPr>
      <w:bookmarkStart w:id="28" w:name="__RefHeading___Toc2901_70583006"/>
      <w:bookmarkStart w:id="29" w:name="_Toc200012181"/>
      <w:bookmarkEnd w:id="28"/>
      <w:r>
        <w:rPr/>
        <w:t>6. T1W Protocol Issues</w:t>
      </w:r>
      <w:bookmarkEnd w:id="29"/>
    </w:p>
    <w:p>
      <w:pPr>
        <w:pStyle w:val="BodyText"/>
        <w:rPr/>
      </w:pPr>
      <w:r>
        <w:rPr/>
        <w:t>The ABCD protocol document</w:t>
      </w:r>
      <w:r>
        <w:rPr>
          <w:rStyle w:val="FootnoteReference"/>
        </w:rPr>
        <w:footnoteReference w:id="2"/>
      </w:r>
      <w:r>
        <w:rPr/>
        <w:t xml:space="preserve"> specifies a TR of 2500 ms for the T1 scan on GE scanners. Despite this, and despite the fact that UIC reports they are running ABCD study sequences unmodified, the UIC TR = 6.952 ms for T1 scans.</w:t>
      </w:r>
    </w:p>
    <w:p>
      <w:pPr>
        <w:pStyle w:val="Heading1"/>
        <w:numPr>
          <w:ilvl w:val="0"/>
          <w:numId w:val="1"/>
        </w:numPr>
        <w:rPr/>
      </w:pPr>
      <w:bookmarkStart w:id="30" w:name="__RefHeading___Toc2903_70583006"/>
      <w:bookmarkStart w:id="31" w:name="_Toc200012182"/>
      <w:bookmarkEnd w:id="30"/>
      <w:r>
        <w:rPr/>
        <w:t>7. Acquisition Issues</w:t>
      </w:r>
      <w:bookmarkEnd w:id="31"/>
    </w:p>
    <w:p>
      <w:pPr>
        <w:pStyle w:val="BodyText"/>
        <w:rPr/>
      </w:pPr>
      <w:r>
        <w:rPr/>
        <w:t>In rare cases, individual runs can be affected by a variety of issues. For details of known issues and specific scans they affect, please see the A2CPS Confluence page on “Problem Cases” (</w:t>
      </w:r>
      <w:hyperlink r:id="rId12">
        <w:r>
          <w:rPr>
            <w:rStyle w:val="Hyperlink"/>
          </w:rPr>
          <w:t>https://a2cps.atlassian.net/wiki/spaces/DOC/pages/5406735/Imaging+Log+-+Problem+Cases</w:t>
        </w:r>
      </w:hyperlink>
      <w:r>
        <w:rPr/>
        <w:t>); currently version 115 (28-Apr-2025) as of this release.  Notable issues listed there included</w:t>
      </w:r>
    </w:p>
    <w:p>
      <w:pPr>
        <w:pStyle w:val="BodyText"/>
        <w:numPr>
          <w:ilvl w:val="0"/>
          <w:numId w:val="10"/>
        </w:numPr>
        <w:rPr/>
      </w:pPr>
      <w:r>
        <w:rPr/>
        <w:t>Occasional mis-acquisition of PA scans on Siemens due to an interface issue.</w:t>
      </w:r>
    </w:p>
    <w:p>
      <w:pPr>
        <w:pStyle w:val="BodyText"/>
        <w:numPr>
          <w:ilvl w:val="0"/>
          <w:numId w:val="10"/>
        </w:numPr>
        <w:rPr/>
      </w:pPr>
      <w:r>
        <w:rPr/>
        <w:t>Changes to the partial Fourier fraction (PFF) setting</w:t>
      </w:r>
    </w:p>
    <w:p>
      <w:pPr>
        <w:pStyle w:val="BodyText"/>
        <w:numPr>
          <w:ilvl w:val="0"/>
          <w:numId w:val="10"/>
        </w:numPr>
        <w:rPr/>
      </w:pPr>
      <w:r>
        <w:rPr/>
        <w:t>Interruption of scan session, resulting in subject repositioning before resumption.</w:t>
      </w:r>
    </w:p>
    <w:p>
      <w:pPr>
        <w:pStyle w:val="BodyText"/>
        <w:numPr>
          <w:ilvl w:val="0"/>
          <w:numId w:val="10"/>
        </w:numPr>
        <w:rPr/>
      </w:pPr>
      <w:r>
        <w:rPr/>
        <w:t>Truncated scans (these are also flagged with a Red quality rating).</w:t>
      </w:r>
    </w:p>
    <w:p>
      <w:pPr>
        <w:pStyle w:val="BodyText"/>
        <w:rPr/>
      </w:pPr>
      <w:r>
        <w:rPr/>
        <w:t xml:space="preserve">There were also a few issues worth noting that occurred during the initial setup period (first 100 scans, through August 2021). </w:t>
      </w:r>
    </w:p>
    <w:p>
      <w:pPr>
        <w:pStyle w:val="BodyText"/>
        <w:numPr>
          <w:ilvl w:val="0"/>
          <w:numId w:val="11"/>
        </w:numPr>
        <w:rPr/>
      </w:pPr>
      <w:r>
        <w:rPr/>
        <w:t>Face masking was not initially recorded on an individual basis (this begin in Fall 2021). Prior to that, in some cases the information on Confluence</w:t>
      </w:r>
      <w:r>
        <w:rPr>
          <w:rStyle w:val="FootnoteReference"/>
        </w:rPr>
        <w:footnoteReference w:id="3"/>
      </w:r>
      <w:r>
        <w:rPr/>
        <w:t xml:space="preserve"> on site policies during this period will provide sufficient information to infer mask use.</w:t>
      </w:r>
    </w:p>
    <w:p>
      <w:pPr>
        <w:pStyle w:val="BodyText"/>
        <w:numPr>
          <w:ilvl w:val="0"/>
          <w:numId w:val="11"/>
        </w:numPr>
        <w:rPr/>
      </w:pPr>
      <w:r>
        <w:rPr/>
        <w:t xml:space="preserve">There are a small number of “pressureless cuff” scans. These are instances of the CUFF1 and CUFF2 scans with no inflation applied, and can be identified by checking the events.tsv files of Cuff scans for “applied_pressure” values of 0. </w:t>
      </w:r>
    </w:p>
    <w:p>
      <w:pPr>
        <w:pStyle w:val="BodyText"/>
        <w:numPr>
          <w:ilvl w:val="0"/>
          <w:numId w:val="11"/>
        </w:numPr>
        <w:rPr/>
      </w:pPr>
      <w:r>
        <w:rPr/>
        <w:t>In very early scans, prior to protocol clarification there might have been instances in which “pressureless cuff” or “cuff contraindicated” subjects were run without the cuff deployed.</w:t>
      </w:r>
    </w:p>
    <w:p>
      <w:pPr>
        <w:pStyle w:val="Heading1"/>
        <w:numPr>
          <w:ilvl w:val="0"/>
          <w:numId w:val="1"/>
        </w:numPr>
        <w:rPr/>
      </w:pPr>
      <w:bookmarkStart w:id="32" w:name="__RefHeading___Toc2905_70583006"/>
      <w:bookmarkStart w:id="33" w:name="_Toc200012183"/>
      <w:bookmarkEnd w:id="32"/>
      <w:r>
        <w:rPr/>
        <w:t>8. Incomplete Scan Sessions</w:t>
      </w:r>
      <w:bookmarkEnd w:id="33"/>
    </w:p>
    <w:p>
      <w:pPr>
        <w:pStyle w:val="BodyText"/>
        <w:rPr/>
      </w:pPr>
      <w:r>
        <w:rPr/>
        <w:t>In some cases, scan sessions were terminated early, usually at the request of the research participant, resulting in an incomplete set of scans. In rare cases, technical issues such as scan reconstruction failure on the scanner also reduced scan availability.</w:t>
      </w:r>
    </w:p>
    <w:p>
      <w:pPr>
        <w:pStyle w:val="BodyText"/>
        <w:rPr/>
      </w:pPr>
      <w:r>
        <w:rPr/>
        <w:t>The following are notes on specific cases of particular interest:</w:t>
      </w:r>
    </w:p>
    <w:p>
      <w:pPr>
        <w:pStyle w:val="BodyText"/>
        <w:numPr>
          <w:ilvl w:val="0"/>
          <w:numId w:val="4"/>
        </w:numPr>
        <w:rPr/>
      </w:pPr>
      <w:r>
        <w:rPr/>
        <w:t xml:space="preserve">There are several cases in which only the T1w scan (the first in the session) is available: 10005, 10245, 10553, 20311, and 15001. </w:t>
      </w:r>
    </w:p>
    <w:p>
      <w:pPr>
        <w:pStyle w:val="BodyText"/>
        <w:numPr>
          <w:ilvl w:val="0"/>
          <w:numId w:val="4"/>
        </w:numPr>
        <w:rPr/>
      </w:pPr>
      <w:r>
        <w:rPr/>
        <w:t xml:space="preserve"> </w:t>
      </w:r>
      <w:r>
        <w:rPr/>
        <w:t>There are two cases in which no T1w scan is available: 10205, a reconstruction failure on the scanner, and 25012, a case where severe dental artifact led to the T1w not being saved. These scans will appear in the BIDS dataset but not in the derivatives, since all A2CPS pipelines require T1w images.</w:t>
      </w:r>
    </w:p>
    <w:p>
      <w:pPr>
        <w:pStyle w:val="BodyText"/>
        <w:numPr>
          <w:ilvl w:val="0"/>
          <w:numId w:val="4"/>
        </w:numPr>
        <w:rPr/>
      </w:pPr>
      <w:r>
        <w:rPr/>
        <w:t>There are a small number of cases with REST2 but no Cuff scans, violating the "pain bracketing" expectation for Rest scans. These have been flagged as “Red” quality to distinguish them as incomparable to other REST2 scans.</w:t>
      </w:r>
    </w:p>
    <w:p>
      <w:pPr>
        <w:pStyle w:val="BodyText"/>
        <w:rPr/>
      </w:pPr>
      <w:r>
        <w:rPr/>
        <w:t>Note that imaging products are included in each release only if the A2CPS pipeline completed successfully – thus, there may sometimes be cases for which BIDS data exists but no products are yet available.</w:t>
      </w:r>
    </w:p>
    <w:p>
      <w:pPr>
        <w:pStyle w:val="Heading1"/>
        <w:numPr>
          <w:ilvl w:val="0"/>
          <w:numId w:val="1"/>
        </w:numPr>
        <w:rPr/>
      </w:pPr>
      <w:bookmarkStart w:id="34" w:name="__RefHeading___Toc2907_70583006"/>
      <w:bookmarkStart w:id="35" w:name="_Toc200012184"/>
      <w:bookmarkStart w:id="36" w:name="_Ref187835946"/>
      <w:bookmarkStart w:id="37" w:name="_Ref187835931"/>
      <w:bookmarkEnd w:id="34"/>
      <w:r>
        <w:rPr/>
        <w:t>9. Release Changes</w:t>
      </w:r>
      <w:bookmarkEnd w:id="35"/>
      <w:bookmarkEnd w:id="36"/>
      <w:bookmarkEnd w:id="37"/>
    </w:p>
    <w:p>
      <w:pPr>
        <w:pStyle w:val="Normal"/>
        <w:rPr/>
      </w:pPr>
      <w:r>
        <w:rPr/>
        <w:t>These are details related to derivatives that are release-specific. Note that the BIDS dataset also includes a CHANGES file with information on changes to the imaging dataset (though not its derivatives). See the sections below for Release 2.1 changes relative to Release 2.0, as well as Release 2.0 changes relative to 1.1 and Release 1.1 changes relative to the initial release.</w:t>
      </w:r>
    </w:p>
    <w:p>
      <w:pPr>
        <w:pStyle w:val="Heading2"/>
        <w:numPr>
          <w:ilvl w:val="1"/>
          <w:numId w:val="1"/>
        </w:numPr>
        <w:rPr/>
      </w:pPr>
      <w:bookmarkStart w:id="38" w:name="__RefHeading___Toc2909_70583006"/>
      <w:bookmarkStart w:id="39" w:name="_Toc200012185"/>
      <w:bookmarkEnd w:id="38"/>
      <w:r>
        <w:rPr/>
        <w:t>Release 2.1</w:t>
      </w:r>
      <w:bookmarkEnd w:id="39"/>
    </w:p>
    <w:p>
      <w:pPr>
        <w:pStyle w:val="ListParagraph"/>
        <w:numPr>
          <w:ilvl w:val="0"/>
          <w:numId w:val="12"/>
        </w:numPr>
        <w:rPr/>
      </w:pPr>
      <w:r>
        <w:rPr/>
        <w:t xml:space="preserve">In this release, some products in /mris/derivatives may have new names or locations; see the </w:t>
      </w:r>
      <w:r>
        <w:rPr>
          <w:rStyle w:val="Hyperlink"/>
        </w:rPr>
        <w:t>Release Contents</w:t>
      </w:r>
      <w:r>
        <w:rPr/>
        <w:t xml:space="preserve"> section for an overview of the current layout </w:t>
      </w:r>
    </w:p>
    <w:p>
      <w:pPr>
        <w:pStyle w:val="ListParagraph"/>
        <w:numPr>
          <w:ilvl w:val="0"/>
          <w:numId w:val="12"/>
        </w:numPr>
        <w:rPr/>
      </w:pPr>
      <w:r>
        <w:rPr/>
        <w:t>A new table of IDP (image derived phenotypes) values is now provided in the /mris/idp directory in order to facilitate integrating imaging with other modalities</w:t>
      </w:r>
    </w:p>
    <w:p>
      <w:pPr>
        <w:pStyle w:val="ListParagraph"/>
        <w:numPr>
          <w:ilvl w:val="0"/>
          <w:numId w:val="12"/>
        </w:numPr>
        <w:rPr/>
      </w:pPr>
      <w:r>
        <w:rPr/>
        <w:t>Diffusion tensor imaging (DTI)-derived metrics (FA, MD, etc) are now provided in /mris/derivatives/qsirecon_fsl_dtifit -- these are calculated with FSL’s dtifit on the full multi-shell DWI data as well as on each separate shell (b1000, b2000, b3000)</w:t>
      </w:r>
    </w:p>
    <w:p>
      <w:pPr>
        <w:pStyle w:val="ListParagraph"/>
        <w:numPr>
          <w:ilvl w:val="0"/>
          <w:numId w:val="12"/>
        </w:numPr>
        <w:rPr/>
      </w:pPr>
      <w:r>
        <w:rPr/>
        <w:t>An additional skull stripping step is no longer performed on the various pipeline outputs derived from T1-weighted images (or on the T1w images in BIDS)</w:t>
      </w:r>
    </w:p>
    <w:p>
      <w:pPr>
        <w:pStyle w:val="ListParagraph"/>
        <w:numPr>
          <w:ilvl w:val="0"/>
          <w:numId w:val="12"/>
        </w:numPr>
        <w:rPr/>
      </w:pPr>
      <w:r>
        <w:rPr/>
        <w:t>This release includes four final primary imaging biomarkers (biomarker numbering refers to the (</w:t>
      </w:r>
      <w:hyperlink r:id="rId13">
        <w:r>
          <w:rPr>
            <w:rStyle w:val="Hyperlink"/>
          </w:rPr>
          <w:t>Berardi et al. 2022</w:t>
        </w:r>
      </w:hyperlink>
      <w:r>
        <w:rPr/>
        <w:t xml:space="preserve">) master list: </w:t>
      </w:r>
    </w:p>
    <w:p>
      <w:pPr>
        <w:pStyle w:val="ListParagraph"/>
        <w:numPr>
          <w:ilvl w:val="1"/>
          <w:numId w:val="12"/>
        </w:numPr>
        <w:rPr/>
      </w:pPr>
      <w:r>
        <w:rPr/>
        <w:t>primary biomarker 33 (white matter connectivity between bilateral dorsomedial prefrontal cortex, amygdala, and nucleus accumbens), derived from probabilistic tractography on DWI, with additional release of related sub-networks within the corticolimbic network examined in the biomarker’s reference publication</w:t>
      </w:r>
    </w:p>
    <w:p>
      <w:pPr>
        <w:pStyle w:val="ListParagraph"/>
        <w:numPr>
          <w:ilvl w:val="1"/>
          <w:numId w:val="12"/>
        </w:numPr>
        <w:rPr/>
      </w:pPr>
      <w:r>
        <w:rPr/>
        <w:t xml:space="preserve">primary biomarker 35 (DMN-S1 connectivity); see </w:t>
      </w:r>
      <w:r>
        <w:rPr>
          <w:rStyle w:val="Bulletsuser"/>
          <w:lang w:eastAsia="en-US" w:bidi="ar-SA"/>
        </w:rPr>
        <w:t>/mris/derivatives/postgift for values</w:t>
      </w:r>
    </w:p>
    <w:p>
      <w:pPr>
        <w:pStyle w:val="ListParagraph"/>
        <w:numPr>
          <w:ilvl w:val="1"/>
          <w:numId w:val="12"/>
        </w:numPr>
        <w:rPr/>
      </w:pPr>
      <w:r>
        <w:rPr/>
        <w:t xml:space="preserve">primary biomarker 36 (DMN-insula connectivity); see </w:t>
      </w:r>
      <w:r>
        <w:rPr>
          <w:rStyle w:val="Bulletsuser"/>
          <w:lang w:eastAsia="en-US" w:bidi="ar-SA"/>
        </w:rPr>
        <w:t>/mris/derivatives/postgift for values</w:t>
      </w:r>
    </w:p>
    <w:p>
      <w:pPr>
        <w:pStyle w:val="ListParagraph"/>
        <w:numPr>
          <w:ilvl w:val="1"/>
          <w:numId w:val="12"/>
        </w:numPr>
        <w:rPr/>
      </w:pPr>
      <w:r>
        <w:rPr/>
        <w:t>primary biomarker 37 (hub disruption) calculated using a control sample of age and gender matched UK BioBank participants without chronic pain; see /mris/derivatives/fcn for values</w:t>
      </w:r>
    </w:p>
    <w:p>
      <w:pPr>
        <w:pStyle w:val="ListParagraph"/>
        <w:numPr>
          <w:ilvl w:val="0"/>
          <w:numId w:val="12"/>
        </w:numPr>
        <w:rPr/>
      </w:pPr>
      <w:r>
        <w:rPr/>
        <w:t>Update to calculation of secondary biomarker 68 (gray matter density)</w:t>
      </w:r>
    </w:p>
    <w:p>
      <w:pPr>
        <w:pStyle w:val="ListParagraph"/>
        <w:numPr>
          <w:ilvl w:val="0"/>
          <w:numId w:val="12"/>
        </w:numPr>
        <w:rPr/>
      </w:pPr>
      <w:r>
        <w:rPr/>
        <w:t xml:space="preserve">An initial set of A2CPS “Starter Kits” with walkthroughs of typical data analysis steps is being shared in conjunction with Release 2.1 – see the </w:t>
      </w:r>
      <w:r>
        <w:rPr>
          <w:rStyle w:val="Hyperlink"/>
        </w:rPr>
        <w:t>Release Contents</w:t>
      </w:r>
      <w:r>
        <w:rPr/>
        <w:t xml:space="preserve"> section for links</w:t>
      </w:r>
    </w:p>
    <w:p>
      <w:pPr>
        <w:pStyle w:val="ListParagraph"/>
        <w:numPr>
          <w:ilvl w:val="0"/>
          <w:numId w:val="12"/>
        </w:numPr>
        <w:rPr/>
      </w:pPr>
      <w:r>
        <w:rPr/>
        <w:t xml:space="preserve">A new quality control (QC)-related value, “mask volume”, is being distributed in </w:t>
      </w:r>
      <w:r>
        <w:rPr>
          <w:rStyle w:val="Bulletsuser"/>
          <w:lang w:eastAsia="en-US" w:bidi="ar-SA"/>
        </w:rPr>
        <w:t>/mris/idp; note that this is i</w:t>
      </w:r>
      <w:r>
        <w:rPr/>
        <w:t>n addition to many already available QC values (cf. MRIQC, fMRIPrep, QSIprep, and eddyqc), but is of interest for internal use in relation to the ongoing DIRC manual QC project</w:t>
      </w:r>
    </w:p>
    <w:p>
      <w:pPr>
        <w:pStyle w:val="Heading2"/>
        <w:numPr>
          <w:ilvl w:val="1"/>
          <w:numId w:val="1"/>
        </w:numPr>
        <w:rPr/>
      </w:pPr>
      <w:bookmarkStart w:id="40" w:name="__RefHeading___Toc2911_70583006"/>
      <w:bookmarkStart w:id="41" w:name="_Toc200012186"/>
      <w:bookmarkEnd w:id="40"/>
      <w:r>
        <w:rPr/>
        <w:t>Release 2.0</w:t>
      </w:r>
      <w:bookmarkEnd w:id="41"/>
    </w:p>
    <w:p>
      <w:pPr>
        <w:pStyle w:val="ListParagraph"/>
        <w:numPr>
          <w:ilvl w:val="0"/>
          <w:numId w:val="12"/>
        </w:numPr>
        <w:rPr/>
      </w:pPr>
      <w:r>
        <w:rPr/>
        <w:t>Several pipelines have been upgraded. For changes associated with these updates, please seem the pipeline documentation.</w:t>
      </w:r>
    </w:p>
    <w:p>
      <w:pPr>
        <w:pStyle w:val="ListParagraph"/>
        <w:numPr>
          <w:ilvl w:val="1"/>
          <w:numId w:val="12"/>
        </w:numPr>
        <w:rPr/>
      </w:pPr>
      <w:r>
        <w:rPr/>
        <w:t xml:space="preserve">fMRIPrep: 20.2.x LTS → 24.0.1  </w:t>
      </w:r>
    </w:p>
    <w:p>
      <w:pPr>
        <w:pStyle w:val="ListParagraph"/>
        <w:numPr>
          <w:ilvl w:val="1"/>
          <w:numId w:val="12"/>
        </w:numPr>
        <w:rPr/>
      </w:pPr>
      <w:r>
        <w:rPr/>
        <w:t>FreeSurfer: 6 → 7</w:t>
      </w:r>
    </w:p>
    <w:p>
      <w:pPr>
        <w:pStyle w:val="ListParagraph"/>
        <w:numPr>
          <w:ilvl w:val="1"/>
          <w:numId w:val="12"/>
        </w:numPr>
        <w:rPr/>
      </w:pPr>
      <w:r>
        <w:rPr/>
        <w:t>CAT12: 12.8.1 (r2042) → 12.9 (r2556)</w:t>
      </w:r>
    </w:p>
    <w:p>
      <w:pPr>
        <w:pStyle w:val="ListParagraph"/>
        <w:numPr>
          <w:ilvl w:val="1"/>
          <w:numId w:val="12"/>
        </w:numPr>
        <w:rPr/>
      </w:pPr>
      <w:r>
        <w:rPr/>
        <w:t>MRIQC: 0.15.1 → 24.0.2</w:t>
      </w:r>
    </w:p>
    <w:p>
      <w:pPr>
        <w:pStyle w:val="ListParagraph"/>
        <w:numPr>
          <w:ilvl w:val="1"/>
          <w:numId w:val="12"/>
        </w:numPr>
        <w:rPr/>
      </w:pPr>
      <w:r>
        <w:rPr/>
        <w:t>Functional Connectivity: A2CPS Pipeline 1.0/1.1 → A2CPS Pipeline 2.0</w:t>
      </w:r>
    </w:p>
    <w:p>
      <w:pPr>
        <w:pStyle w:val="ListParagraph"/>
        <w:numPr>
          <w:ilvl w:val="1"/>
          <w:numId w:val="12"/>
        </w:numPr>
        <w:rPr/>
      </w:pPr>
      <w:r>
        <w:rPr/>
        <w:t>MRI Signatures: A2CPS Pipeline 1.0/1.1 → A2CPS Pipeline 2.0</w:t>
      </w:r>
    </w:p>
    <w:p>
      <w:pPr>
        <w:pStyle w:val="ListParagraph"/>
        <w:numPr>
          <w:ilvl w:val="0"/>
          <w:numId w:val="12"/>
        </w:numPr>
        <w:rPr/>
      </w:pPr>
      <w:r>
        <w:rPr/>
        <w:t>In addition, outputs that are downstream from these upgraded pipelines have been rerun</w:t>
      </w:r>
    </w:p>
    <w:p>
      <w:pPr>
        <w:pStyle w:val="ListParagraph"/>
        <w:numPr>
          <w:ilvl w:val="1"/>
          <w:numId w:val="12"/>
        </w:numPr>
        <w:rPr/>
      </w:pPr>
      <w:r>
        <w:rPr/>
        <w:t>GIFT: 4.0.5.0/NeuroMark 2.x</w:t>
      </w:r>
    </w:p>
    <w:p>
      <w:pPr>
        <w:pStyle w:val="ListParagraph"/>
        <w:numPr>
          <w:ilvl w:val="0"/>
          <w:numId w:val="12"/>
        </w:numPr>
        <w:rPr/>
      </w:pPr>
      <w:r>
        <w:rPr/>
        <w:t>Subject 10478 withdrew from the study. Although the subject did not request removal of collected data, there were enough omissions in baseline demographic information that it was judged best to omit this ID from the Release 2 freeze list.</w:t>
      </w:r>
    </w:p>
    <w:p>
      <w:pPr>
        <w:pStyle w:val="ListParagraph"/>
        <w:numPr>
          <w:ilvl w:val="0"/>
          <w:numId w:val="12"/>
        </w:numPr>
        <w:rPr/>
      </w:pPr>
      <w:r>
        <w:rPr/>
        <w:t>In Release 1, UC100491V1’s CUFF1 scan is truncated (20% size). Prior to Release 2.0, a review identified a full replacement CUFF1 scan that was not initially processed because of a scan labeling issue. As of Release 2.0, this replacement scan is included (both rawdata and Derivatives).</w:t>
      </w:r>
    </w:p>
    <w:p>
      <w:pPr>
        <w:pStyle w:val="ListParagraph"/>
        <w:numPr>
          <w:ilvl w:val="0"/>
          <w:numId w:val="12"/>
        </w:numPr>
        <w:rPr/>
      </w:pPr>
      <w:r>
        <w:rPr/>
        <w:t>No longer providing multiple copies of minimally preprocessed anatomical results, as produced by fmriprep</w:t>
      </w:r>
    </w:p>
    <w:p>
      <w:pPr>
        <w:pStyle w:val="ListParagraph"/>
        <w:numPr>
          <w:ilvl w:val="1"/>
          <w:numId w:val="12"/>
        </w:numPr>
        <w:rPr/>
      </w:pPr>
      <w:r>
        <w:rPr/>
        <w:t>Previously, rfMRI and tfMRI scans were processed by fmriprep separately from the anatomical scans, and each produced a set of minimally preprocessed anatomical files. As of Release 2, fmriprep is run once per participant, resulting in a single set of preprocessed anatomical scans</w:t>
      </w:r>
    </w:p>
    <w:p>
      <w:pPr>
        <w:pStyle w:val="ListParagraph"/>
        <w:numPr>
          <w:ilvl w:val="0"/>
          <w:numId w:val="12"/>
        </w:numPr>
        <w:rPr/>
      </w:pPr>
      <w:r>
        <w:rPr/>
        <w:t>Improved masking in fMRIPrep</w:t>
      </w:r>
    </w:p>
    <w:p>
      <w:pPr>
        <w:pStyle w:val="ListParagraph"/>
        <w:numPr>
          <w:ilvl w:val="1"/>
          <w:numId w:val="12"/>
        </w:numPr>
        <w:rPr/>
      </w:pPr>
      <w:r>
        <w:rPr/>
        <w:t>The default masking routine for fMRIPrep has been replaced with mri_synthstrip</w:t>
      </w:r>
    </w:p>
    <w:p>
      <w:pPr>
        <w:pStyle w:val="ListParagraph"/>
        <w:numPr>
          <w:ilvl w:val="0"/>
          <w:numId w:val="12"/>
        </w:numPr>
        <w:rPr/>
      </w:pPr>
      <w:r>
        <w:rPr/>
        <w:t>In fMRIPrep processing, bold-anat coregistration has been reduced from 9 → 6</w:t>
      </w:r>
    </w:p>
    <w:p>
      <w:pPr>
        <w:pStyle w:val="ListParagraph"/>
        <w:numPr>
          <w:ilvl w:val="0"/>
          <w:numId w:val="12"/>
        </w:numPr>
        <w:rPr/>
      </w:pPr>
      <w:r>
        <w:rPr/>
        <w:t>New output spaces are included in fMRIPrep. The current list is</w:t>
      </w:r>
    </w:p>
    <w:p>
      <w:pPr>
        <w:pStyle w:val="ListParagraph"/>
        <w:numPr>
          <w:ilvl w:val="1"/>
          <w:numId w:val="12"/>
        </w:numPr>
        <w:rPr/>
      </w:pPr>
      <w:r>
        <w:rPr/>
        <w:t>MNI152NLin2009cAsym:res-native</w:t>
      </w:r>
    </w:p>
    <w:p>
      <w:pPr>
        <w:pStyle w:val="ListParagraph"/>
        <w:numPr>
          <w:ilvl w:val="1"/>
          <w:numId w:val="12"/>
        </w:numPr>
        <w:rPr/>
      </w:pPr>
      <w:r>
        <w:rPr/>
        <w:t>MNI152NLin2009cAsym:res-2</w:t>
      </w:r>
    </w:p>
    <w:p>
      <w:pPr>
        <w:pStyle w:val="ListParagraph"/>
        <w:numPr>
          <w:ilvl w:val="1"/>
          <w:numId w:val="12"/>
        </w:numPr>
        <w:rPr/>
      </w:pPr>
      <w:r>
        <w:rPr/>
        <w:t>MNI152NLin6Asym:res-native</w:t>
      </w:r>
    </w:p>
    <w:p>
      <w:pPr>
        <w:pStyle w:val="ListParagraph"/>
        <w:numPr>
          <w:ilvl w:val="1"/>
          <w:numId w:val="12"/>
        </w:numPr>
        <w:rPr/>
      </w:pPr>
      <w:r>
        <w:rPr/>
        <w:t>MNI152NLin6Asym:res-2</w:t>
      </w:r>
    </w:p>
    <w:p>
      <w:pPr>
        <w:pStyle w:val="ListParagraph"/>
        <w:numPr>
          <w:ilvl w:val="1"/>
          <w:numId w:val="12"/>
        </w:numPr>
        <w:rPr/>
      </w:pPr>
      <w:r>
        <w:rPr/>
        <w:t>space-fsLR_den-91k</w:t>
      </w:r>
    </w:p>
    <w:p>
      <w:pPr>
        <w:pStyle w:val="ListParagraph"/>
        <w:numPr>
          <w:ilvl w:val="0"/>
          <w:numId w:val="12"/>
        </w:numPr>
        <w:rPr/>
      </w:pPr>
      <w:r>
        <w:rPr/>
        <w:t>Parcellated timeseries from functional connectivity now included</w:t>
      </w:r>
    </w:p>
    <w:p>
      <w:pPr>
        <w:pStyle w:val="ListParagraph"/>
        <w:numPr>
          <w:ilvl w:val="0"/>
          <w:numId w:val="12"/>
        </w:numPr>
        <w:rPr/>
      </w:pPr>
      <w:r>
        <w:rPr/>
        <w:t>GIFT processing is now performed on CUFF data</w:t>
      </w:r>
    </w:p>
    <w:p>
      <w:pPr>
        <w:pStyle w:val="Heading2"/>
        <w:numPr>
          <w:ilvl w:val="1"/>
          <w:numId w:val="1"/>
        </w:numPr>
        <w:rPr/>
      </w:pPr>
      <w:bookmarkStart w:id="42" w:name="__RefHeading___Toc2913_70583006"/>
      <w:bookmarkStart w:id="43" w:name="_Toc200012187"/>
      <w:bookmarkEnd w:id="42"/>
      <w:r>
        <w:rPr/>
        <w:t>Release 1.1</w:t>
      </w:r>
      <w:bookmarkEnd w:id="43"/>
    </w:p>
    <w:p>
      <w:pPr>
        <w:pStyle w:val="Normal"/>
        <w:numPr>
          <w:ilvl w:val="0"/>
          <w:numId w:val="14"/>
        </w:numPr>
        <w:rPr/>
      </w:pPr>
      <w:r>
        <w:rPr/>
        <w:t xml:space="preserve">Documentation improvements (these Release Notes have been added, and the BIDS README.MD has updated contents) </w:t>
      </w:r>
    </w:p>
    <w:p>
      <w:pPr>
        <w:pStyle w:val="Normal"/>
        <w:numPr>
          <w:ilvl w:val="0"/>
          <w:numId w:val="14"/>
        </w:numPr>
        <w:rPr/>
      </w:pPr>
      <w:r>
        <w:rPr/>
        <w:t>Updates in BIDS (InstitutionName now fixed for all scans from a site, "scanner" column now moved from participants.tsv to scans.tsv, and other additions to scans.tsv)</w:t>
      </w:r>
    </w:p>
    <w:p>
      <w:pPr>
        <w:pStyle w:val="BodyText"/>
        <w:numPr>
          <w:ilvl w:val="0"/>
          <w:numId w:val="14"/>
        </w:numPr>
        <w:rPr/>
      </w:pPr>
      <w:r>
        <w:rPr/>
        <w:t>Changes and additions in derivatives (principally, the addition of processed diffusion MRI data and standardized ICA results for fMRI from the NeuroMark package)</w:t>
      </w:r>
    </w:p>
    <w:p>
      <w:pPr>
        <w:pStyle w:val="BodyText"/>
        <w:numPr>
          <w:ilvl w:val="0"/>
          <w:numId w:val="14"/>
        </w:numPr>
        <w:rPr/>
      </w:pPr>
      <w:r>
        <w:rPr/>
        <w:t>New “Frequently Asked Questions” (see end of this document)</w:t>
      </w:r>
    </w:p>
    <w:p>
      <w:pPr>
        <w:pStyle w:val="Heading1"/>
        <w:numPr>
          <w:ilvl w:val="0"/>
          <w:numId w:val="1"/>
        </w:numPr>
        <w:rPr/>
      </w:pPr>
      <w:bookmarkStart w:id="44" w:name="__RefHeading___Toc2915_70583006"/>
      <w:bookmarkStart w:id="45" w:name="_Toc200012188"/>
      <w:bookmarkEnd w:id="44"/>
      <w:r>
        <w:rPr/>
        <w:t>10. References</w:t>
      </w:r>
      <w:bookmarkEnd w:id="45"/>
    </w:p>
    <w:p>
      <w:pPr>
        <w:pStyle w:val="HangingIndentuser"/>
        <w:rPr/>
      </w:pPr>
      <w:r>
        <w:rPr/>
        <w:t xml:space="preserve">[Barth et al. 2016] Barth M, Breuer F, Koopmans PJ, Norris DG, and Poser BA. Simultaneous multislice (SMS) techniques. </w:t>
      </w:r>
      <w:r>
        <w:rPr>
          <w:rStyle w:val="Emphasis"/>
        </w:rPr>
        <w:t>Magn Reson Med</w:t>
      </w:r>
      <w:r>
        <w:rPr/>
        <w:t xml:space="preserve"> 2016 Jan; 75(1):63-81. [doi: </w:t>
      </w:r>
      <w:hyperlink r:id="rId14">
        <w:r>
          <w:rPr>
            <w:rStyle w:val="Hyperlink"/>
          </w:rPr>
          <w:t>10.1002/mrm.25897</w:t>
        </w:r>
      </w:hyperlink>
      <w:r>
        <w:rPr/>
        <w:t>]</w:t>
      </w:r>
    </w:p>
    <w:p>
      <w:pPr>
        <w:pStyle w:val="HangingIndentuser"/>
        <w:rPr/>
      </w:pPr>
      <w:r>
        <w:rPr/>
        <w:t xml:space="preserve">[Casey et al. 2018] B.J. Casey, Tariq Cannonier, May I. Conley, Alexandra O. Cohen, Deanna M. Barch, Mary M. Heitzeg, Mary E. Soules, Theresa Teslovich, Danielle V. Dellarco, Hugh Garavan, Catherine A. Orr, Tor D. Wager, Marie T. Banich, Nicole K. Speer, Matthew T. Sutherland, Michael C. Riedel, Anthony S. Dick, James M. Bjork, Kathleen M. Thomas, Bader Chaarani, Margie H. Mejia, Donald J. Hagler, M. Daniela Cornejo, Chelsea S. Sicat, Michael P. Harms, Nico U.F. Dosenbach, Monica Rosenberg, Eric Earl, Hauke Bartsch, Richard Watts, Jonathan R. Polimeni, Joshua M. Kuperman, Damien A. Fair, Anders M. Dale, The Adolescent Brain Cognitive Development (ABCD) study: Imaging acquisition across 21 sites, </w:t>
      </w:r>
      <w:r>
        <w:rPr>
          <w:rStyle w:val="Emphasis"/>
        </w:rPr>
        <w:t>Developmental Cognitive Neuroscience</w:t>
      </w:r>
      <w:r>
        <w:rPr/>
        <w:t xml:space="preserve">, Vol 32, 2018, pg 43-54, ISSN 1878-9293. </w:t>
      </w:r>
      <w:hyperlink r:id="rId15">
        <w:r>
          <w:rPr>
            <w:rStyle w:val="Hyperlink"/>
          </w:rPr>
          <w:t>https://doi.org/10.1016/j.dcn.2018.03.001</w:t>
        </w:r>
      </w:hyperlink>
      <w:r>
        <w:rPr/>
        <w:t>. (</w:t>
      </w:r>
      <w:hyperlink r:id="rId16">
        <w:r>
          <w:rPr>
            <w:rStyle w:val="Hyperlink"/>
          </w:rPr>
          <w:t>https://www.sciencedirect.com/science/article/pii/S1878929317301214</w:t>
        </w:r>
      </w:hyperlink>
      <w:r>
        <w:rPr/>
        <w:t xml:space="preserve">) </w:t>
      </w:r>
    </w:p>
    <w:p>
      <w:pPr>
        <w:pStyle w:val="HangingIndentuser"/>
        <w:rPr/>
      </w:pPr>
      <w:r>
        <w:rPr/>
        <w:t xml:space="preserve">[Holland et al. 2010] Dominic Holland, Joshua M. Kuperman, Anders M. Dale, Efficient correction of inhomogeneous static magnetic field-induced distortion in Echo Planar Imaging, </w:t>
      </w:r>
      <w:r>
        <w:rPr>
          <w:i/>
          <w:iCs/>
        </w:rPr>
        <w:t>NeuroImage</w:t>
      </w:r>
      <w:r>
        <w:rPr/>
        <w:t xml:space="preserve">, Vol 50, Issue 1, 2010, pg 175-183, ISSN 1053-8119, </w:t>
      </w:r>
      <w:hyperlink r:id="rId17">
        <w:r>
          <w:rPr>
            <w:rStyle w:val="Hyperlink"/>
          </w:rPr>
          <w:t>https://doi.org/10.1016/j.neuroimage.2009.11.044</w:t>
        </w:r>
      </w:hyperlink>
      <w:r>
        <w:rPr/>
        <w:t>. (https://www.sciencedirect.com/science/article/pii/S1053811909012294)</w:t>
      </w:r>
    </w:p>
    <w:p>
      <w:pPr>
        <w:pStyle w:val="HangingIndentuser"/>
        <w:rPr/>
      </w:pPr>
      <w:r>
        <w:rPr/>
        <w:t xml:space="preserve">[Setsompop et al. 2012] Setsompop K, Cohen‐Adad J, Gagoski BA, Raij T, Yendiki A, Keil B, Wedeen VJ, Wald LL. Improving diffusion MRI using simultaneous multi‐slice echo planar imaging. </w:t>
      </w:r>
      <w:r>
        <w:rPr>
          <w:rStyle w:val="Emphasis"/>
        </w:rPr>
        <w:t>Neuroimage</w:t>
      </w:r>
      <w:r>
        <w:rPr/>
        <w:t xml:space="preserve"> 2012;63:569–580. [</w:t>
      </w:r>
      <w:hyperlink r:id="rId18">
        <w:r>
          <w:rPr>
            <w:rStyle w:val="Hyperlink"/>
          </w:rPr>
          <w:t>PMC free article</w:t>
        </w:r>
      </w:hyperlink>
      <w:r>
        <w:rPr/>
        <w:t>]</w:t>
      </w:r>
    </w:p>
    <w:p>
      <w:pPr>
        <w:pStyle w:val="Heading1"/>
        <w:numPr>
          <w:ilvl w:val="0"/>
          <w:numId w:val="1"/>
        </w:numPr>
        <w:rPr/>
      </w:pPr>
      <w:bookmarkStart w:id="46" w:name="__RefHeading___Toc2917_70583006"/>
      <w:bookmarkStart w:id="47" w:name="_Toc200012189"/>
      <w:bookmarkEnd w:id="46"/>
      <w:r>
        <w:rPr/>
        <w:t>11. Frequently Asked Questions (FAQ)</w:t>
      </w:r>
      <w:bookmarkEnd w:id="47"/>
    </w:p>
    <w:p>
      <w:pPr>
        <w:pStyle w:val="BodyText"/>
        <w:rPr/>
      </w:pPr>
      <w:r>
        <w:rPr/>
        <w:t>This section may duplicate other material – it exists to give simple, concise answers.</w:t>
      </w:r>
    </w:p>
    <w:p>
      <w:pPr>
        <w:pStyle w:val="BodyText"/>
        <w:rPr/>
      </w:pPr>
      <w:r>
        <w:rPr/>
      </w:r>
    </w:p>
    <w:p>
      <w:pPr>
        <w:pStyle w:val="BodyText"/>
        <w:keepNext w:val="true"/>
        <w:rPr/>
      </w:pPr>
      <w:r>
        <w:rPr>
          <w:b/>
          <w:bCs/>
        </w:rPr>
        <w:t xml:space="preserve">Q1. </w:t>
      </w:r>
      <w:r>
        <w:rPr/>
        <w:t xml:space="preserve">What is the plan for releases? </w:t>
      </w:r>
    </w:p>
    <w:p>
      <w:pPr>
        <w:pStyle w:val="BodyText"/>
        <w:rPr/>
      </w:pPr>
      <w:r>
        <w:rPr>
          <w:b/>
          <w:bCs/>
        </w:rPr>
        <w:t>A1.</w:t>
      </w:r>
      <w:r>
        <w:rPr/>
        <w:t xml:space="preserve"> Major releases (such as 1.0 and 2.0) define the pool of subjects for subsequent minor releases. Minor releases (such as 1.1) add to, or change, derivatives and documentation, and bug fix releases (e.g. 1.1.1), if they become necessary, will provide faster updates in the event issues requiring correction are detected. We anticipate yearly major releases.</w:t>
      </w:r>
    </w:p>
    <w:p>
      <w:pPr>
        <w:pStyle w:val="BodyText"/>
        <w:rPr/>
      </w:pPr>
      <w:r>
        <w:rPr/>
      </w:r>
    </w:p>
    <w:p>
      <w:pPr>
        <w:pStyle w:val="BodyText"/>
        <w:keepNext w:val="true"/>
        <w:rPr/>
      </w:pPr>
      <w:r>
        <w:rPr>
          <w:b/>
          <w:bCs/>
        </w:rPr>
        <w:t>Q2.</w:t>
      </w:r>
      <w:r>
        <w:rPr/>
        <w:t xml:space="preserve"> Each release is described as including subjects based on a date interval for surgeries, but I noticed a subject included/omitted in a release had a surgery that should have excluded/included them. Is this expected?</w:t>
      </w:r>
    </w:p>
    <w:p>
      <w:pPr>
        <w:pStyle w:val="BodyText"/>
        <w:keepNext w:val="true"/>
        <w:rPr/>
      </w:pPr>
      <w:r>
        <w:rPr>
          <w:b/>
          <w:bCs/>
        </w:rPr>
        <w:t>A2.</w:t>
      </w:r>
      <w:r>
        <w:rPr/>
        <w:t xml:space="preserve"> Each release is based on a master participant list that is intended to include all A2CPS participants who had surgery by a cutoff date, and which is frozen after an initial review period. Due to later corrections in record keeping for surgery dates, in rare cases subjects can end up included or omitted from a release list in contradiction to their actual surgery date. The master freeze lists can be found at </w:t>
      </w:r>
      <w:hyperlink r:id="rId19">
        <w:r>
          <w:rPr>
            <w:rStyle w:val="Hyperlink"/>
          </w:rPr>
          <w:t>https://github.com/a2cps/DataFreeeze</w:t>
        </w:r>
      </w:hyperlink>
      <w:r>
        <w:rPr/>
        <w:t xml:space="preserve">. </w:t>
      </w:r>
    </w:p>
    <w:p>
      <w:pPr>
        <w:pStyle w:val="BodyText"/>
        <w:keepNext w:val="true"/>
        <w:rPr/>
      </w:pPr>
      <w:r>
        <w:rPr/>
      </w:r>
    </w:p>
    <w:p>
      <w:pPr>
        <w:pStyle w:val="BodyText"/>
        <w:keepNext w:val="true"/>
        <w:rPr/>
      </w:pPr>
      <w:r>
        <w:rPr>
          <w:b/>
          <w:bCs/>
        </w:rPr>
        <w:t xml:space="preserve">Q3. </w:t>
      </w:r>
      <w:r>
        <w:rPr/>
        <w:t>I noticed that a subject in Release 1 is not in Release 2. Shouldn’t releases be cumulative?</w:t>
      </w:r>
    </w:p>
    <w:p>
      <w:pPr>
        <w:pStyle w:val="BodyText"/>
        <w:keepNext w:val="true"/>
        <w:rPr/>
      </w:pPr>
      <w:r>
        <w:rPr>
          <w:b/>
          <w:bCs/>
        </w:rPr>
        <w:t xml:space="preserve">A3. </w:t>
      </w:r>
      <w:r>
        <w:rPr/>
        <w:t xml:space="preserve">Although releases are generally cumulative, there are special cases where participants that appeared one release may be excluded from subsequent ones. For example, participants may request to have their data withdrawn from the study. For a list of expected cases, see </w:t>
      </w:r>
      <w:r>
        <w:rPr/>
        <w:fldChar w:fldCharType="begin"/>
      </w:r>
      <w:r>
        <w:rPr/>
        <w:instrText xml:space="preserve"> REF _Ref187835946 \h </w:instrText>
      </w:r>
      <w:r>
        <w:rPr/>
        <w:fldChar w:fldCharType="separate"/>
      </w:r>
      <w:r>
        <w:rPr/>
        <w:t>9. Release Changes</w:t>
      </w:r>
      <w:r>
        <w:rPr/>
        <w:fldChar w:fldCharType="end"/>
      </w:r>
      <w:r>
        <w:rPr/>
        <w:t>.</w:t>
      </w:r>
    </w:p>
    <w:p>
      <w:pPr>
        <w:pStyle w:val="BodyText"/>
        <w:keepNext w:val="true"/>
        <w:rPr/>
      </w:pPr>
      <w:r>
        <w:rPr/>
      </w:r>
    </w:p>
    <w:p>
      <w:pPr>
        <w:pStyle w:val="BodyText"/>
        <w:keepNext w:val="true"/>
        <w:rPr/>
      </w:pPr>
      <w:r>
        <w:rPr>
          <w:b/>
          <w:bCs/>
        </w:rPr>
        <w:t>Q4.</w:t>
      </w:r>
      <w:r>
        <w:rPr/>
        <w:t xml:space="preserve"> What other documentation of A2CPS imaging is available?</w:t>
      </w:r>
    </w:p>
    <w:p>
      <w:pPr>
        <w:pStyle w:val="BodyText"/>
        <w:rPr/>
      </w:pPr>
      <w:r>
        <w:rPr>
          <w:b/>
          <w:bCs/>
        </w:rPr>
        <w:t xml:space="preserve">A4. </w:t>
      </w:r>
      <w:r>
        <w:rPr/>
        <w:t>The ongoing documentation of the A2CPS project has been carried out on the A2CPS Confluence website (</w:t>
      </w:r>
      <w:hyperlink r:id="rId20">
        <w:r>
          <w:rPr>
            <w:rStyle w:val="Hyperlink"/>
          </w:rPr>
          <w:t>https://a2cps.atlassian.net/</w:t>
        </w:r>
      </w:hyperlink>
      <w:r>
        <w:rPr/>
        <w:t xml:space="preserve">), with imaging related information found specifically under the Imaging space. Please contact </w:t>
      </w:r>
      <w:hyperlink r:id="rId21">
        <w:r>
          <w:rPr>
            <w:rStyle w:val="Hyperlink"/>
          </w:rPr>
          <w:t>support@a2cps.org</w:t>
        </w:r>
      </w:hyperlink>
      <w:r>
        <w:rPr/>
        <w:t xml:space="preserve"> or your site PI to get access if you do not yet have it. One particularly useful section for users of A2CPS releases is the “Starter Kits”: </w:t>
      </w:r>
      <w:hyperlink r:id="rId22">
        <w:r>
          <w:rPr>
            <w:rStyle w:val="Hyperlink"/>
          </w:rPr>
          <w:t>https://a2cps.atlassian.net/wiki/spaces/DIRC/pages/297533448/Starter+Kits+Overview</w:t>
        </w:r>
      </w:hyperlink>
      <w:r>
        <w:rPr/>
        <w:t xml:space="preserve">.  </w:t>
      </w:r>
    </w:p>
    <w:p>
      <w:pPr>
        <w:pStyle w:val="BodyText"/>
        <w:rPr>
          <w:b/>
          <w:bCs/>
        </w:rPr>
      </w:pPr>
      <w:r>
        <w:rPr>
          <w:b/>
          <w:bCs/>
        </w:rPr>
      </w:r>
    </w:p>
    <w:p>
      <w:pPr>
        <w:pStyle w:val="BodyText"/>
        <w:rPr/>
      </w:pPr>
      <w:r>
        <w:rPr>
          <w:b/>
          <w:bCs/>
        </w:rPr>
        <w:t>Q5.</w:t>
      </w:r>
      <w:r>
        <w:rPr/>
        <w:t xml:space="preserve"> How can I determine surgery type/cohort for a scan?</w:t>
      </w:r>
    </w:p>
    <w:p>
      <w:pPr>
        <w:pStyle w:val="BodyText"/>
        <w:rPr/>
      </w:pPr>
      <w:r>
        <w:rPr>
          <w:b/>
          <w:bCs/>
        </w:rPr>
        <w:t xml:space="preserve">A5. </w:t>
      </w:r>
      <w:r>
        <w:rPr/>
        <w:t>The surgery type (knee or thoracic) is encoded in the second digit of the A2CPS ID, but must be interpreted in conjunction with the site group (MCC) where the scan occurred. See the README for more details.</w:t>
      </w:r>
    </w:p>
    <w:p>
      <w:pPr>
        <w:pStyle w:val="BodyText"/>
        <w:rPr/>
      </w:pPr>
      <w:r>
        <w:rPr/>
      </w:r>
    </w:p>
    <w:p>
      <w:pPr>
        <w:pStyle w:val="BodyText"/>
        <w:keepNext w:val="true"/>
        <w:rPr/>
      </w:pPr>
      <w:r>
        <w:rPr>
          <w:b/>
          <w:bCs/>
        </w:rPr>
        <w:t>Q6.</w:t>
      </w:r>
      <w:r>
        <w:rPr/>
        <w:t xml:space="preserve"> How do I download the data?</w:t>
      </w:r>
    </w:p>
    <w:p>
      <w:pPr>
        <w:pStyle w:val="BodyText"/>
        <w:rPr/>
      </w:pPr>
      <w:r>
        <w:rPr>
          <w:b/>
          <w:bCs/>
        </w:rPr>
        <w:t xml:space="preserve">A6. </w:t>
      </w:r>
      <w:r>
        <w:rPr/>
        <w:t xml:space="preserve">Several options exist. First, there are multiple access options. </w:t>
      </w:r>
    </w:p>
    <w:p>
      <w:pPr>
        <w:pStyle w:val="BodyText"/>
        <w:numPr>
          <w:ilvl w:val="0"/>
          <w:numId w:val="9"/>
        </w:numPr>
        <w:rPr/>
      </w:pPr>
      <w:r>
        <w:rPr/>
        <w:t>Access through the Data Portal (this is the easiest to try first unless you know you prefer one of the others, but may not be suited for some large scale downloads) – see separate “How do I access the Data Portal” item</w:t>
      </w:r>
    </w:p>
    <w:p>
      <w:pPr>
        <w:pStyle w:val="BodyText"/>
        <w:numPr>
          <w:ilvl w:val="0"/>
          <w:numId w:val="9"/>
        </w:numPr>
        <w:rPr/>
      </w:pPr>
      <w:r>
        <w:rPr/>
        <w:t>Access through the secure.corral.tacc.utexas.edu server (this would allow rsync/SFTP type access, and is usually the best option for large scale downloads once you know what you want)</w:t>
      </w:r>
    </w:p>
    <w:p>
      <w:pPr>
        <w:pStyle w:val="BodyText"/>
        <w:numPr>
          <w:ilvl w:val="0"/>
          <w:numId w:val="9"/>
        </w:numPr>
        <w:rPr/>
      </w:pPr>
      <w:r>
        <w:rPr/>
        <w:t>Access via Frontera (this TACC server allows SSH access via login8.frontera.tacc.utexas.edu, and you can submit jobs via Slurm to run there, if you want to process within TACC)</w:t>
      </w:r>
    </w:p>
    <w:p>
      <w:pPr>
        <w:pStyle w:val="BodyText"/>
        <w:numPr>
          <w:ilvl w:val="0"/>
          <w:numId w:val="9"/>
        </w:numPr>
        <w:rPr/>
      </w:pPr>
      <w:r>
        <w:rPr/>
        <w:t>Access via Tapis (this would do processing on TACC, using apps controlled under the Tapis APIs; the DIRC runs processing this way, and can offer some setup help if you want this option)</w:t>
      </w:r>
    </w:p>
    <w:p>
      <w:pPr>
        <w:pStyle w:val="BodyText"/>
        <w:rPr/>
      </w:pPr>
      <w:r>
        <w:rPr/>
        <w:t>Second, there are several versions of the dataset, which are located at TACC below the /corral-secure/projects/A2CPS/products/consortium-data directory:</w:t>
      </w:r>
    </w:p>
    <w:p>
      <w:pPr>
        <w:pStyle w:val="BodyText"/>
        <w:numPr>
          <w:ilvl w:val="0"/>
          <w:numId w:val="8"/>
        </w:numPr>
        <w:rPr/>
      </w:pPr>
      <w:r>
        <w:rPr/>
        <w:t>The full dataset (pre-surgery)</w:t>
      </w:r>
    </w:p>
    <w:p>
      <w:pPr>
        <w:pStyle w:val="BodyText"/>
        <w:numPr>
          <w:ilvl w:val="0"/>
          <w:numId w:val="8"/>
        </w:numPr>
        <w:rPr/>
      </w:pPr>
      <w:r>
        <w:rPr/>
        <w:t>The MRI dataset part (mris)</w:t>
      </w:r>
    </w:p>
    <w:p>
      <w:pPr>
        <w:pStyle w:val="BodyText"/>
        <w:numPr>
          <w:ilvl w:val="0"/>
          <w:numId w:val="8"/>
        </w:numPr>
        <w:rPr/>
      </w:pPr>
      <w:r>
        <w:rPr/>
        <w:t>The BIDS dataset (mris/bids)</w:t>
      </w:r>
    </w:p>
    <w:p>
      <w:pPr>
        <w:pStyle w:val="BodyText"/>
        <w:numPr>
          <w:ilvl w:val="0"/>
          <w:numId w:val="8"/>
        </w:numPr>
        <w:rPr/>
      </w:pPr>
      <w:r>
        <w:rPr/>
        <w:t>The derivatives (mris/derivatives/[pipeline])</w:t>
      </w:r>
    </w:p>
    <w:p>
      <w:pPr>
        <w:pStyle w:val="BodyText"/>
        <w:rPr/>
      </w:pPr>
      <w:r>
        <w:rPr/>
        <w:t>For most purposes, the mris/bids dataset is likely of interest to most imaging users – this is a "curated" version of the MRI data in the rawest available form, converted to NIfTI and formatted according to the BIDS specification.</w:t>
      </w:r>
    </w:p>
    <w:p>
      <w:pPr>
        <w:pStyle w:val="BodyText"/>
        <w:rPr/>
      </w:pPr>
      <w:r>
        <w:rPr/>
        <w:t>The folder pre-surgery always contains the latest release. Older releases are available underneath the consortium-data directory. For example, release 1.0.0 is /corral-secure/projects/A2CPS/products/consortium-data/pre-surgery-release-1-0-0.</w:t>
      </w:r>
    </w:p>
    <w:p>
      <w:pPr>
        <w:pStyle w:val="BodyText"/>
        <w:rPr/>
      </w:pPr>
      <w:r>
        <w:rPr/>
        <w:t xml:space="preserve">Downloading of all contents is a significant undertaking, and so users are encouraged to (a) consider doing data processing on TACC (using Jupyter, R, and MATLAB notebooks available through the portal, or using Slurm jobs) and (b) target downloads to specific contents. </w:t>
      </w:r>
    </w:p>
    <w:p>
      <w:pPr>
        <w:pStyle w:val="BodyText"/>
        <w:rPr/>
      </w:pPr>
      <w:r>
        <w:rPr/>
      </w:r>
    </w:p>
    <w:p>
      <w:pPr>
        <w:pStyle w:val="BodyText"/>
        <w:rPr/>
      </w:pPr>
      <w:r>
        <w:rPr>
          <w:b/>
          <w:bCs/>
        </w:rPr>
        <w:t>Q7.</w:t>
      </w:r>
      <w:r>
        <w:rPr/>
        <w:t xml:space="preserve"> What are the “rawdata” and “Derivatives” folders in the imaging portion of the release? Which should I download? </w:t>
      </w:r>
    </w:p>
    <w:p>
      <w:pPr>
        <w:pStyle w:val="BodyText"/>
        <w:rPr/>
      </w:pPr>
      <w:r>
        <w:rPr>
          <w:b/>
          <w:bCs/>
        </w:rPr>
        <w:t>A7.</w:t>
      </w:r>
      <w:r>
        <w:rPr/>
        <w:t xml:space="preserve"> Both these folders have contents of potential interest and usefulness. Refer to the BIDS standard (see Key Points and the link to the BIDS standard there) for an explanation of why these particular terms are used.</w:t>
      </w:r>
    </w:p>
    <w:p>
      <w:pPr>
        <w:pStyle w:val="BodyText"/>
        <w:rPr/>
      </w:pPr>
      <w:r>
        <w:rPr/>
        <w:t xml:space="preserve">The “rawdata” is the raw DICOM data converted to NIfTI format and a layout under the BIDS standard, so is the data you'd use for any processing “from scratch”. The "Derivatives" are results derived from the raw data by various pipelines, including biomarkers and other end results you could analyze directly (e.g., cortical thickness or regional connectivity values) and also other products that would be useful as inputs for further analysis (ICA components of fMRI, various preprocessed files for fMRI, DWI, and T1w scans — such as realignments to standard spaces — and so on). </w:t>
      </w:r>
    </w:p>
    <w:p>
      <w:pPr>
        <w:pStyle w:val="BodyText"/>
        <w:rPr/>
      </w:pPr>
      <w:r>
        <w:rPr/>
        <w:t>See the Data Contents section for a list of the top level folders that exist.</w:t>
      </w:r>
    </w:p>
    <w:p>
      <w:pPr>
        <w:pStyle w:val="BodyText"/>
        <w:rPr/>
      </w:pPr>
      <w:r>
        <w:rPr/>
      </w:r>
    </w:p>
    <w:p>
      <w:pPr>
        <w:pStyle w:val="BodyText"/>
        <w:keepNext w:val="true"/>
        <w:rPr/>
      </w:pPr>
      <w:r>
        <w:rPr>
          <w:b/>
          <w:bCs/>
        </w:rPr>
        <w:t xml:space="preserve">Q8. </w:t>
      </w:r>
      <w:r>
        <w:rPr/>
        <w:t>How do I access the A2CPS Data Portal?</w:t>
      </w:r>
    </w:p>
    <w:p>
      <w:pPr>
        <w:pStyle w:val="BodyText"/>
        <w:rPr/>
      </w:pPr>
      <w:r>
        <w:rPr>
          <w:b/>
          <w:bCs/>
        </w:rPr>
        <w:t>A8.</w:t>
      </w:r>
      <w:r>
        <w:rPr/>
        <w:t xml:space="preserve"> You must first have a TACC account (see the A2CPS Confluence page </w:t>
      </w:r>
      <w:hyperlink r:id="rId23">
        <w:r>
          <w:rPr>
            <w:rStyle w:val="Hyperlink"/>
          </w:rPr>
          <w:t>https://a2cps.atlassian.net/wiki/spaces/DAS/pages/5080604/How+do+I+get+added+to+the+A2CPS+Intranet</w:t>
        </w:r>
      </w:hyperlink>
      <w:r>
        <w:rPr/>
        <w:t xml:space="preserve">). </w:t>
      </w:r>
    </w:p>
    <w:p>
      <w:pPr>
        <w:pStyle w:val="BodyText"/>
        <w:rPr/>
      </w:pPr>
      <w:r>
        <w:rPr/>
        <w:t xml:space="preserve">When this is completed, there is a one time requirement to “push keys” to enable portal access: you would log in to the portal, choose “push keys” to your “My Data” system and then to the “Community Data” system, in the process giving your MFA token when prompted on login and when pushing keys. </w:t>
      </w:r>
    </w:p>
    <w:p>
      <w:pPr>
        <w:pStyle w:val="BodyText"/>
        <w:rPr/>
      </w:pPr>
      <w:r>
        <w:rPr/>
        <w:t>The Data Portal is ideal for “browsing” the data, and also supports analysis via Jupyter, R, and MATLAB notebooks. For some limited multi-file downloads you can use the “compress” option to create an archive (see Figure 2 – the option for “Compress” appears when multiple qualifying files are selected), though this is not a viable option for more than a few items. For bulk downloads, e.g. of data for all subjects, refer to the alternatives mentioned above in an earlier FAQ item.</w:t>
      </w:r>
    </w:p>
    <w:p>
      <w:pPr>
        <w:pStyle w:val="BodyText"/>
        <w:keepNext w:val="true"/>
        <w:rPr/>
      </w:pPr>
      <w:r>
        <w:rPr/>
        <w:drawing>
          <wp:inline distT="0" distB="0" distL="0" distR="0">
            <wp:extent cx="6336665" cy="3437890"/>
            <wp:effectExtent l="0" t="0" r="0" b="0"/>
            <wp:docPr id="2" name="Picture 1" descr="A screenshot of a computer&#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10;&#10;AI-generated content may be incorrect." title=""/>
                    <pic:cNvPicPr>
                      <a:picLocks noChangeAspect="1" noChangeArrowheads="1"/>
                    </pic:cNvPicPr>
                  </pic:nvPicPr>
                  <pic:blipFill>
                    <a:blip r:embed="rId24"/>
                    <a:stretch>
                      <a:fillRect/>
                    </a:stretch>
                  </pic:blipFill>
                  <pic:spPr bwMode="auto">
                    <a:xfrm>
                      <a:off x="0" y="0"/>
                      <a:ext cx="6336665" cy="3437890"/>
                    </a:xfrm>
                    <a:prstGeom prst="rect">
                      <a:avLst/>
                    </a:prstGeom>
                    <a:noFill/>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2</w:t>
      </w:r>
      <w:r>
        <w:rPr/>
        <w:fldChar w:fldCharType="end"/>
      </w:r>
      <w:r>
        <w:rPr/>
        <w:t>: Data Portal interface showing the "Compress" option.</w:t>
      </w:r>
    </w:p>
    <w:p>
      <w:pPr>
        <w:pStyle w:val="BodyText"/>
        <w:rPr/>
      </w:pPr>
      <w:r>
        <w:rPr/>
      </w:r>
    </w:p>
    <w:p>
      <w:pPr>
        <w:pStyle w:val="BodyText"/>
        <w:rPr/>
      </w:pPr>
      <w:r>
        <w:rPr>
          <w:b/>
          <w:bCs/>
        </w:rPr>
        <w:t>Q9</w:t>
      </w:r>
      <w:r>
        <w:rPr/>
        <w:t>. I see that some images use ‘space-xxx’ to identify a “space” that that image is in, e.g. ‘space-T1w’. Is there a list of these? For example, what's the difference between ‘space-dwi’ and ‘space-dwifslstd’?</w:t>
      </w:r>
    </w:p>
    <w:p>
      <w:pPr>
        <w:pStyle w:val="BodyText"/>
        <w:rPr/>
      </w:pPr>
      <w:r>
        <w:rPr>
          <w:b/>
          <w:bCs/>
        </w:rPr>
        <w:t>A9</w:t>
      </w:r>
      <w:r>
        <w:rPr/>
        <w:t>. Here is a brief guide to a few less obvious spaces that are used:</w:t>
      </w:r>
    </w:p>
    <w:p>
      <w:pPr>
        <w:pStyle w:val="Normal"/>
        <w:numPr>
          <w:ilvl w:val="0"/>
          <w:numId w:val="15"/>
        </w:numPr>
        <w:rPr/>
      </w:pPr>
      <w:r>
        <w:rPr/>
        <w:t>space-dwi: this label used in ‘dwi_biomarker1’ is synonymous with ‘space-T1w’, indicating alignment with the subject’s T1w image, and has the same orientation (LPS) but uses the subject’s output DWI resolution (1.7mm isotropic)</w:t>
      </w:r>
    </w:p>
    <w:p>
      <w:pPr>
        <w:pStyle w:val="Normal"/>
        <w:numPr>
          <w:ilvl w:val="0"/>
          <w:numId w:val="15"/>
        </w:numPr>
        <w:rPr/>
      </w:pPr>
      <w:r>
        <w:rPr/>
        <w:t>space-dwifslstd: this is a variant of ‘space-dwi’ with reorientation to match FSL’s convention (LAS)</w:t>
      </w:r>
    </w:p>
    <w:p>
      <w:pPr>
        <w:pStyle w:val="BodyText"/>
        <w:rPr/>
      </w:pPr>
      <w:r>
        <w:rPr/>
        <w:t xml:space="preserve">See also the “Diffusion Weight Imaging Product Reference Table” at the end of this document. </w:t>
      </w:r>
    </w:p>
    <w:p>
      <w:pPr>
        <w:pStyle w:val="BodyText"/>
        <w:rPr/>
      </w:pPr>
      <w:r>
        <w:rPr/>
        <w:t xml:space="preserve">Note that these spaces are designated by each pipeline, and unfortunately in Release 2.1 are not fully harmonized, so that identically named spaces across pipelines should </w:t>
      </w:r>
      <w:r>
        <w:rPr>
          <w:i/>
          <w:iCs/>
        </w:rPr>
        <w:t>not</w:t>
      </w:r>
      <w:r>
        <w:rPr>
          <w:i w:val="false"/>
          <w:iCs w:val="false"/>
        </w:rPr>
        <w:t xml:space="preserve"> automatically be taken to be identical. We plan to address this in a future release. </w:t>
      </w:r>
    </w:p>
    <w:p>
      <w:pPr>
        <w:pStyle w:val="BodyText"/>
        <w:rPr>
          <w:i w:val="false"/>
          <w:i w:val="false"/>
          <w:iCs w:val="false"/>
        </w:rPr>
      </w:pPr>
      <w:r>
        <w:rPr>
          <w:i w:val="false"/>
          <w:iCs w:val="false"/>
        </w:rPr>
        <w:t>Several good background references exist as well, if they are needed:</w:t>
      </w:r>
    </w:p>
    <w:p>
      <w:pPr>
        <w:pStyle w:val="BodyText"/>
        <w:numPr>
          <w:ilvl w:val="0"/>
          <w:numId w:val="16"/>
        </w:numPr>
        <w:rPr>
          <w:i w:val="false"/>
          <w:i w:val="false"/>
          <w:iCs w:val="false"/>
        </w:rPr>
      </w:pPr>
      <w:r>
        <w:rPr>
          <w:i w:val="false"/>
          <w:iCs w:val="false"/>
        </w:rPr>
        <w:t xml:space="preserve">BIDS: </w:t>
      </w:r>
      <w:hyperlink r:id="rId25">
        <w:r>
          <w:rPr>
            <w:rStyle w:val="Hyperlink"/>
            <w:i w:val="false"/>
            <w:iCs w:val="false"/>
          </w:rPr>
          <w:t>https://bids-specification.readthedocs.io/en/stable/appendices/coordinate-systems.html</w:t>
        </w:r>
      </w:hyperlink>
    </w:p>
    <w:p>
      <w:pPr>
        <w:pStyle w:val="BodyText"/>
        <w:numPr>
          <w:ilvl w:val="0"/>
          <w:numId w:val="16"/>
        </w:numPr>
        <w:rPr>
          <w:i w:val="false"/>
          <w:i w:val="false"/>
          <w:iCs w:val="false"/>
        </w:rPr>
      </w:pPr>
      <w:r>
        <w:rPr>
          <w:i w:val="false"/>
          <w:iCs w:val="false"/>
        </w:rPr>
        <w:t xml:space="preserve">TemplateFlow (where fMRIPrep and QSIprep get their atlases and spaces): </w:t>
      </w:r>
      <w:hyperlink r:id="rId26">
        <w:r>
          <w:rPr>
            <w:rStyle w:val="Hyperlink"/>
            <w:i w:val="false"/>
            <w:iCs w:val="false"/>
          </w:rPr>
          <w:t>https://www.templateflow.org/browse/</w:t>
        </w:r>
      </w:hyperlink>
      <w:r>
        <w:rPr>
          <w:i w:val="false"/>
          <w:iCs w:val="false"/>
        </w:rPr>
        <w:t xml:space="preserve"> </w:t>
      </w:r>
    </w:p>
    <w:p>
      <w:pPr>
        <w:pStyle w:val="BodyText"/>
        <w:numPr>
          <w:ilvl w:val="0"/>
          <w:numId w:val="16"/>
        </w:numPr>
        <w:rPr>
          <w:i w:val="false"/>
          <w:i w:val="false"/>
          <w:iCs w:val="false"/>
        </w:rPr>
      </w:pPr>
      <w:r>
        <w:rPr>
          <w:i w:val="false"/>
          <w:iCs w:val="false"/>
        </w:rPr>
        <w:t xml:space="preserve">Some pipeline-specific documentation may be relevant as well, such as fMRIPrep’s </w:t>
      </w:r>
      <w:r>
        <w:fldChar w:fldCharType="begin"/>
      </w:r>
      <w:r>
        <w:rPr>
          <w:rStyle w:val="Hyperlink"/>
          <w:i w:val="false"/>
          <w:iCs w:val="false"/>
        </w:rPr>
        <w:instrText xml:space="preserve"> HYPERLINK "https://fmriprep.org/en/stable/spaces.html" \l "nonstandard-spaces"</w:instrText>
      </w:r>
      <w:r>
        <w:rPr>
          <w:rStyle w:val="Hyperlink"/>
          <w:i w:val="false"/>
          <w:iCs w:val="false"/>
        </w:rPr>
        <w:fldChar w:fldCharType="separate"/>
      </w:r>
      <w:r>
        <w:rPr>
          <w:rStyle w:val="Hyperlink"/>
          <w:i w:val="false"/>
          <w:iCs w:val="false"/>
        </w:rPr>
        <w:t>https://fmriprep.org/en/stable/spaces.html#nonstandard-spaces</w:t>
      </w:r>
      <w:r>
        <w:rPr>
          <w:rStyle w:val="Hyperlink"/>
          <w:i w:val="false"/>
          <w:iCs w:val="false"/>
        </w:rPr>
        <w:fldChar w:fldCharType="end"/>
      </w:r>
      <w:r>
        <w:rPr>
          <w:i w:val="false"/>
          <w:iCs w:val="false"/>
        </w:rPr>
        <w:t xml:space="preserve"> </w:t>
      </w:r>
    </w:p>
    <w:p>
      <w:pPr>
        <w:pStyle w:val="BodyText"/>
        <w:rPr/>
      </w:pPr>
      <w:r>
        <w:rPr/>
      </w:r>
    </w:p>
    <w:p>
      <w:pPr>
        <w:pStyle w:val="BodyText"/>
        <w:rPr>
          <w:b/>
          <w:bCs/>
        </w:rPr>
      </w:pPr>
      <w:r>
        <w:rPr>
          <w:b/>
          <w:bCs/>
        </w:rPr>
        <w:t>Q10</w:t>
      </w:r>
      <w:r>
        <w:rPr>
          <w:b w:val="false"/>
          <w:bCs w:val="false"/>
        </w:rPr>
        <w:t>. I see that Imaging CRF entries are available directly (/imaging) but that the same information also seems to be present in the BIDS data (/mris/rawdata). Is one of these preferable to use over the other?</w:t>
      </w:r>
    </w:p>
    <w:p>
      <w:pPr>
        <w:pStyle w:val="BodyText"/>
        <w:rPr>
          <w:b w:val="false"/>
          <w:bCs w:val="false"/>
        </w:rPr>
      </w:pPr>
      <w:r>
        <w:rPr>
          <w:b/>
          <w:bCs/>
        </w:rPr>
        <w:t>A10</w:t>
      </w:r>
      <w:r>
        <w:rPr>
          <w:b w:val="false"/>
          <w:bCs w:val="false"/>
        </w:rPr>
        <w:t>. For values they contain, the CRF entries in /imaging/raw are source data and may be valuable for any needed investigations or spot checks. However, particularly when using the imaging data, the /mris/rawdata values (found in /mris/rawdata/sub-[sub]/*session.tsv files) are generally a more convenient choice, since they have some helpful “cleanup” (e.g. bringing different naming schemes used in REDCap for the TKA and thoracic cohorts into alignment).</w:t>
      </w:r>
    </w:p>
    <w:p>
      <w:pPr>
        <w:pStyle w:val="BodyText"/>
        <w:rPr>
          <w:b w:val="false"/>
          <w:bCs w:val="false"/>
        </w:rPr>
      </w:pPr>
      <w:r>
        <w:rPr>
          <w:b w:val="false"/>
          <w:bCs w:val="false"/>
        </w:rPr>
        <w:t>Note that the /imaging/reformatted contents are derived separately from /mris/rawdata. Data in /imaging/reformatted has been processed analogously to other CRFs and will not duplicate the results in the BIDS copy.</w:t>
      </w:r>
    </w:p>
    <w:p>
      <w:pPr>
        <w:pStyle w:val="BodyText"/>
        <w:rPr>
          <w:b w:val="false"/>
          <w:bCs w:val="false"/>
        </w:rPr>
      </w:pPr>
      <w:r>
        <w:rPr>
          <w:b w:val="false"/>
          <w:bCs w:val="false"/>
        </w:rPr>
      </w:r>
    </w:p>
    <w:p>
      <w:pPr>
        <w:pStyle w:val="BodyText"/>
        <w:rPr/>
      </w:pPr>
      <w:r>
        <w:rPr>
          <w:b/>
          <w:bCs/>
        </w:rPr>
        <w:t>Q11.</w:t>
      </w:r>
      <w:r>
        <w:rPr/>
        <w:t xml:space="preserve"> I have questions about the dataset, or feedback (e.g. identified issues or requests for specific outputs). Is there a contact address?</w:t>
      </w:r>
    </w:p>
    <w:p>
      <w:pPr>
        <w:sectPr>
          <w:headerReference w:type="even" r:id="rId28"/>
          <w:headerReference w:type="default" r:id="rId29"/>
          <w:headerReference w:type="first" r:id="rId30"/>
          <w:footnotePr>
            <w:numFmt w:val="decimal"/>
          </w:footnotePr>
          <w:type w:val="nextPage"/>
          <w:pgSz w:w="12240" w:h="15840"/>
          <w:pgMar w:left="1134" w:right="1134" w:gutter="0" w:header="0" w:top="1134" w:footer="0" w:bottom="1134"/>
          <w:pgNumType w:fmt="decimal"/>
          <w:formProt w:val="false"/>
          <w:textDirection w:val="lrTb"/>
          <w:docGrid w:type="default" w:linePitch="100" w:charSpace="0"/>
        </w:sectPr>
        <w:pStyle w:val="BodyText"/>
        <w:rPr/>
      </w:pPr>
      <w:r>
        <w:rPr>
          <w:b/>
          <w:bCs/>
        </w:rPr>
        <w:t xml:space="preserve">A11. </w:t>
      </w:r>
      <w:r>
        <w:rPr/>
        <w:t xml:space="preserve">All questions and feedback can be sent to the A2CPS DIRC imaging group, </w:t>
      </w:r>
      <w:hyperlink r:id="rId27">
        <w:r>
          <w:rPr>
            <w:rStyle w:val="Hyperlink"/>
          </w:rPr>
          <w:t>a2cps-dirc-report-imaging@a2cps.org</w:t>
        </w:r>
      </w:hyperlink>
      <w:r>
        <w:rPr/>
        <w:t xml:space="preserve"> or to the #help-imaging channel in the A2CPS Slack workspace.</w:t>
      </w:r>
    </w:p>
    <w:p>
      <w:pPr>
        <w:pStyle w:val="BodyText"/>
        <w:spacing w:before="0" w:after="140"/>
        <w:rPr/>
      </w:pPr>
      <w:r>
        <w:rPr>
          <w:rStyle w:val="Emphasis"/>
          <w:sz w:val="20"/>
          <w:szCs w:val="20"/>
        </w:rPr>
        <w:t>Siemens</w:t>
      </w:r>
      <w:r>
        <w:rPr>
          <w:rStyle w:val="Strong"/>
          <w:sz w:val="20"/>
          <w:szCs w:val="20"/>
        </w:rPr>
        <w:t xml:space="preserve"> </w:t>
      </w:r>
    </w:p>
    <w:p>
      <w:pPr>
        <w:pStyle w:val="BodyText"/>
        <w:rPr>
          <w:sz w:val="20"/>
          <w:szCs w:val="20"/>
        </w:rPr>
      </w:pPr>
      <w:r>
        <w:rPr>
          <w:sz w:val="20"/>
          <w:szCs w:val="20"/>
        </w:rPr>
        <w:t>Reference site: MCC1/Northshore, Alternate: MCC2/Wayne State</w:t>
      </w:r>
    </w:p>
    <w:tbl>
      <w:tblPr>
        <w:tblW w:w="10950" w:type="dxa"/>
        <w:jc w:val="start"/>
        <w:tblInd w:w="115" w:type="dxa"/>
        <w:tblLayout w:type="fixed"/>
        <w:tblCellMar>
          <w:top w:w="55" w:type="dxa"/>
          <w:start w:w="55" w:type="dxa"/>
          <w:bottom w:w="55" w:type="dxa"/>
          <w:end w:w="55" w:type="dxa"/>
        </w:tblCellMar>
        <w:tblLook w:firstRow="1" w:noVBand="1" w:lastRow="0" w:firstColumn="1" w:lastColumn="0" w:noHBand="0" w:val="04a0"/>
      </w:tblPr>
      <w:tblGrid>
        <w:gridCol w:w="674"/>
        <w:gridCol w:w="577"/>
        <w:gridCol w:w="483"/>
        <w:gridCol w:w="567"/>
        <w:gridCol w:w="908"/>
        <w:gridCol w:w="1038"/>
        <w:gridCol w:w="576"/>
        <w:gridCol w:w="569"/>
        <w:gridCol w:w="538"/>
        <w:gridCol w:w="1003"/>
        <w:gridCol w:w="1037"/>
        <w:gridCol w:w="1445"/>
        <w:gridCol w:w="1534"/>
      </w:tblGrid>
      <w:tr>
        <w:trPr/>
        <w:tc>
          <w:tcPr>
            <w:tcW w:w="674" w:type="dxa"/>
            <w:tcBorders>
              <w:top w:val="single" w:sz="4" w:space="0" w:color="000000"/>
              <w:start w:val="single" w:sz="4" w:space="0" w:color="000000"/>
              <w:bottom w:val="single" w:sz="4" w:space="0" w:color="000000"/>
            </w:tcBorders>
            <w:vAlign w:val="center"/>
          </w:tcPr>
          <w:p>
            <w:pPr>
              <w:pStyle w:val="TableContents"/>
              <w:rPr/>
            </w:pPr>
            <w:r>
              <w:rPr/>
            </w:r>
          </w:p>
        </w:tc>
        <w:tc>
          <w:tcPr>
            <w:tcW w:w="577" w:type="dxa"/>
            <w:tcBorders>
              <w:top w:val="single" w:sz="4" w:space="0" w:color="000000"/>
              <w:start w:val="single" w:sz="4" w:space="0" w:color="000000"/>
              <w:bottom w:val="single" w:sz="4" w:space="0" w:color="000000"/>
            </w:tcBorders>
            <w:vAlign w:val="center"/>
          </w:tcPr>
          <w:p>
            <w:pPr>
              <w:pStyle w:val="TableContents"/>
              <w:rPr/>
            </w:pPr>
            <w:r>
              <w:rPr>
                <w:rStyle w:val="Strong"/>
              </w:rPr>
              <w:t>Matrix</w:t>
            </w:r>
          </w:p>
        </w:tc>
        <w:tc>
          <w:tcPr>
            <w:tcW w:w="483" w:type="dxa"/>
            <w:tcBorders>
              <w:top w:val="single" w:sz="4" w:space="0" w:color="000000"/>
              <w:start w:val="single" w:sz="4" w:space="0" w:color="000000"/>
              <w:bottom w:val="single" w:sz="4" w:space="0" w:color="000000"/>
            </w:tcBorders>
            <w:vAlign w:val="center"/>
          </w:tcPr>
          <w:p>
            <w:pPr>
              <w:pStyle w:val="TableContents"/>
              <w:rPr/>
            </w:pPr>
            <w:r>
              <w:rPr>
                <w:rStyle w:val="Strong"/>
              </w:rPr>
              <w:t>Slices</w:t>
            </w:r>
          </w:p>
        </w:tc>
        <w:tc>
          <w:tcPr>
            <w:tcW w:w="567" w:type="dxa"/>
            <w:tcBorders>
              <w:top w:val="single" w:sz="4" w:space="0" w:color="000000"/>
              <w:start w:val="single" w:sz="4" w:space="0" w:color="000000"/>
              <w:bottom w:val="single" w:sz="4" w:space="0" w:color="000000"/>
            </w:tcBorders>
            <w:vAlign w:val="center"/>
          </w:tcPr>
          <w:p>
            <w:pPr>
              <w:pStyle w:val="TableContents"/>
              <w:rPr/>
            </w:pPr>
            <w:r>
              <w:rPr>
                <w:rStyle w:val="Strong"/>
              </w:rPr>
              <w:t>FOV</w:t>
            </w:r>
          </w:p>
        </w:tc>
        <w:tc>
          <w:tcPr>
            <w:tcW w:w="908" w:type="dxa"/>
            <w:tcBorders>
              <w:top w:val="single" w:sz="4" w:space="0" w:color="000000"/>
              <w:start w:val="single" w:sz="4" w:space="0" w:color="000000"/>
              <w:bottom w:val="single" w:sz="4" w:space="0" w:color="000000"/>
            </w:tcBorders>
            <w:vAlign w:val="center"/>
          </w:tcPr>
          <w:p>
            <w:pPr>
              <w:pStyle w:val="TableContents"/>
              <w:rPr/>
            </w:pPr>
            <w:r>
              <w:rPr>
                <w:rStyle w:val="Strong"/>
              </w:rPr>
              <w:t>% FOV phase</w:t>
            </w:r>
          </w:p>
        </w:tc>
        <w:tc>
          <w:tcPr>
            <w:tcW w:w="1038" w:type="dxa"/>
            <w:tcBorders>
              <w:top w:val="single" w:sz="4" w:space="0" w:color="000000"/>
              <w:start w:val="single" w:sz="4" w:space="0" w:color="000000"/>
              <w:bottom w:val="single" w:sz="4" w:space="0" w:color="000000"/>
            </w:tcBorders>
            <w:vAlign w:val="center"/>
          </w:tcPr>
          <w:p>
            <w:pPr>
              <w:pStyle w:val="TableContents"/>
              <w:rPr/>
            </w:pPr>
            <w:r>
              <w:rPr>
                <w:rStyle w:val="Strong"/>
              </w:rPr>
              <w:t>Resolution (mm)</w:t>
            </w:r>
          </w:p>
        </w:tc>
        <w:tc>
          <w:tcPr>
            <w:tcW w:w="576" w:type="dxa"/>
            <w:tcBorders>
              <w:top w:val="single" w:sz="4" w:space="0" w:color="000000"/>
              <w:start w:val="single" w:sz="4" w:space="0" w:color="000000"/>
              <w:bottom w:val="single" w:sz="4" w:space="0" w:color="000000"/>
            </w:tcBorders>
            <w:vAlign w:val="center"/>
          </w:tcPr>
          <w:p>
            <w:pPr>
              <w:pStyle w:val="TableContents"/>
              <w:rPr/>
            </w:pPr>
            <w:r>
              <w:rPr>
                <w:rStyle w:val="Strong"/>
              </w:rPr>
              <w:t>TR (ms)</w:t>
            </w:r>
          </w:p>
        </w:tc>
        <w:tc>
          <w:tcPr>
            <w:tcW w:w="569" w:type="dxa"/>
            <w:tcBorders>
              <w:top w:val="single" w:sz="4" w:space="0" w:color="000000"/>
              <w:start w:val="single" w:sz="4" w:space="0" w:color="000000"/>
              <w:bottom w:val="single" w:sz="4" w:space="0" w:color="000000"/>
            </w:tcBorders>
            <w:vAlign w:val="center"/>
          </w:tcPr>
          <w:p>
            <w:pPr>
              <w:pStyle w:val="TableContents"/>
              <w:rPr/>
            </w:pPr>
            <w:r>
              <w:rPr>
                <w:rStyle w:val="Strong"/>
              </w:rPr>
              <w:t>TE (ms)</w:t>
            </w:r>
          </w:p>
        </w:tc>
        <w:tc>
          <w:tcPr>
            <w:tcW w:w="538" w:type="dxa"/>
            <w:tcBorders>
              <w:top w:val="single" w:sz="4" w:space="0" w:color="000000"/>
              <w:start w:val="single" w:sz="4" w:space="0" w:color="000000"/>
              <w:bottom w:val="single" w:sz="4" w:space="0" w:color="000000"/>
            </w:tcBorders>
            <w:vAlign w:val="center"/>
          </w:tcPr>
          <w:p>
            <w:pPr>
              <w:pStyle w:val="TableContents"/>
              <w:rPr/>
            </w:pPr>
            <w:r>
              <w:rPr>
                <w:rStyle w:val="Strong"/>
              </w:rPr>
              <w:t>TI (ms)</w:t>
            </w:r>
          </w:p>
        </w:tc>
        <w:tc>
          <w:tcPr>
            <w:tcW w:w="1003" w:type="dxa"/>
            <w:tcBorders>
              <w:top w:val="single" w:sz="4" w:space="0" w:color="000000"/>
              <w:start w:val="single" w:sz="4" w:space="0" w:color="000000"/>
              <w:bottom w:val="single" w:sz="4" w:space="0" w:color="000000"/>
            </w:tcBorders>
            <w:vAlign w:val="center"/>
          </w:tcPr>
          <w:p>
            <w:pPr>
              <w:pStyle w:val="TableContents"/>
              <w:rPr/>
            </w:pPr>
            <w:r>
              <w:rPr>
                <w:rStyle w:val="Strong"/>
              </w:rPr>
              <w:t>Flip Angle (deg)</w:t>
            </w:r>
          </w:p>
        </w:tc>
        <w:tc>
          <w:tcPr>
            <w:tcW w:w="1037" w:type="dxa"/>
            <w:tcBorders>
              <w:top w:val="single" w:sz="4" w:space="0" w:color="000000"/>
              <w:start w:val="single" w:sz="4" w:space="0" w:color="000000"/>
              <w:bottom w:val="single" w:sz="4" w:space="0" w:color="000000"/>
            </w:tcBorders>
            <w:vAlign w:val="center"/>
          </w:tcPr>
          <w:p>
            <w:pPr>
              <w:pStyle w:val="TableContents"/>
              <w:rPr/>
            </w:pPr>
            <w:r>
              <w:rPr>
                <w:rStyle w:val="Strong"/>
              </w:rPr>
              <w:t>Parallel Imaging</w:t>
            </w:r>
          </w:p>
        </w:tc>
        <w:tc>
          <w:tcPr>
            <w:tcW w:w="1445" w:type="dxa"/>
            <w:tcBorders>
              <w:top w:val="single" w:sz="4" w:space="0" w:color="000000"/>
              <w:start w:val="single" w:sz="4" w:space="0" w:color="000000"/>
              <w:bottom w:val="single" w:sz="4" w:space="0" w:color="000000"/>
            </w:tcBorders>
            <w:vAlign w:val="center"/>
          </w:tcPr>
          <w:p>
            <w:pPr>
              <w:pStyle w:val="TableContents"/>
              <w:rPr/>
            </w:pPr>
            <w:r>
              <w:rPr>
                <w:rStyle w:val="Strong"/>
              </w:rPr>
              <w:t>MultiBand Acceleration</w:t>
            </w:r>
          </w:p>
        </w:tc>
        <w:tc>
          <w:tcPr>
            <w:tcW w:w="1534"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Phase partial Fourier</w:t>
            </w:r>
          </w:p>
        </w:tc>
      </w:tr>
      <w:tr>
        <w:trPr/>
        <w:tc>
          <w:tcPr>
            <w:tcW w:w="674" w:type="dxa"/>
            <w:tcBorders>
              <w:start w:val="single" w:sz="4" w:space="0" w:color="000000"/>
              <w:bottom w:val="single" w:sz="4" w:space="0" w:color="000000"/>
            </w:tcBorders>
            <w:vAlign w:val="center"/>
          </w:tcPr>
          <w:p>
            <w:pPr>
              <w:pStyle w:val="TableContents"/>
              <w:rPr/>
            </w:pPr>
            <w:r>
              <w:rPr>
                <w:rStyle w:val="Strong"/>
              </w:rPr>
              <w:t>T1</w:t>
            </w:r>
          </w:p>
        </w:tc>
        <w:tc>
          <w:tcPr>
            <w:tcW w:w="577" w:type="dxa"/>
            <w:tcBorders>
              <w:start w:val="single" w:sz="4" w:space="0" w:color="000000"/>
              <w:bottom w:val="single" w:sz="4" w:space="0" w:color="000000"/>
            </w:tcBorders>
            <w:vAlign w:val="center"/>
          </w:tcPr>
          <w:p>
            <w:pPr>
              <w:pStyle w:val="TableContents"/>
              <w:rPr/>
            </w:pPr>
            <w:r>
              <w:rPr/>
              <w:t>256x256</w:t>
            </w:r>
          </w:p>
        </w:tc>
        <w:tc>
          <w:tcPr>
            <w:tcW w:w="483" w:type="dxa"/>
            <w:tcBorders>
              <w:start w:val="single" w:sz="4" w:space="0" w:color="000000"/>
              <w:bottom w:val="single" w:sz="4" w:space="0" w:color="000000"/>
            </w:tcBorders>
            <w:vAlign w:val="center"/>
          </w:tcPr>
          <w:p>
            <w:pPr>
              <w:pStyle w:val="TableContents"/>
              <w:rPr/>
            </w:pPr>
            <w:r>
              <w:rPr/>
              <w:t>176</w:t>
            </w:r>
          </w:p>
        </w:tc>
        <w:tc>
          <w:tcPr>
            <w:tcW w:w="567" w:type="dxa"/>
            <w:tcBorders>
              <w:start w:val="single" w:sz="4" w:space="0" w:color="000000"/>
              <w:bottom w:val="single" w:sz="4" w:space="0" w:color="000000"/>
            </w:tcBorders>
            <w:vAlign w:val="center"/>
          </w:tcPr>
          <w:p>
            <w:pPr>
              <w:pStyle w:val="TableContents"/>
              <w:rPr/>
            </w:pPr>
            <w:r>
              <w:rPr/>
              <w:t>256x256</w:t>
            </w:r>
          </w:p>
        </w:tc>
        <w:tc>
          <w:tcPr>
            <w:tcW w:w="908" w:type="dxa"/>
            <w:tcBorders>
              <w:start w:val="single" w:sz="4" w:space="0" w:color="000000"/>
              <w:bottom w:val="single" w:sz="4" w:space="0" w:color="000000"/>
            </w:tcBorders>
            <w:vAlign w:val="center"/>
          </w:tcPr>
          <w:p>
            <w:pPr>
              <w:pStyle w:val="TableContents"/>
              <w:rPr/>
            </w:pPr>
            <w:r>
              <w:rPr/>
              <w:t>100%</w:t>
            </w:r>
          </w:p>
        </w:tc>
        <w:tc>
          <w:tcPr>
            <w:tcW w:w="1038" w:type="dxa"/>
            <w:tcBorders>
              <w:start w:val="single" w:sz="4" w:space="0" w:color="000000"/>
              <w:bottom w:val="single" w:sz="4" w:space="0" w:color="000000"/>
            </w:tcBorders>
            <w:vAlign w:val="center"/>
          </w:tcPr>
          <w:p>
            <w:pPr>
              <w:pStyle w:val="TableContents"/>
              <w:rPr/>
            </w:pPr>
            <w:r>
              <w:rPr/>
              <w:t>1.0x1.0x1.0</w:t>
            </w:r>
          </w:p>
        </w:tc>
        <w:tc>
          <w:tcPr>
            <w:tcW w:w="576" w:type="dxa"/>
            <w:tcBorders>
              <w:start w:val="single" w:sz="4" w:space="0" w:color="000000"/>
              <w:bottom w:val="single" w:sz="4" w:space="0" w:color="000000"/>
            </w:tcBorders>
            <w:vAlign w:val="center"/>
          </w:tcPr>
          <w:p>
            <w:pPr>
              <w:pStyle w:val="TableContents"/>
              <w:rPr/>
            </w:pPr>
            <w:r>
              <w:rPr/>
              <w:t>2500</w:t>
            </w:r>
          </w:p>
        </w:tc>
        <w:tc>
          <w:tcPr>
            <w:tcW w:w="569" w:type="dxa"/>
            <w:tcBorders>
              <w:start w:val="single" w:sz="4" w:space="0" w:color="000000"/>
              <w:bottom w:val="single" w:sz="4" w:space="0" w:color="000000"/>
            </w:tcBorders>
            <w:vAlign w:val="center"/>
          </w:tcPr>
          <w:p>
            <w:pPr>
              <w:pStyle w:val="TableContents"/>
              <w:rPr/>
            </w:pPr>
            <w:r>
              <w:rPr/>
              <w:t>2.84</w:t>
            </w:r>
          </w:p>
        </w:tc>
        <w:tc>
          <w:tcPr>
            <w:tcW w:w="538" w:type="dxa"/>
            <w:tcBorders>
              <w:start w:val="single" w:sz="4" w:space="0" w:color="000000"/>
              <w:bottom w:val="single" w:sz="4" w:space="0" w:color="000000"/>
            </w:tcBorders>
            <w:vAlign w:val="center"/>
          </w:tcPr>
          <w:p>
            <w:pPr>
              <w:pStyle w:val="TableContents"/>
              <w:rPr/>
            </w:pPr>
            <w:r>
              <w:rPr/>
              <w:t>1060</w:t>
            </w:r>
          </w:p>
        </w:tc>
        <w:tc>
          <w:tcPr>
            <w:tcW w:w="1003" w:type="dxa"/>
            <w:tcBorders>
              <w:start w:val="single" w:sz="4" w:space="0" w:color="000000"/>
              <w:bottom w:val="single" w:sz="4" w:space="0" w:color="000000"/>
            </w:tcBorders>
            <w:vAlign w:val="center"/>
          </w:tcPr>
          <w:p>
            <w:pPr>
              <w:pStyle w:val="TableContents"/>
              <w:rPr/>
            </w:pPr>
            <w:r>
              <w:rPr/>
              <w:t>8</w:t>
            </w:r>
          </w:p>
        </w:tc>
        <w:tc>
          <w:tcPr>
            <w:tcW w:w="1037" w:type="dxa"/>
            <w:tcBorders>
              <w:start w:val="single" w:sz="4" w:space="0" w:color="000000"/>
              <w:bottom w:val="single" w:sz="4" w:space="0" w:color="000000"/>
            </w:tcBorders>
            <w:vAlign w:val="center"/>
          </w:tcPr>
          <w:p>
            <w:pPr>
              <w:pStyle w:val="TableContents"/>
              <w:rPr/>
            </w:pPr>
            <w:r>
              <w:rPr/>
              <w:t>2x</w:t>
            </w:r>
          </w:p>
        </w:tc>
        <w:tc>
          <w:tcPr>
            <w:tcW w:w="1445" w:type="dxa"/>
            <w:tcBorders>
              <w:start w:val="single" w:sz="4" w:space="0" w:color="000000"/>
              <w:bottom w:val="single" w:sz="4" w:space="0" w:color="000000"/>
            </w:tcBorders>
            <w:vAlign w:val="center"/>
          </w:tcPr>
          <w:p>
            <w:pPr>
              <w:pStyle w:val="TableContents"/>
              <w:rPr/>
            </w:pPr>
            <w:r>
              <w:rPr/>
              <w:t>Off</w:t>
            </w:r>
          </w:p>
        </w:tc>
        <w:tc>
          <w:tcPr>
            <w:tcW w:w="1534" w:type="dxa"/>
            <w:tcBorders>
              <w:start w:val="single" w:sz="4" w:space="0" w:color="000000"/>
              <w:bottom w:val="single" w:sz="4" w:space="0" w:color="000000"/>
              <w:end w:val="single" w:sz="4" w:space="0" w:color="000000"/>
            </w:tcBorders>
            <w:vAlign w:val="center"/>
          </w:tcPr>
          <w:p>
            <w:pPr>
              <w:pStyle w:val="TableContents"/>
              <w:rPr/>
            </w:pPr>
            <w:r>
              <w:rPr/>
              <w:t>Off</w:t>
            </w:r>
          </w:p>
        </w:tc>
      </w:tr>
      <w:tr>
        <w:trPr/>
        <w:tc>
          <w:tcPr>
            <w:tcW w:w="674" w:type="dxa"/>
            <w:tcBorders>
              <w:start w:val="single" w:sz="4" w:space="0" w:color="000000"/>
              <w:bottom w:val="single" w:sz="4" w:space="0" w:color="000000"/>
            </w:tcBorders>
            <w:vAlign w:val="center"/>
          </w:tcPr>
          <w:p>
            <w:pPr>
              <w:pStyle w:val="TableContents"/>
              <w:rPr/>
            </w:pPr>
            <w:r>
              <w:rPr>
                <w:rStyle w:val="Strong"/>
              </w:rPr>
              <w:t>Diffusion</w:t>
            </w:r>
          </w:p>
        </w:tc>
        <w:tc>
          <w:tcPr>
            <w:tcW w:w="577" w:type="dxa"/>
            <w:tcBorders>
              <w:start w:val="single" w:sz="4" w:space="0" w:color="000000"/>
              <w:bottom w:val="single" w:sz="4" w:space="0" w:color="000000"/>
            </w:tcBorders>
            <w:vAlign w:val="center"/>
          </w:tcPr>
          <w:p>
            <w:pPr>
              <w:pStyle w:val="TableContents"/>
              <w:rPr/>
            </w:pPr>
            <w:r>
              <w:rPr/>
              <w:t>140x140</w:t>
            </w:r>
          </w:p>
        </w:tc>
        <w:tc>
          <w:tcPr>
            <w:tcW w:w="483" w:type="dxa"/>
            <w:tcBorders>
              <w:start w:val="single" w:sz="4" w:space="0" w:color="000000"/>
              <w:bottom w:val="single" w:sz="4" w:space="0" w:color="000000"/>
            </w:tcBorders>
            <w:vAlign w:val="center"/>
          </w:tcPr>
          <w:p>
            <w:pPr>
              <w:pStyle w:val="TableContents"/>
              <w:rPr/>
            </w:pPr>
            <w:r>
              <w:rPr/>
              <w:t>81</w:t>
            </w:r>
          </w:p>
        </w:tc>
        <w:tc>
          <w:tcPr>
            <w:tcW w:w="567" w:type="dxa"/>
            <w:tcBorders>
              <w:start w:val="single" w:sz="4" w:space="0" w:color="000000"/>
              <w:bottom w:val="single" w:sz="4" w:space="0" w:color="000000"/>
            </w:tcBorders>
            <w:vAlign w:val="center"/>
          </w:tcPr>
          <w:p>
            <w:pPr>
              <w:pStyle w:val="TableContents"/>
              <w:rPr/>
            </w:pPr>
            <w:r>
              <w:rPr/>
              <w:t>240x240</w:t>
            </w:r>
          </w:p>
        </w:tc>
        <w:tc>
          <w:tcPr>
            <w:tcW w:w="908" w:type="dxa"/>
            <w:tcBorders>
              <w:start w:val="single" w:sz="4" w:space="0" w:color="000000"/>
              <w:bottom w:val="single" w:sz="4" w:space="0" w:color="000000"/>
            </w:tcBorders>
            <w:vAlign w:val="center"/>
          </w:tcPr>
          <w:p>
            <w:pPr>
              <w:pStyle w:val="TableContents"/>
              <w:rPr/>
            </w:pPr>
            <w:r>
              <w:rPr/>
              <w:t>100%</w:t>
            </w:r>
          </w:p>
        </w:tc>
        <w:tc>
          <w:tcPr>
            <w:tcW w:w="1038" w:type="dxa"/>
            <w:tcBorders>
              <w:start w:val="single" w:sz="4" w:space="0" w:color="000000"/>
              <w:bottom w:val="single" w:sz="4" w:space="0" w:color="000000"/>
            </w:tcBorders>
            <w:vAlign w:val="center"/>
          </w:tcPr>
          <w:p>
            <w:pPr>
              <w:pStyle w:val="TableContents"/>
              <w:rPr/>
            </w:pPr>
            <w:r>
              <w:rPr/>
              <w:t>1.7x1.7x1.7</w:t>
            </w:r>
          </w:p>
        </w:tc>
        <w:tc>
          <w:tcPr>
            <w:tcW w:w="576" w:type="dxa"/>
            <w:tcBorders>
              <w:start w:val="single" w:sz="4" w:space="0" w:color="000000"/>
              <w:bottom w:val="single" w:sz="4" w:space="0" w:color="000000"/>
            </w:tcBorders>
            <w:vAlign w:val="center"/>
          </w:tcPr>
          <w:p>
            <w:pPr>
              <w:pStyle w:val="TableContents"/>
              <w:rPr/>
            </w:pPr>
            <w:r>
              <w:rPr/>
              <w:t>8000/5500</w:t>
            </w:r>
          </w:p>
        </w:tc>
        <w:tc>
          <w:tcPr>
            <w:tcW w:w="569" w:type="dxa"/>
            <w:tcBorders>
              <w:start w:val="single" w:sz="4" w:space="0" w:color="000000"/>
              <w:bottom w:val="single" w:sz="4" w:space="0" w:color="000000"/>
            </w:tcBorders>
            <w:vAlign w:val="center"/>
          </w:tcPr>
          <w:p>
            <w:pPr>
              <w:pStyle w:val="TableContents"/>
              <w:rPr/>
            </w:pPr>
            <w:r>
              <w:rPr/>
              <w:t>105/112</w:t>
            </w:r>
          </w:p>
        </w:tc>
        <w:tc>
          <w:tcPr>
            <w:tcW w:w="538" w:type="dxa"/>
            <w:tcBorders>
              <w:start w:val="single" w:sz="4" w:space="0" w:color="000000"/>
              <w:bottom w:val="single" w:sz="4" w:space="0" w:color="000000"/>
            </w:tcBorders>
            <w:vAlign w:val="center"/>
          </w:tcPr>
          <w:p>
            <w:pPr>
              <w:pStyle w:val="TableContents"/>
              <w:rPr/>
            </w:pPr>
            <w:r>
              <w:rPr/>
              <w:t>N/A</w:t>
            </w:r>
          </w:p>
        </w:tc>
        <w:tc>
          <w:tcPr>
            <w:tcW w:w="1003" w:type="dxa"/>
            <w:tcBorders>
              <w:start w:val="single" w:sz="4" w:space="0" w:color="000000"/>
              <w:bottom w:val="single" w:sz="4" w:space="0" w:color="000000"/>
            </w:tcBorders>
            <w:vAlign w:val="center"/>
          </w:tcPr>
          <w:p>
            <w:pPr>
              <w:pStyle w:val="TableContents"/>
              <w:rPr/>
            </w:pPr>
            <w:r>
              <w:rPr/>
              <w:t>90</w:t>
            </w:r>
          </w:p>
        </w:tc>
        <w:tc>
          <w:tcPr>
            <w:tcW w:w="1037" w:type="dxa"/>
            <w:tcBorders>
              <w:start w:val="single" w:sz="4" w:space="0" w:color="000000"/>
              <w:bottom w:val="single" w:sz="4" w:space="0" w:color="000000"/>
            </w:tcBorders>
            <w:vAlign w:val="center"/>
          </w:tcPr>
          <w:p>
            <w:pPr>
              <w:pStyle w:val="TableContents"/>
              <w:rPr/>
            </w:pPr>
            <w:r>
              <w:rPr/>
              <w:t>Off</w:t>
            </w:r>
          </w:p>
        </w:tc>
        <w:tc>
          <w:tcPr>
            <w:tcW w:w="1445" w:type="dxa"/>
            <w:tcBorders>
              <w:start w:val="single" w:sz="4" w:space="0" w:color="000000"/>
              <w:bottom w:val="single" w:sz="4" w:space="0" w:color="000000"/>
            </w:tcBorders>
            <w:vAlign w:val="center"/>
          </w:tcPr>
          <w:p>
            <w:pPr>
              <w:pStyle w:val="TableContents"/>
              <w:rPr/>
            </w:pPr>
            <w:r>
              <w:rPr/>
              <w:t>3</w:t>
            </w:r>
          </w:p>
        </w:tc>
        <w:tc>
          <w:tcPr>
            <w:tcW w:w="1534" w:type="dxa"/>
            <w:tcBorders>
              <w:start w:val="single" w:sz="4" w:space="0" w:color="000000"/>
              <w:bottom w:val="single" w:sz="4" w:space="0" w:color="000000"/>
              <w:end w:val="single" w:sz="4" w:space="0" w:color="000000"/>
            </w:tcBorders>
            <w:vAlign w:val="center"/>
          </w:tcPr>
          <w:p>
            <w:pPr>
              <w:pStyle w:val="TableContents"/>
              <w:rPr/>
            </w:pPr>
            <w:r>
              <w:rPr/>
              <w:t>6/8 (both)</w:t>
            </w:r>
          </w:p>
        </w:tc>
      </w:tr>
      <w:tr>
        <w:trPr/>
        <w:tc>
          <w:tcPr>
            <w:tcW w:w="674" w:type="dxa"/>
            <w:tcBorders>
              <w:start w:val="single" w:sz="4" w:space="0" w:color="000000"/>
              <w:bottom w:val="single" w:sz="4" w:space="0" w:color="000000"/>
            </w:tcBorders>
            <w:vAlign w:val="center"/>
          </w:tcPr>
          <w:p>
            <w:pPr>
              <w:pStyle w:val="TableContents"/>
              <w:rPr/>
            </w:pPr>
            <w:r>
              <w:rPr>
                <w:rStyle w:val="Strong"/>
              </w:rPr>
              <w:t>fMRI</w:t>
            </w:r>
          </w:p>
        </w:tc>
        <w:tc>
          <w:tcPr>
            <w:tcW w:w="577" w:type="dxa"/>
            <w:tcBorders>
              <w:start w:val="single" w:sz="4" w:space="0" w:color="000000"/>
              <w:bottom w:val="single" w:sz="4" w:space="0" w:color="000000"/>
            </w:tcBorders>
            <w:vAlign w:val="center"/>
          </w:tcPr>
          <w:p>
            <w:pPr>
              <w:pStyle w:val="TableContents"/>
              <w:rPr/>
            </w:pPr>
            <w:r>
              <w:rPr/>
              <w:t>90x90</w:t>
            </w:r>
          </w:p>
        </w:tc>
        <w:tc>
          <w:tcPr>
            <w:tcW w:w="483" w:type="dxa"/>
            <w:tcBorders>
              <w:start w:val="single" w:sz="4" w:space="0" w:color="000000"/>
              <w:bottom w:val="single" w:sz="4" w:space="0" w:color="000000"/>
            </w:tcBorders>
            <w:vAlign w:val="center"/>
          </w:tcPr>
          <w:p>
            <w:pPr>
              <w:pStyle w:val="TableContents"/>
              <w:rPr/>
            </w:pPr>
            <w:r>
              <w:rPr/>
              <w:t>54/60</w:t>
            </w:r>
          </w:p>
        </w:tc>
        <w:tc>
          <w:tcPr>
            <w:tcW w:w="567" w:type="dxa"/>
            <w:tcBorders>
              <w:start w:val="single" w:sz="4" w:space="0" w:color="000000"/>
              <w:bottom w:val="single" w:sz="4" w:space="0" w:color="000000"/>
            </w:tcBorders>
            <w:vAlign w:val="center"/>
          </w:tcPr>
          <w:p>
            <w:pPr>
              <w:pStyle w:val="TableContents"/>
              <w:rPr/>
            </w:pPr>
            <w:r>
              <w:rPr/>
              <w:t>216x216</w:t>
            </w:r>
          </w:p>
        </w:tc>
        <w:tc>
          <w:tcPr>
            <w:tcW w:w="908" w:type="dxa"/>
            <w:tcBorders>
              <w:start w:val="single" w:sz="4" w:space="0" w:color="000000"/>
              <w:bottom w:val="single" w:sz="4" w:space="0" w:color="000000"/>
            </w:tcBorders>
            <w:vAlign w:val="center"/>
          </w:tcPr>
          <w:p>
            <w:pPr>
              <w:pStyle w:val="TableContents"/>
              <w:rPr/>
            </w:pPr>
            <w:r>
              <w:rPr/>
              <w:t>100%</w:t>
            </w:r>
          </w:p>
        </w:tc>
        <w:tc>
          <w:tcPr>
            <w:tcW w:w="1038" w:type="dxa"/>
            <w:tcBorders>
              <w:start w:val="single" w:sz="4" w:space="0" w:color="000000"/>
              <w:bottom w:val="single" w:sz="4" w:space="0" w:color="000000"/>
            </w:tcBorders>
            <w:vAlign w:val="center"/>
          </w:tcPr>
          <w:p>
            <w:pPr>
              <w:pStyle w:val="TableContents"/>
              <w:rPr/>
            </w:pPr>
            <w:r>
              <w:rPr/>
              <w:t>2.4x2.4x2.4</w:t>
            </w:r>
          </w:p>
        </w:tc>
        <w:tc>
          <w:tcPr>
            <w:tcW w:w="576" w:type="dxa"/>
            <w:tcBorders>
              <w:start w:val="single" w:sz="4" w:space="0" w:color="000000"/>
              <w:bottom w:val="single" w:sz="4" w:space="0" w:color="000000"/>
            </w:tcBorders>
            <w:vAlign w:val="center"/>
          </w:tcPr>
          <w:p>
            <w:pPr>
              <w:pStyle w:val="TableContents"/>
              <w:rPr/>
            </w:pPr>
            <w:r>
              <w:rPr/>
              <w:t>800</w:t>
            </w:r>
          </w:p>
        </w:tc>
        <w:tc>
          <w:tcPr>
            <w:tcW w:w="569" w:type="dxa"/>
            <w:tcBorders>
              <w:start w:val="single" w:sz="4" w:space="0" w:color="000000"/>
              <w:bottom w:val="single" w:sz="4" w:space="0" w:color="000000"/>
            </w:tcBorders>
            <w:vAlign w:val="center"/>
          </w:tcPr>
          <w:p>
            <w:pPr>
              <w:pStyle w:val="TableContents"/>
              <w:rPr/>
            </w:pPr>
            <w:r>
              <w:rPr/>
              <w:t>30/32</w:t>
            </w:r>
          </w:p>
        </w:tc>
        <w:tc>
          <w:tcPr>
            <w:tcW w:w="538" w:type="dxa"/>
            <w:tcBorders>
              <w:start w:val="single" w:sz="4" w:space="0" w:color="000000"/>
              <w:bottom w:val="single" w:sz="4" w:space="0" w:color="000000"/>
            </w:tcBorders>
            <w:vAlign w:val="center"/>
          </w:tcPr>
          <w:p>
            <w:pPr>
              <w:pStyle w:val="TableContents"/>
              <w:rPr/>
            </w:pPr>
            <w:r>
              <w:rPr/>
              <w:t>N/A</w:t>
            </w:r>
          </w:p>
        </w:tc>
        <w:tc>
          <w:tcPr>
            <w:tcW w:w="1003" w:type="dxa"/>
            <w:tcBorders>
              <w:start w:val="single" w:sz="4" w:space="0" w:color="000000"/>
              <w:bottom w:val="single" w:sz="4" w:space="0" w:color="000000"/>
            </w:tcBorders>
            <w:vAlign w:val="center"/>
          </w:tcPr>
          <w:p>
            <w:pPr>
              <w:pStyle w:val="TableContents"/>
              <w:rPr/>
            </w:pPr>
            <w:r>
              <w:rPr/>
              <w:t>52</w:t>
            </w:r>
          </w:p>
        </w:tc>
        <w:tc>
          <w:tcPr>
            <w:tcW w:w="1037" w:type="dxa"/>
            <w:tcBorders>
              <w:start w:val="single" w:sz="4" w:space="0" w:color="000000"/>
              <w:bottom w:val="single" w:sz="4" w:space="0" w:color="000000"/>
            </w:tcBorders>
            <w:vAlign w:val="center"/>
          </w:tcPr>
          <w:p>
            <w:pPr>
              <w:pStyle w:val="TableContents"/>
              <w:rPr/>
            </w:pPr>
            <w:r>
              <w:rPr/>
              <w:t>Off</w:t>
            </w:r>
          </w:p>
        </w:tc>
        <w:tc>
          <w:tcPr>
            <w:tcW w:w="1445" w:type="dxa"/>
            <w:tcBorders>
              <w:start w:val="single" w:sz="4" w:space="0" w:color="000000"/>
              <w:bottom w:val="single" w:sz="4" w:space="0" w:color="000000"/>
            </w:tcBorders>
            <w:vAlign w:val="center"/>
          </w:tcPr>
          <w:p>
            <w:pPr>
              <w:pStyle w:val="TableContents"/>
              <w:rPr/>
            </w:pPr>
            <w:r>
              <w:rPr/>
              <w:t>6</w:t>
            </w:r>
          </w:p>
        </w:tc>
        <w:tc>
          <w:tcPr>
            <w:tcW w:w="1534" w:type="dxa"/>
            <w:tcBorders>
              <w:start w:val="single" w:sz="4" w:space="0" w:color="000000"/>
              <w:bottom w:val="single" w:sz="4" w:space="0" w:color="000000"/>
              <w:end w:val="single" w:sz="4" w:space="0" w:color="000000"/>
            </w:tcBorders>
            <w:vAlign w:val="center"/>
          </w:tcPr>
          <w:p>
            <w:pPr>
              <w:pStyle w:val="TableContents"/>
              <w:rPr/>
            </w:pPr>
            <w:r>
              <w:rPr/>
              <w:t>Off</w:t>
            </w:r>
          </w:p>
        </w:tc>
      </w:tr>
    </w:tbl>
    <w:p>
      <w:pPr>
        <w:pStyle w:val="BodyText"/>
        <w:rPr>
          <w:rStyle w:val="Emphasis"/>
        </w:rPr>
      </w:pPr>
      <w:r>
        <w:rPr/>
      </w:r>
    </w:p>
    <w:p>
      <w:pPr>
        <w:pStyle w:val="BodyText"/>
        <w:rPr/>
      </w:pPr>
      <w:r>
        <w:rPr>
          <w:rStyle w:val="Emphasis"/>
          <w:sz w:val="20"/>
          <w:szCs w:val="20"/>
        </w:rPr>
        <w:t>Philips</w:t>
      </w:r>
    </w:p>
    <w:p>
      <w:pPr>
        <w:pStyle w:val="BodyText"/>
        <w:rPr>
          <w:sz w:val="20"/>
          <w:szCs w:val="20"/>
        </w:rPr>
      </w:pPr>
      <w:r>
        <w:rPr>
          <w:sz w:val="20"/>
          <w:szCs w:val="20"/>
        </w:rPr>
        <w:t xml:space="preserve">Reference site: U of Chicago </w:t>
      </w:r>
    </w:p>
    <w:tbl>
      <w:tblPr>
        <w:tblW w:w="11400" w:type="dxa"/>
        <w:jc w:val="start"/>
        <w:tblInd w:w="115" w:type="dxa"/>
        <w:tblLayout w:type="fixed"/>
        <w:tblCellMar>
          <w:top w:w="55" w:type="dxa"/>
          <w:start w:w="55" w:type="dxa"/>
          <w:bottom w:w="55" w:type="dxa"/>
          <w:end w:w="55" w:type="dxa"/>
        </w:tblCellMar>
        <w:tblLook w:firstRow="1" w:noVBand="1" w:lastRow="0" w:firstColumn="1" w:lastColumn="0" w:noHBand="0" w:val="04a0"/>
      </w:tblPr>
      <w:tblGrid>
        <w:gridCol w:w="688"/>
        <w:gridCol w:w="1621"/>
        <w:gridCol w:w="449"/>
        <w:gridCol w:w="601"/>
        <w:gridCol w:w="750"/>
        <w:gridCol w:w="992"/>
        <w:gridCol w:w="628"/>
        <w:gridCol w:w="390"/>
        <w:gridCol w:w="524"/>
        <w:gridCol w:w="990"/>
        <w:gridCol w:w="1026"/>
        <w:gridCol w:w="1425"/>
        <w:gridCol w:w="1315"/>
      </w:tblGrid>
      <w:tr>
        <w:trPr/>
        <w:tc>
          <w:tcPr>
            <w:tcW w:w="688" w:type="dxa"/>
            <w:tcBorders>
              <w:top w:val="single" w:sz="4" w:space="0" w:color="000000"/>
              <w:start w:val="single" w:sz="4" w:space="0" w:color="000000"/>
              <w:bottom w:val="single" w:sz="4" w:space="0" w:color="000000"/>
            </w:tcBorders>
            <w:vAlign w:val="center"/>
          </w:tcPr>
          <w:p>
            <w:pPr>
              <w:pStyle w:val="TableContents"/>
              <w:rPr/>
            </w:pPr>
            <w:r>
              <w:rPr/>
            </w:r>
          </w:p>
        </w:tc>
        <w:tc>
          <w:tcPr>
            <w:tcW w:w="1621" w:type="dxa"/>
            <w:tcBorders>
              <w:top w:val="single" w:sz="4" w:space="0" w:color="000000"/>
              <w:start w:val="single" w:sz="4" w:space="0" w:color="000000"/>
              <w:bottom w:val="single" w:sz="4" w:space="0" w:color="000000"/>
            </w:tcBorders>
          </w:tcPr>
          <w:p>
            <w:pPr>
              <w:pStyle w:val="TableContents"/>
              <w:rPr/>
            </w:pPr>
            <w:r>
              <w:rPr>
                <w:rStyle w:val="Strong"/>
              </w:rPr>
              <w:t>Matrix</w:t>
            </w:r>
          </w:p>
        </w:tc>
        <w:tc>
          <w:tcPr>
            <w:tcW w:w="449" w:type="dxa"/>
            <w:tcBorders>
              <w:top w:val="single" w:sz="4" w:space="0" w:color="000000"/>
              <w:start w:val="single" w:sz="4" w:space="0" w:color="000000"/>
              <w:bottom w:val="single" w:sz="4" w:space="0" w:color="000000"/>
            </w:tcBorders>
          </w:tcPr>
          <w:p>
            <w:pPr>
              <w:pStyle w:val="TableContents"/>
              <w:rPr/>
            </w:pPr>
            <w:r>
              <w:rPr>
                <w:rStyle w:val="Strong"/>
              </w:rPr>
              <w:t>Slices</w:t>
            </w:r>
          </w:p>
        </w:tc>
        <w:tc>
          <w:tcPr>
            <w:tcW w:w="601" w:type="dxa"/>
            <w:tcBorders>
              <w:top w:val="single" w:sz="4" w:space="0" w:color="000000"/>
              <w:start w:val="single" w:sz="4" w:space="0" w:color="000000"/>
              <w:bottom w:val="single" w:sz="4" w:space="0" w:color="000000"/>
            </w:tcBorders>
          </w:tcPr>
          <w:p>
            <w:pPr>
              <w:pStyle w:val="TableContents"/>
              <w:rPr/>
            </w:pPr>
            <w:r>
              <w:rPr>
                <w:rStyle w:val="Strong"/>
              </w:rPr>
              <w:t>FOV</w:t>
            </w:r>
          </w:p>
        </w:tc>
        <w:tc>
          <w:tcPr>
            <w:tcW w:w="750" w:type="dxa"/>
            <w:tcBorders>
              <w:top w:val="single" w:sz="4" w:space="0" w:color="000000"/>
              <w:start w:val="single" w:sz="4" w:space="0" w:color="000000"/>
              <w:bottom w:val="single" w:sz="4" w:space="0" w:color="000000"/>
            </w:tcBorders>
          </w:tcPr>
          <w:p>
            <w:pPr>
              <w:pStyle w:val="TableContents"/>
              <w:rPr/>
            </w:pPr>
            <w:r>
              <w:rPr>
                <w:rStyle w:val="Strong"/>
              </w:rPr>
              <w:t>% FOV phase</w:t>
            </w:r>
          </w:p>
        </w:tc>
        <w:tc>
          <w:tcPr>
            <w:tcW w:w="992" w:type="dxa"/>
            <w:tcBorders>
              <w:top w:val="single" w:sz="4" w:space="0" w:color="000000"/>
              <w:start w:val="single" w:sz="4" w:space="0" w:color="000000"/>
              <w:bottom w:val="single" w:sz="4" w:space="0" w:color="000000"/>
            </w:tcBorders>
          </w:tcPr>
          <w:p>
            <w:pPr>
              <w:pStyle w:val="TableContents"/>
              <w:rPr/>
            </w:pPr>
            <w:r>
              <w:rPr>
                <w:rStyle w:val="Strong"/>
              </w:rPr>
              <w:t>Resolution (mm)</w:t>
            </w:r>
          </w:p>
        </w:tc>
        <w:tc>
          <w:tcPr>
            <w:tcW w:w="628" w:type="dxa"/>
            <w:tcBorders>
              <w:top w:val="single" w:sz="4" w:space="0" w:color="000000"/>
              <w:start w:val="single" w:sz="4" w:space="0" w:color="000000"/>
              <w:bottom w:val="single" w:sz="4" w:space="0" w:color="000000"/>
            </w:tcBorders>
          </w:tcPr>
          <w:p>
            <w:pPr>
              <w:pStyle w:val="TableContents"/>
              <w:rPr/>
            </w:pPr>
            <w:r>
              <w:rPr>
                <w:rStyle w:val="Strong"/>
              </w:rPr>
              <w:t>TR (ms)</w:t>
            </w:r>
          </w:p>
        </w:tc>
        <w:tc>
          <w:tcPr>
            <w:tcW w:w="390" w:type="dxa"/>
            <w:tcBorders>
              <w:top w:val="single" w:sz="4" w:space="0" w:color="000000"/>
              <w:start w:val="single" w:sz="4" w:space="0" w:color="000000"/>
              <w:bottom w:val="single" w:sz="4" w:space="0" w:color="000000"/>
            </w:tcBorders>
          </w:tcPr>
          <w:p>
            <w:pPr>
              <w:pStyle w:val="TableContents"/>
              <w:rPr/>
            </w:pPr>
            <w:r>
              <w:rPr>
                <w:rStyle w:val="Strong"/>
              </w:rPr>
              <w:t>TE (ms)</w:t>
            </w:r>
          </w:p>
        </w:tc>
        <w:tc>
          <w:tcPr>
            <w:tcW w:w="524" w:type="dxa"/>
            <w:tcBorders>
              <w:top w:val="single" w:sz="4" w:space="0" w:color="000000"/>
              <w:start w:val="single" w:sz="4" w:space="0" w:color="000000"/>
              <w:bottom w:val="single" w:sz="4" w:space="0" w:color="000000"/>
            </w:tcBorders>
          </w:tcPr>
          <w:p>
            <w:pPr>
              <w:pStyle w:val="TableContents"/>
              <w:rPr/>
            </w:pPr>
            <w:r>
              <w:rPr>
                <w:rStyle w:val="Strong"/>
              </w:rPr>
              <w:t>TI (ms)</w:t>
            </w:r>
          </w:p>
        </w:tc>
        <w:tc>
          <w:tcPr>
            <w:tcW w:w="990" w:type="dxa"/>
            <w:tcBorders>
              <w:top w:val="single" w:sz="4" w:space="0" w:color="000000"/>
              <w:start w:val="single" w:sz="4" w:space="0" w:color="000000"/>
              <w:bottom w:val="single" w:sz="4" w:space="0" w:color="000000"/>
            </w:tcBorders>
          </w:tcPr>
          <w:p>
            <w:pPr>
              <w:pStyle w:val="TableContents"/>
              <w:rPr/>
            </w:pPr>
            <w:r>
              <w:rPr>
                <w:rStyle w:val="Strong"/>
              </w:rPr>
              <w:t>Flip Angle (deg)</w:t>
            </w:r>
          </w:p>
        </w:tc>
        <w:tc>
          <w:tcPr>
            <w:tcW w:w="1026" w:type="dxa"/>
            <w:tcBorders>
              <w:top w:val="single" w:sz="4" w:space="0" w:color="000000"/>
              <w:start w:val="single" w:sz="4" w:space="0" w:color="000000"/>
              <w:bottom w:val="single" w:sz="4" w:space="0" w:color="000000"/>
            </w:tcBorders>
          </w:tcPr>
          <w:p>
            <w:pPr>
              <w:pStyle w:val="TableContents"/>
              <w:rPr/>
            </w:pPr>
            <w:r>
              <w:rPr>
                <w:rStyle w:val="Strong"/>
              </w:rPr>
              <w:t>Parallel Imaging</w:t>
            </w:r>
          </w:p>
        </w:tc>
        <w:tc>
          <w:tcPr>
            <w:tcW w:w="1425" w:type="dxa"/>
            <w:tcBorders>
              <w:top w:val="single" w:sz="4" w:space="0" w:color="000000"/>
              <w:start w:val="single" w:sz="4" w:space="0" w:color="000000"/>
              <w:bottom w:val="single" w:sz="4" w:space="0" w:color="000000"/>
            </w:tcBorders>
          </w:tcPr>
          <w:p>
            <w:pPr>
              <w:pStyle w:val="TableContents"/>
              <w:rPr/>
            </w:pPr>
            <w:r>
              <w:rPr>
                <w:rStyle w:val="Strong"/>
              </w:rPr>
              <w:t>MultiBand Acceleration</w:t>
            </w:r>
          </w:p>
        </w:tc>
        <w:tc>
          <w:tcPr>
            <w:tcW w:w="1315" w:type="dxa"/>
            <w:tcBorders>
              <w:top w:val="single" w:sz="4" w:space="0" w:color="000000"/>
              <w:start w:val="single" w:sz="4" w:space="0" w:color="000000"/>
              <w:bottom w:val="single" w:sz="4" w:space="0" w:color="000000"/>
              <w:end w:val="single" w:sz="4" w:space="0" w:color="000000"/>
            </w:tcBorders>
          </w:tcPr>
          <w:p>
            <w:pPr>
              <w:pStyle w:val="TableContents"/>
              <w:rPr/>
            </w:pPr>
            <w:r>
              <w:rPr>
                <w:rStyle w:val="Strong"/>
              </w:rPr>
              <w:t>Half Scan Factor</w:t>
            </w:r>
          </w:p>
        </w:tc>
      </w:tr>
      <w:tr>
        <w:trPr/>
        <w:tc>
          <w:tcPr>
            <w:tcW w:w="688" w:type="dxa"/>
            <w:tcBorders>
              <w:start w:val="single" w:sz="4" w:space="0" w:color="000000"/>
              <w:bottom w:val="single" w:sz="4" w:space="0" w:color="000000"/>
            </w:tcBorders>
            <w:vAlign w:val="center"/>
          </w:tcPr>
          <w:p>
            <w:pPr>
              <w:pStyle w:val="TableContents"/>
              <w:rPr/>
            </w:pPr>
            <w:r>
              <w:rPr>
                <w:rStyle w:val="Strong"/>
              </w:rPr>
              <w:t>T1</w:t>
            </w:r>
          </w:p>
        </w:tc>
        <w:tc>
          <w:tcPr>
            <w:tcW w:w="1621" w:type="dxa"/>
            <w:tcBorders>
              <w:start w:val="single" w:sz="4" w:space="0" w:color="000000"/>
              <w:bottom w:val="single" w:sz="4" w:space="0" w:color="000000"/>
            </w:tcBorders>
            <w:vAlign w:val="center"/>
          </w:tcPr>
          <w:p>
            <w:pPr>
              <w:pStyle w:val="TableContents"/>
              <w:rPr/>
            </w:pPr>
            <w:r>
              <w:rPr/>
              <w:t>256x240 acq, 256x256 rec</w:t>
            </w:r>
          </w:p>
        </w:tc>
        <w:tc>
          <w:tcPr>
            <w:tcW w:w="449" w:type="dxa"/>
            <w:tcBorders>
              <w:start w:val="single" w:sz="4" w:space="0" w:color="000000"/>
              <w:bottom w:val="single" w:sz="4" w:space="0" w:color="000000"/>
            </w:tcBorders>
            <w:vAlign w:val="center"/>
          </w:tcPr>
          <w:p>
            <w:pPr>
              <w:pStyle w:val="TableContents"/>
              <w:rPr/>
            </w:pPr>
            <w:r>
              <w:rPr/>
              <w:t>225</w:t>
            </w:r>
          </w:p>
        </w:tc>
        <w:tc>
          <w:tcPr>
            <w:tcW w:w="601" w:type="dxa"/>
            <w:tcBorders>
              <w:start w:val="single" w:sz="4" w:space="0" w:color="000000"/>
              <w:bottom w:val="single" w:sz="4" w:space="0" w:color="000000"/>
            </w:tcBorders>
            <w:vAlign w:val="center"/>
          </w:tcPr>
          <w:p>
            <w:pPr>
              <w:pStyle w:val="TableContents"/>
              <w:rPr/>
            </w:pPr>
            <w:r>
              <w:rPr/>
              <w:t>256x240</w:t>
            </w:r>
          </w:p>
        </w:tc>
        <w:tc>
          <w:tcPr>
            <w:tcW w:w="750" w:type="dxa"/>
            <w:tcBorders>
              <w:start w:val="single" w:sz="4" w:space="0" w:color="000000"/>
              <w:bottom w:val="single" w:sz="4" w:space="0" w:color="000000"/>
            </w:tcBorders>
            <w:vAlign w:val="center"/>
          </w:tcPr>
          <w:p>
            <w:pPr>
              <w:pStyle w:val="TableContents"/>
              <w:rPr/>
            </w:pPr>
            <w:r>
              <w:rPr/>
              <w:t>93.75%</w:t>
            </w:r>
          </w:p>
        </w:tc>
        <w:tc>
          <w:tcPr>
            <w:tcW w:w="992" w:type="dxa"/>
            <w:tcBorders>
              <w:start w:val="single" w:sz="4" w:space="0" w:color="000000"/>
              <w:bottom w:val="single" w:sz="4" w:space="0" w:color="000000"/>
            </w:tcBorders>
            <w:vAlign w:val="center"/>
          </w:tcPr>
          <w:p>
            <w:pPr>
              <w:pStyle w:val="TableContents"/>
              <w:rPr/>
            </w:pPr>
            <w:r>
              <w:rPr/>
              <w:t>1.0x1.0x1.0</w:t>
            </w:r>
          </w:p>
        </w:tc>
        <w:tc>
          <w:tcPr>
            <w:tcW w:w="628" w:type="dxa"/>
            <w:tcBorders>
              <w:start w:val="single" w:sz="4" w:space="0" w:color="000000"/>
              <w:bottom w:val="single" w:sz="4" w:space="0" w:color="000000"/>
            </w:tcBorders>
            <w:vAlign w:val="center"/>
          </w:tcPr>
          <w:p>
            <w:pPr>
              <w:pStyle w:val="TableContents"/>
              <w:rPr/>
            </w:pPr>
            <w:r>
              <w:rPr/>
              <w:t>6.66</w:t>
            </w:r>
          </w:p>
        </w:tc>
        <w:tc>
          <w:tcPr>
            <w:tcW w:w="390" w:type="dxa"/>
            <w:tcBorders>
              <w:start w:val="single" w:sz="4" w:space="0" w:color="000000"/>
              <w:bottom w:val="single" w:sz="4" w:space="0" w:color="000000"/>
            </w:tcBorders>
            <w:vAlign w:val="center"/>
          </w:tcPr>
          <w:p>
            <w:pPr>
              <w:pStyle w:val="TableContents"/>
              <w:rPr/>
            </w:pPr>
            <w:r>
              <w:rPr/>
              <w:t>3.0</w:t>
            </w:r>
          </w:p>
        </w:tc>
        <w:tc>
          <w:tcPr>
            <w:tcW w:w="524" w:type="dxa"/>
            <w:tcBorders>
              <w:start w:val="single" w:sz="4" w:space="0" w:color="000000"/>
              <w:bottom w:val="single" w:sz="4" w:space="0" w:color="000000"/>
            </w:tcBorders>
            <w:vAlign w:val="center"/>
          </w:tcPr>
          <w:p>
            <w:pPr>
              <w:pStyle w:val="TableContents"/>
              <w:rPr/>
            </w:pPr>
            <w:r>
              <w:rPr/>
              <w:t>1060</w:t>
            </w:r>
          </w:p>
        </w:tc>
        <w:tc>
          <w:tcPr>
            <w:tcW w:w="990" w:type="dxa"/>
            <w:tcBorders>
              <w:start w:val="single" w:sz="4" w:space="0" w:color="000000"/>
              <w:bottom w:val="single" w:sz="4" w:space="0" w:color="000000"/>
            </w:tcBorders>
            <w:vAlign w:val="center"/>
          </w:tcPr>
          <w:p>
            <w:pPr>
              <w:pStyle w:val="TableContents"/>
              <w:rPr/>
            </w:pPr>
            <w:r>
              <w:rPr/>
              <w:t>8</w:t>
            </w:r>
          </w:p>
        </w:tc>
        <w:tc>
          <w:tcPr>
            <w:tcW w:w="1026" w:type="dxa"/>
            <w:tcBorders>
              <w:start w:val="single" w:sz="4" w:space="0" w:color="000000"/>
              <w:bottom w:val="single" w:sz="4" w:space="0" w:color="000000"/>
            </w:tcBorders>
            <w:vAlign w:val="center"/>
          </w:tcPr>
          <w:p>
            <w:pPr>
              <w:pStyle w:val="TableContents"/>
              <w:rPr/>
            </w:pPr>
            <w:r>
              <w:rPr/>
              <w:t>2x1</w:t>
            </w:r>
          </w:p>
        </w:tc>
        <w:tc>
          <w:tcPr>
            <w:tcW w:w="1425" w:type="dxa"/>
            <w:tcBorders>
              <w:start w:val="single" w:sz="4" w:space="0" w:color="000000"/>
              <w:bottom w:val="single" w:sz="4" w:space="0" w:color="000000"/>
            </w:tcBorders>
            <w:vAlign w:val="center"/>
          </w:tcPr>
          <w:p>
            <w:pPr>
              <w:pStyle w:val="TableContents"/>
              <w:rPr/>
            </w:pPr>
            <w:r>
              <w:rPr/>
              <w:t>Off</w:t>
            </w:r>
          </w:p>
        </w:tc>
        <w:tc>
          <w:tcPr>
            <w:tcW w:w="1315" w:type="dxa"/>
            <w:tcBorders>
              <w:start w:val="single" w:sz="4" w:space="0" w:color="000000"/>
              <w:bottom w:val="single" w:sz="4" w:space="0" w:color="000000"/>
              <w:end w:val="single" w:sz="4" w:space="0" w:color="000000"/>
            </w:tcBorders>
            <w:vAlign w:val="center"/>
          </w:tcPr>
          <w:p>
            <w:pPr>
              <w:pStyle w:val="TableContents"/>
              <w:rPr/>
            </w:pPr>
            <w:r>
              <w:rPr/>
              <w:t>N/A</w:t>
            </w:r>
          </w:p>
        </w:tc>
      </w:tr>
      <w:tr>
        <w:trPr/>
        <w:tc>
          <w:tcPr>
            <w:tcW w:w="688" w:type="dxa"/>
            <w:tcBorders>
              <w:start w:val="single" w:sz="4" w:space="0" w:color="000000"/>
              <w:bottom w:val="single" w:sz="4" w:space="0" w:color="000000"/>
            </w:tcBorders>
            <w:vAlign w:val="center"/>
          </w:tcPr>
          <w:p>
            <w:pPr>
              <w:pStyle w:val="TableContents"/>
              <w:rPr/>
            </w:pPr>
            <w:r>
              <w:rPr>
                <w:rStyle w:val="Strong"/>
              </w:rPr>
              <w:t>Diffusion</w:t>
            </w:r>
          </w:p>
        </w:tc>
        <w:tc>
          <w:tcPr>
            <w:tcW w:w="1621" w:type="dxa"/>
            <w:tcBorders>
              <w:start w:val="single" w:sz="4" w:space="0" w:color="000000"/>
              <w:bottom w:val="single" w:sz="4" w:space="0" w:color="000000"/>
            </w:tcBorders>
            <w:vAlign w:val="center"/>
          </w:tcPr>
          <w:p>
            <w:pPr>
              <w:pStyle w:val="TableContents"/>
              <w:rPr/>
            </w:pPr>
            <w:r>
              <w:rPr/>
              <w:t>140x141 acq, 144x144 rec</w:t>
            </w:r>
          </w:p>
        </w:tc>
        <w:tc>
          <w:tcPr>
            <w:tcW w:w="449" w:type="dxa"/>
            <w:tcBorders>
              <w:start w:val="single" w:sz="4" w:space="0" w:color="000000"/>
              <w:bottom w:val="single" w:sz="4" w:space="0" w:color="000000"/>
            </w:tcBorders>
            <w:vAlign w:val="center"/>
          </w:tcPr>
          <w:p>
            <w:pPr>
              <w:pStyle w:val="TableContents"/>
              <w:rPr/>
            </w:pPr>
            <w:r>
              <w:rPr/>
              <w:t>81</w:t>
            </w:r>
          </w:p>
        </w:tc>
        <w:tc>
          <w:tcPr>
            <w:tcW w:w="601" w:type="dxa"/>
            <w:tcBorders>
              <w:start w:val="single" w:sz="4" w:space="0" w:color="000000"/>
              <w:bottom w:val="single" w:sz="4" w:space="0" w:color="000000"/>
            </w:tcBorders>
            <w:vAlign w:val="center"/>
          </w:tcPr>
          <w:p>
            <w:pPr>
              <w:pStyle w:val="TableContents"/>
              <w:rPr/>
            </w:pPr>
            <w:r>
              <w:rPr/>
              <w:t>240x240</w:t>
            </w:r>
          </w:p>
        </w:tc>
        <w:tc>
          <w:tcPr>
            <w:tcW w:w="750" w:type="dxa"/>
            <w:tcBorders>
              <w:start w:val="single" w:sz="4" w:space="0" w:color="000000"/>
              <w:bottom w:val="single" w:sz="4" w:space="0" w:color="000000"/>
            </w:tcBorders>
            <w:vAlign w:val="center"/>
          </w:tcPr>
          <w:p>
            <w:pPr>
              <w:pStyle w:val="TableContents"/>
              <w:rPr/>
            </w:pPr>
            <w:r>
              <w:rPr/>
              <w:t>100%</w:t>
            </w:r>
          </w:p>
        </w:tc>
        <w:tc>
          <w:tcPr>
            <w:tcW w:w="992" w:type="dxa"/>
            <w:tcBorders>
              <w:start w:val="single" w:sz="4" w:space="0" w:color="000000"/>
              <w:bottom w:val="single" w:sz="4" w:space="0" w:color="000000"/>
            </w:tcBorders>
            <w:vAlign w:val="center"/>
          </w:tcPr>
          <w:p>
            <w:pPr>
              <w:pStyle w:val="TableContents"/>
              <w:rPr/>
            </w:pPr>
            <w:r>
              <w:rPr/>
              <w:t>1.67x1.67x1.7</w:t>
            </w:r>
          </w:p>
        </w:tc>
        <w:tc>
          <w:tcPr>
            <w:tcW w:w="628" w:type="dxa"/>
            <w:tcBorders>
              <w:start w:val="single" w:sz="4" w:space="0" w:color="000000"/>
              <w:bottom w:val="single" w:sz="4" w:space="0" w:color="000000"/>
            </w:tcBorders>
            <w:vAlign w:val="center"/>
          </w:tcPr>
          <w:p>
            <w:pPr>
              <w:pStyle w:val="TableContents"/>
              <w:rPr/>
            </w:pPr>
            <w:r>
              <w:rPr/>
              <w:t>8093.6</w:t>
            </w:r>
          </w:p>
        </w:tc>
        <w:tc>
          <w:tcPr>
            <w:tcW w:w="390" w:type="dxa"/>
            <w:tcBorders>
              <w:start w:val="single" w:sz="4" w:space="0" w:color="000000"/>
              <w:bottom w:val="single" w:sz="4" w:space="0" w:color="000000"/>
            </w:tcBorders>
            <w:vAlign w:val="center"/>
          </w:tcPr>
          <w:p>
            <w:pPr>
              <w:pStyle w:val="TableContents"/>
              <w:rPr/>
            </w:pPr>
            <w:r>
              <w:rPr/>
              <w:t>103</w:t>
            </w:r>
          </w:p>
        </w:tc>
        <w:tc>
          <w:tcPr>
            <w:tcW w:w="524" w:type="dxa"/>
            <w:tcBorders>
              <w:start w:val="single" w:sz="4" w:space="0" w:color="000000"/>
              <w:bottom w:val="single" w:sz="4" w:space="0" w:color="000000"/>
            </w:tcBorders>
            <w:vAlign w:val="center"/>
          </w:tcPr>
          <w:p>
            <w:pPr>
              <w:pStyle w:val="TableContents"/>
              <w:rPr/>
            </w:pPr>
            <w:r>
              <w:rPr/>
              <w:t>N/A</w:t>
            </w:r>
          </w:p>
        </w:tc>
        <w:tc>
          <w:tcPr>
            <w:tcW w:w="990" w:type="dxa"/>
            <w:tcBorders>
              <w:start w:val="single" w:sz="4" w:space="0" w:color="000000"/>
              <w:bottom w:val="single" w:sz="4" w:space="0" w:color="000000"/>
            </w:tcBorders>
            <w:vAlign w:val="center"/>
          </w:tcPr>
          <w:p>
            <w:pPr>
              <w:pStyle w:val="TableContents"/>
              <w:rPr/>
            </w:pPr>
            <w:r>
              <w:rPr/>
              <w:t>78</w:t>
            </w:r>
          </w:p>
        </w:tc>
        <w:tc>
          <w:tcPr>
            <w:tcW w:w="1026" w:type="dxa"/>
            <w:tcBorders>
              <w:start w:val="single" w:sz="4" w:space="0" w:color="000000"/>
              <w:bottom w:val="single" w:sz="4" w:space="0" w:color="000000"/>
            </w:tcBorders>
            <w:vAlign w:val="center"/>
          </w:tcPr>
          <w:p>
            <w:pPr>
              <w:pStyle w:val="TableContents"/>
              <w:rPr/>
            </w:pPr>
            <w:r>
              <w:rPr/>
              <w:t>Off</w:t>
            </w:r>
          </w:p>
        </w:tc>
        <w:tc>
          <w:tcPr>
            <w:tcW w:w="1425" w:type="dxa"/>
            <w:tcBorders>
              <w:start w:val="single" w:sz="4" w:space="0" w:color="000000"/>
              <w:bottom w:val="single" w:sz="4" w:space="0" w:color="000000"/>
            </w:tcBorders>
            <w:vAlign w:val="center"/>
          </w:tcPr>
          <w:p>
            <w:pPr>
              <w:pStyle w:val="TableContents"/>
              <w:rPr/>
            </w:pPr>
            <w:r>
              <w:rPr/>
              <w:t>3</w:t>
            </w:r>
          </w:p>
        </w:tc>
        <w:tc>
          <w:tcPr>
            <w:tcW w:w="1315" w:type="dxa"/>
            <w:tcBorders>
              <w:start w:val="single" w:sz="4" w:space="0" w:color="000000"/>
              <w:bottom w:val="single" w:sz="4" w:space="0" w:color="000000"/>
              <w:end w:val="single" w:sz="4" w:space="0" w:color="000000"/>
            </w:tcBorders>
            <w:vAlign w:val="center"/>
          </w:tcPr>
          <w:p>
            <w:pPr>
              <w:pStyle w:val="TableContents"/>
              <w:rPr/>
            </w:pPr>
            <w:r>
              <w:rPr/>
              <w:t>0.6</w:t>
            </w:r>
          </w:p>
        </w:tc>
      </w:tr>
      <w:tr>
        <w:trPr/>
        <w:tc>
          <w:tcPr>
            <w:tcW w:w="688" w:type="dxa"/>
            <w:tcBorders>
              <w:start w:val="single" w:sz="4" w:space="0" w:color="000000"/>
              <w:bottom w:val="single" w:sz="4" w:space="0" w:color="000000"/>
            </w:tcBorders>
            <w:vAlign w:val="center"/>
          </w:tcPr>
          <w:p>
            <w:pPr>
              <w:pStyle w:val="TableContents"/>
              <w:rPr/>
            </w:pPr>
            <w:r>
              <w:rPr>
                <w:rStyle w:val="Strong"/>
              </w:rPr>
              <w:t>fMRI</w:t>
            </w:r>
          </w:p>
        </w:tc>
        <w:tc>
          <w:tcPr>
            <w:tcW w:w="1621" w:type="dxa"/>
            <w:tcBorders>
              <w:start w:val="single" w:sz="4" w:space="0" w:color="000000"/>
              <w:bottom w:val="single" w:sz="4" w:space="0" w:color="000000"/>
            </w:tcBorders>
            <w:vAlign w:val="center"/>
          </w:tcPr>
          <w:p>
            <w:pPr>
              <w:pStyle w:val="TableContents"/>
              <w:rPr/>
            </w:pPr>
            <w:r>
              <w:rPr/>
              <w:t>88x89</w:t>
            </w:r>
          </w:p>
        </w:tc>
        <w:tc>
          <w:tcPr>
            <w:tcW w:w="449" w:type="dxa"/>
            <w:tcBorders>
              <w:start w:val="single" w:sz="4" w:space="0" w:color="000000"/>
              <w:bottom w:val="single" w:sz="4" w:space="0" w:color="000000"/>
            </w:tcBorders>
            <w:vAlign w:val="center"/>
          </w:tcPr>
          <w:p>
            <w:pPr>
              <w:pStyle w:val="TableContents"/>
              <w:rPr/>
            </w:pPr>
            <w:r>
              <w:rPr/>
              <w:t>54*</w:t>
            </w:r>
          </w:p>
        </w:tc>
        <w:tc>
          <w:tcPr>
            <w:tcW w:w="601" w:type="dxa"/>
            <w:tcBorders>
              <w:start w:val="single" w:sz="4" w:space="0" w:color="000000"/>
              <w:bottom w:val="single" w:sz="4" w:space="0" w:color="000000"/>
            </w:tcBorders>
            <w:vAlign w:val="center"/>
          </w:tcPr>
          <w:p>
            <w:pPr>
              <w:pStyle w:val="TableContents"/>
              <w:rPr/>
            </w:pPr>
            <w:r>
              <w:rPr/>
              <w:t>216x216</w:t>
            </w:r>
          </w:p>
        </w:tc>
        <w:tc>
          <w:tcPr>
            <w:tcW w:w="750" w:type="dxa"/>
            <w:tcBorders>
              <w:start w:val="single" w:sz="4" w:space="0" w:color="000000"/>
              <w:bottom w:val="single" w:sz="4" w:space="0" w:color="000000"/>
            </w:tcBorders>
            <w:vAlign w:val="center"/>
          </w:tcPr>
          <w:p>
            <w:pPr>
              <w:pStyle w:val="TableContents"/>
              <w:rPr/>
            </w:pPr>
            <w:r>
              <w:rPr/>
              <w:t>100%</w:t>
            </w:r>
          </w:p>
        </w:tc>
        <w:tc>
          <w:tcPr>
            <w:tcW w:w="992" w:type="dxa"/>
            <w:tcBorders>
              <w:start w:val="single" w:sz="4" w:space="0" w:color="000000"/>
              <w:bottom w:val="single" w:sz="4" w:space="0" w:color="000000"/>
            </w:tcBorders>
            <w:vAlign w:val="center"/>
          </w:tcPr>
          <w:p>
            <w:pPr>
              <w:pStyle w:val="TableContents"/>
              <w:rPr/>
            </w:pPr>
            <w:r>
              <w:rPr/>
              <w:t>2.22x2.22x2.4</w:t>
            </w:r>
          </w:p>
        </w:tc>
        <w:tc>
          <w:tcPr>
            <w:tcW w:w="628" w:type="dxa"/>
            <w:tcBorders>
              <w:start w:val="single" w:sz="4" w:space="0" w:color="000000"/>
              <w:bottom w:val="single" w:sz="4" w:space="0" w:color="000000"/>
            </w:tcBorders>
            <w:vAlign w:val="center"/>
          </w:tcPr>
          <w:p>
            <w:pPr>
              <w:pStyle w:val="TableContents"/>
              <w:rPr/>
            </w:pPr>
            <w:r>
              <w:rPr/>
              <w:t>800</w:t>
            </w:r>
          </w:p>
        </w:tc>
        <w:tc>
          <w:tcPr>
            <w:tcW w:w="390" w:type="dxa"/>
            <w:tcBorders>
              <w:start w:val="single" w:sz="4" w:space="0" w:color="000000"/>
              <w:bottom w:val="single" w:sz="4" w:space="0" w:color="000000"/>
            </w:tcBorders>
            <w:vAlign w:val="center"/>
          </w:tcPr>
          <w:p>
            <w:pPr>
              <w:pStyle w:val="TableContents"/>
              <w:rPr/>
            </w:pPr>
            <w:r>
              <w:rPr/>
              <w:t>30</w:t>
            </w:r>
          </w:p>
        </w:tc>
        <w:tc>
          <w:tcPr>
            <w:tcW w:w="524" w:type="dxa"/>
            <w:tcBorders>
              <w:start w:val="single" w:sz="4" w:space="0" w:color="000000"/>
              <w:bottom w:val="single" w:sz="4" w:space="0" w:color="000000"/>
            </w:tcBorders>
            <w:vAlign w:val="center"/>
          </w:tcPr>
          <w:p>
            <w:pPr>
              <w:pStyle w:val="TableContents"/>
              <w:rPr/>
            </w:pPr>
            <w:r>
              <w:rPr/>
              <w:t>N/A</w:t>
            </w:r>
          </w:p>
        </w:tc>
        <w:tc>
          <w:tcPr>
            <w:tcW w:w="990" w:type="dxa"/>
            <w:tcBorders>
              <w:start w:val="single" w:sz="4" w:space="0" w:color="000000"/>
              <w:bottom w:val="single" w:sz="4" w:space="0" w:color="000000"/>
            </w:tcBorders>
            <w:vAlign w:val="center"/>
          </w:tcPr>
          <w:p>
            <w:pPr>
              <w:pStyle w:val="TableContents"/>
              <w:rPr/>
            </w:pPr>
            <w:r>
              <w:rPr/>
              <w:t>52</w:t>
            </w:r>
          </w:p>
        </w:tc>
        <w:tc>
          <w:tcPr>
            <w:tcW w:w="1026" w:type="dxa"/>
            <w:tcBorders>
              <w:start w:val="single" w:sz="4" w:space="0" w:color="000000"/>
              <w:bottom w:val="single" w:sz="4" w:space="0" w:color="000000"/>
            </w:tcBorders>
            <w:vAlign w:val="center"/>
          </w:tcPr>
          <w:p>
            <w:pPr>
              <w:pStyle w:val="TableContents"/>
              <w:rPr/>
            </w:pPr>
            <w:r>
              <w:rPr/>
              <w:t>Off</w:t>
            </w:r>
          </w:p>
        </w:tc>
        <w:tc>
          <w:tcPr>
            <w:tcW w:w="1425" w:type="dxa"/>
            <w:tcBorders>
              <w:start w:val="single" w:sz="4" w:space="0" w:color="000000"/>
              <w:bottom w:val="single" w:sz="4" w:space="0" w:color="000000"/>
            </w:tcBorders>
            <w:vAlign w:val="center"/>
          </w:tcPr>
          <w:p>
            <w:pPr>
              <w:pStyle w:val="TableContents"/>
              <w:rPr/>
            </w:pPr>
            <w:r>
              <w:rPr/>
              <w:t>6</w:t>
            </w:r>
          </w:p>
        </w:tc>
        <w:tc>
          <w:tcPr>
            <w:tcW w:w="1315" w:type="dxa"/>
            <w:tcBorders>
              <w:start w:val="single" w:sz="4" w:space="0" w:color="000000"/>
              <w:bottom w:val="single" w:sz="4" w:space="0" w:color="000000"/>
              <w:end w:val="single" w:sz="4" w:space="0" w:color="000000"/>
            </w:tcBorders>
            <w:vAlign w:val="center"/>
          </w:tcPr>
          <w:p>
            <w:pPr>
              <w:pStyle w:val="TableContents"/>
              <w:rPr/>
            </w:pPr>
            <w:r>
              <w:rPr/>
              <w:t>0.9</w:t>
            </w:r>
          </w:p>
        </w:tc>
      </w:tr>
    </w:tbl>
    <w:p>
      <w:pPr>
        <w:pStyle w:val="BodyText"/>
        <w:rPr>
          <w:sz w:val="14"/>
          <w:szCs w:val="14"/>
        </w:rPr>
      </w:pPr>
      <w:r>
        <w:rPr>
          <w:sz w:val="14"/>
          <w:szCs w:val="14"/>
        </w:rPr>
      </w:r>
    </w:p>
    <w:p>
      <w:pPr>
        <w:pStyle w:val="BodyText"/>
        <w:rPr/>
      </w:pPr>
      <w:r>
        <w:rPr>
          <w:rStyle w:val="Emphasis"/>
          <w:sz w:val="20"/>
          <w:szCs w:val="20"/>
        </w:rPr>
        <w:t>GE</w:t>
      </w:r>
    </w:p>
    <w:p>
      <w:pPr>
        <w:pStyle w:val="BodyText"/>
        <w:rPr>
          <w:sz w:val="20"/>
          <w:szCs w:val="20"/>
        </w:rPr>
      </w:pPr>
      <w:r>
        <w:rPr>
          <w:sz w:val="20"/>
          <w:szCs w:val="20"/>
        </w:rPr>
        <w:t>Reference site: UIC</w:t>
      </w:r>
    </w:p>
    <w:tbl>
      <w:tblPr>
        <w:tblW w:w="10860" w:type="dxa"/>
        <w:jc w:val="start"/>
        <w:tblInd w:w="115" w:type="dxa"/>
        <w:tblLayout w:type="fixed"/>
        <w:tblCellMar>
          <w:top w:w="55" w:type="dxa"/>
          <w:start w:w="55" w:type="dxa"/>
          <w:bottom w:w="55" w:type="dxa"/>
          <w:end w:w="55" w:type="dxa"/>
        </w:tblCellMar>
        <w:tblLook w:firstRow="1" w:noVBand="1" w:lastRow="0" w:firstColumn="1" w:lastColumn="0" w:noHBand="0" w:val="04a0"/>
      </w:tblPr>
      <w:tblGrid>
        <w:gridCol w:w="724"/>
        <w:gridCol w:w="622"/>
        <w:gridCol w:w="453"/>
        <w:gridCol w:w="631"/>
        <w:gridCol w:w="670"/>
        <w:gridCol w:w="1047"/>
        <w:gridCol w:w="571"/>
        <w:gridCol w:w="568"/>
        <w:gridCol w:w="533"/>
        <w:gridCol w:w="1006"/>
        <w:gridCol w:w="1037"/>
        <w:gridCol w:w="1451"/>
        <w:gridCol w:w="1546"/>
      </w:tblGrid>
      <w:tr>
        <w:trPr>
          <w:trHeight w:val="510" w:hRule="atLeast"/>
        </w:trPr>
        <w:tc>
          <w:tcPr>
            <w:tcW w:w="724" w:type="dxa"/>
            <w:tcBorders>
              <w:top w:val="single" w:sz="4" w:space="0" w:color="000000"/>
              <w:start w:val="single" w:sz="4" w:space="0" w:color="000000"/>
              <w:bottom w:val="single" w:sz="4" w:space="0" w:color="000000"/>
            </w:tcBorders>
            <w:vAlign w:val="center"/>
          </w:tcPr>
          <w:p>
            <w:pPr>
              <w:pStyle w:val="TableContents"/>
              <w:rPr/>
            </w:pPr>
            <w:r>
              <w:rPr/>
            </w:r>
          </w:p>
        </w:tc>
        <w:tc>
          <w:tcPr>
            <w:tcW w:w="622" w:type="dxa"/>
            <w:tcBorders>
              <w:top w:val="single" w:sz="4" w:space="0" w:color="000000"/>
              <w:start w:val="single" w:sz="4" w:space="0" w:color="000000"/>
              <w:bottom w:val="single" w:sz="4" w:space="0" w:color="000000"/>
            </w:tcBorders>
            <w:vAlign w:val="center"/>
          </w:tcPr>
          <w:p>
            <w:pPr>
              <w:pStyle w:val="TableContents"/>
              <w:rPr/>
            </w:pPr>
            <w:r>
              <w:rPr>
                <w:rStyle w:val="Strong"/>
              </w:rPr>
              <w:t>Matrix</w:t>
            </w:r>
          </w:p>
        </w:tc>
        <w:tc>
          <w:tcPr>
            <w:tcW w:w="453" w:type="dxa"/>
            <w:tcBorders>
              <w:top w:val="single" w:sz="4" w:space="0" w:color="000000"/>
              <w:start w:val="single" w:sz="4" w:space="0" w:color="000000"/>
              <w:bottom w:val="single" w:sz="4" w:space="0" w:color="000000"/>
            </w:tcBorders>
            <w:vAlign w:val="center"/>
          </w:tcPr>
          <w:p>
            <w:pPr>
              <w:pStyle w:val="TableContents"/>
              <w:rPr/>
            </w:pPr>
            <w:r>
              <w:rPr>
                <w:rStyle w:val="Strong"/>
              </w:rPr>
              <w:t>Slices</w:t>
            </w:r>
          </w:p>
        </w:tc>
        <w:tc>
          <w:tcPr>
            <w:tcW w:w="631" w:type="dxa"/>
            <w:tcBorders>
              <w:top w:val="single" w:sz="4" w:space="0" w:color="000000"/>
              <w:start w:val="single" w:sz="4" w:space="0" w:color="000000"/>
              <w:bottom w:val="single" w:sz="4" w:space="0" w:color="000000"/>
            </w:tcBorders>
            <w:vAlign w:val="center"/>
          </w:tcPr>
          <w:p>
            <w:pPr>
              <w:pStyle w:val="TableContents"/>
              <w:rPr/>
            </w:pPr>
            <w:r>
              <w:rPr>
                <w:rStyle w:val="Strong"/>
              </w:rPr>
              <w:t>FOV</w:t>
            </w:r>
          </w:p>
        </w:tc>
        <w:tc>
          <w:tcPr>
            <w:tcW w:w="670" w:type="dxa"/>
            <w:tcBorders>
              <w:top w:val="single" w:sz="4" w:space="0" w:color="000000"/>
              <w:start w:val="single" w:sz="4" w:space="0" w:color="000000"/>
              <w:bottom w:val="single" w:sz="4" w:space="0" w:color="000000"/>
            </w:tcBorders>
            <w:vAlign w:val="center"/>
          </w:tcPr>
          <w:p>
            <w:pPr>
              <w:pStyle w:val="TableContents"/>
              <w:rPr/>
            </w:pPr>
            <w:r>
              <w:rPr>
                <w:rStyle w:val="Strong"/>
              </w:rPr>
              <w:t>% FOV phase</w:t>
            </w:r>
          </w:p>
        </w:tc>
        <w:tc>
          <w:tcPr>
            <w:tcW w:w="1047" w:type="dxa"/>
            <w:tcBorders>
              <w:top w:val="single" w:sz="4" w:space="0" w:color="000000"/>
              <w:start w:val="single" w:sz="4" w:space="0" w:color="000000"/>
              <w:bottom w:val="single" w:sz="4" w:space="0" w:color="000000"/>
            </w:tcBorders>
            <w:vAlign w:val="center"/>
          </w:tcPr>
          <w:p>
            <w:pPr>
              <w:pStyle w:val="TableContents"/>
              <w:rPr/>
            </w:pPr>
            <w:r>
              <w:rPr>
                <w:rStyle w:val="Strong"/>
              </w:rPr>
              <w:t>Resolution (mm)</w:t>
            </w:r>
          </w:p>
        </w:tc>
        <w:tc>
          <w:tcPr>
            <w:tcW w:w="571" w:type="dxa"/>
            <w:tcBorders>
              <w:top w:val="single" w:sz="4" w:space="0" w:color="000000"/>
              <w:start w:val="single" w:sz="4" w:space="0" w:color="000000"/>
              <w:bottom w:val="single" w:sz="4" w:space="0" w:color="000000"/>
            </w:tcBorders>
            <w:vAlign w:val="center"/>
          </w:tcPr>
          <w:p>
            <w:pPr>
              <w:pStyle w:val="TableContents"/>
              <w:rPr/>
            </w:pPr>
            <w:r>
              <w:rPr>
                <w:rStyle w:val="Strong"/>
              </w:rPr>
              <w:t>TR (ms)</w:t>
            </w:r>
          </w:p>
        </w:tc>
        <w:tc>
          <w:tcPr>
            <w:tcW w:w="568" w:type="dxa"/>
            <w:tcBorders>
              <w:top w:val="single" w:sz="4" w:space="0" w:color="000000"/>
              <w:start w:val="single" w:sz="4" w:space="0" w:color="000000"/>
              <w:bottom w:val="single" w:sz="4" w:space="0" w:color="000000"/>
            </w:tcBorders>
            <w:vAlign w:val="center"/>
          </w:tcPr>
          <w:p>
            <w:pPr>
              <w:pStyle w:val="TableContents"/>
              <w:rPr/>
            </w:pPr>
            <w:r>
              <w:rPr>
                <w:rStyle w:val="Strong"/>
              </w:rPr>
              <w:t>TE (ms)</w:t>
            </w:r>
          </w:p>
        </w:tc>
        <w:tc>
          <w:tcPr>
            <w:tcW w:w="533" w:type="dxa"/>
            <w:tcBorders>
              <w:top w:val="single" w:sz="4" w:space="0" w:color="000000"/>
              <w:start w:val="single" w:sz="4" w:space="0" w:color="000000"/>
              <w:bottom w:val="single" w:sz="4" w:space="0" w:color="000000"/>
            </w:tcBorders>
            <w:vAlign w:val="center"/>
          </w:tcPr>
          <w:p>
            <w:pPr>
              <w:pStyle w:val="TableContents"/>
              <w:rPr/>
            </w:pPr>
            <w:r>
              <w:rPr>
                <w:rStyle w:val="Strong"/>
              </w:rPr>
              <w:t>TI (ms)</w:t>
            </w:r>
          </w:p>
        </w:tc>
        <w:tc>
          <w:tcPr>
            <w:tcW w:w="1006" w:type="dxa"/>
            <w:tcBorders>
              <w:top w:val="single" w:sz="4" w:space="0" w:color="000000"/>
              <w:start w:val="single" w:sz="4" w:space="0" w:color="000000"/>
              <w:bottom w:val="single" w:sz="4" w:space="0" w:color="000000"/>
            </w:tcBorders>
            <w:vAlign w:val="center"/>
          </w:tcPr>
          <w:p>
            <w:pPr>
              <w:pStyle w:val="TableContents"/>
              <w:rPr/>
            </w:pPr>
            <w:r>
              <w:rPr>
                <w:rStyle w:val="Strong"/>
              </w:rPr>
              <w:t>Flip Angle (deg)</w:t>
            </w:r>
          </w:p>
        </w:tc>
        <w:tc>
          <w:tcPr>
            <w:tcW w:w="1037" w:type="dxa"/>
            <w:tcBorders>
              <w:top w:val="single" w:sz="4" w:space="0" w:color="000000"/>
              <w:start w:val="single" w:sz="4" w:space="0" w:color="000000"/>
              <w:bottom w:val="single" w:sz="4" w:space="0" w:color="000000"/>
            </w:tcBorders>
            <w:vAlign w:val="center"/>
          </w:tcPr>
          <w:p>
            <w:pPr>
              <w:pStyle w:val="TableContents"/>
              <w:rPr/>
            </w:pPr>
            <w:r>
              <w:rPr>
                <w:rStyle w:val="Strong"/>
              </w:rPr>
              <w:t>Parallel Imaging</w:t>
            </w:r>
          </w:p>
        </w:tc>
        <w:tc>
          <w:tcPr>
            <w:tcW w:w="1451" w:type="dxa"/>
            <w:tcBorders>
              <w:top w:val="single" w:sz="4" w:space="0" w:color="000000"/>
              <w:start w:val="single" w:sz="4" w:space="0" w:color="000000"/>
              <w:bottom w:val="single" w:sz="4" w:space="0" w:color="000000"/>
            </w:tcBorders>
            <w:vAlign w:val="center"/>
          </w:tcPr>
          <w:p>
            <w:pPr>
              <w:pStyle w:val="TableContents"/>
              <w:rPr/>
            </w:pPr>
            <w:r>
              <w:rPr>
                <w:rStyle w:val="Strong"/>
              </w:rPr>
              <w:t>MultiBand Acceleration</w:t>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Phase partial Fourier</w:t>
            </w:r>
          </w:p>
        </w:tc>
      </w:tr>
      <w:tr>
        <w:trPr>
          <w:trHeight w:val="486" w:hRule="atLeast"/>
        </w:trPr>
        <w:tc>
          <w:tcPr>
            <w:tcW w:w="724" w:type="dxa"/>
            <w:tcBorders>
              <w:start w:val="single" w:sz="4" w:space="0" w:color="000000"/>
              <w:bottom w:val="single" w:sz="4" w:space="0" w:color="000000"/>
            </w:tcBorders>
            <w:vAlign w:val="center"/>
          </w:tcPr>
          <w:p>
            <w:pPr>
              <w:pStyle w:val="TableContents"/>
              <w:rPr/>
            </w:pPr>
            <w:r>
              <w:rPr>
                <w:rStyle w:val="Strong"/>
              </w:rPr>
              <w:t>T1</w:t>
            </w:r>
          </w:p>
        </w:tc>
        <w:tc>
          <w:tcPr>
            <w:tcW w:w="622" w:type="dxa"/>
            <w:tcBorders>
              <w:start w:val="single" w:sz="4" w:space="0" w:color="000000"/>
              <w:bottom w:val="single" w:sz="4" w:space="0" w:color="000000"/>
            </w:tcBorders>
            <w:vAlign w:val="center"/>
          </w:tcPr>
          <w:p>
            <w:pPr>
              <w:pStyle w:val="TableContents"/>
              <w:rPr/>
            </w:pPr>
            <w:r>
              <w:rPr/>
              <w:t>256x256</w:t>
            </w:r>
          </w:p>
        </w:tc>
        <w:tc>
          <w:tcPr>
            <w:tcW w:w="453" w:type="dxa"/>
            <w:tcBorders>
              <w:start w:val="single" w:sz="4" w:space="0" w:color="000000"/>
              <w:bottom w:val="single" w:sz="4" w:space="0" w:color="000000"/>
            </w:tcBorders>
            <w:vAlign w:val="center"/>
          </w:tcPr>
          <w:p>
            <w:pPr>
              <w:pStyle w:val="TableContents"/>
              <w:rPr/>
            </w:pPr>
            <w:r>
              <w:rPr/>
              <w:t>208</w:t>
            </w:r>
          </w:p>
        </w:tc>
        <w:tc>
          <w:tcPr>
            <w:tcW w:w="631" w:type="dxa"/>
            <w:tcBorders>
              <w:start w:val="single" w:sz="4" w:space="0" w:color="000000"/>
              <w:bottom w:val="single" w:sz="4" w:space="0" w:color="000000"/>
            </w:tcBorders>
            <w:vAlign w:val="center"/>
          </w:tcPr>
          <w:p>
            <w:pPr>
              <w:pStyle w:val="TableContents"/>
              <w:rPr/>
            </w:pPr>
            <w:r>
              <w:rPr/>
              <w:t>256x256</w:t>
            </w:r>
          </w:p>
        </w:tc>
        <w:tc>
          <w:tcPr>
            <w:tcW w:w="670" w:type="dxa"/>
            <w:tcBorders>
              <w:start w:val="single" w:sz="4" w:space="0" w:color="000000"/>
              <w:bottom w:val="single" w:sz="4" w:space="0" w:color="000000"/>
            </w:tcBorders>
            <w:vAlign w:val="center"/>
          </w:tcPr>
          <w:p>
            <w:pPr>
              <w:pStyle w:val="TableContents"/>
              <w:rPr/>
            </w:pPr>
            <w:r>
              <w:rPr/>
              <w:t>100%</w:t>
            </w:r>
          </w:p>
        </w:tc>
        <w:tc>
          <w:tcPr>
            <w:tcW w:w="1047" w:type="dxa"/>
            <w:tcBorders>
              <w:start w:val="single" w:sz="4" w:space="0" w:color="000000"/>
              <w:bottom w:val="single" w:sz="4" w:space="0" w:color="000000"/>
            </w:tcBorders>
            <w:vAlign w:val="center"/>
          </w:tcPr>
          <w:p>
            <w:pPr>
              <w:pStyle w:val="TableContents"/>
              <w:rPr/>
            </w:pPr>
            <w:r>
              <w:rPr/>
              <w:t>1.0x1.0x1.0</w:t>
            </w:r>
          </w:p>
        </w:tc>
        <w:tc>
          <w:tcPr>
            <w:tcW w:w="571" w:type="dxa"/>
            <w:tcBorders>
              <w:start w:val="single" w:sz="4" w:space="0" w:color="000000"/>
              <w:bottom w:val="single" w:sz="4" w:space="0" w:color="000000"/>
            </w:tcBorders>
            <w:vAlign w:val="center"/>
          </w:tcPr>
          <w:p>
            <w:pPr>
              <w:pStyle w:val="TableContents"/>
              <w:rPr/>
            </w:pPr>
            <w:r>
              <w:rPr/>
              <w:t>6.952</w:t>
            </w:r>
          </w:p>
        </w:tc>
        <w:tc>
          <w:tcPr>
            <w:tcW w:w="568" w:type="dxa"/>
            <w:tcBorders>
              <w:start w:val="single" w:sz="4" w:space="0" w:color="000000"/>
              <w:bottom w:val="single" w:sz="4" w:space="0" w:color="000000"/>
            </w:tcBorders>
            <w:vAlign w:val="center"/>
          </w:tcPr>
          <w:p>
            <w:pPr>
              <w:pStyle w:val="TableContents"/>
              <w:rPr/>
            </w:pPr>
            <w:r>
              <w:rPr/>
              <w:t>2.92</w:t>
            </w:r>
          </w:p>
        </w:tc>
        <w:tc>
          <w:tcPr>
            <w:tcW w:w="533" w:type="dxa"/>
            <w:tcBorders>
              <w:start w:val="single" w:sz="4" w:space="0" w:color="000000"/>
              <w:bottom w:val="single" w:sz="4" w:space="0" w:color="000000"/>
            </w:tcBorders>
            <w:vAlign w:val="center"/>
          </w:tcPr>
          <w:p>
            <w:pPr>
              <w:pStyle w:val="TableContents"/>
              <w:rPr/>
            </w:pPr>
            <w:r>
              <w:rPr/>
              <w:t>1060</w:t>
            </w:r>
          </w:p>
        </w:tc>
        <w:tc>
          <w:tcPr>
            <w:tcW w:w="1006" w:type="dxa"/>
            <w:tcBorders>
              <w:start w:val="single" w:sz="4" w:space="0" w:color="000000"/>
              <w:bottom w:val="single" w:sz="4" w:space="0" w:color="000000"/>
            </w:tcBorders>
            <w:vAlign w:val="center"/>
          </w:tcPr>
          <w:p>
            <w:pPr>
              <w:pStyle w:val="TableContents"/>
              <w:rPr/>
            </w:pPr>
            <w:r>
              <w:rPr/>
              <w:t>8</w:t>
            </w:r>
          </w:p>
        </w:tc>
        <w:tc>
          <w:tcPr>
            <w:tcW w:w="1037" w:type="dxa"/>
            <w:tcBorders>
              <w:start w:val="single" w:sz="4" w:space="0" w:color="000000"/>
              <w:bottom w:val="single" w:sz="4" w:space="0" w:color="000000"/>
            </w:tcBorders>
            <w:vAlign w:val="center"/>
          </w:tcPr>
          <w:p>
            <w:pPr>
              <w:pStyle w:val="TableContents"/>
              <w:rPr/>
            </w:pPr>
            <w:r>
              <w:rPr/>
              <w:t>2x</w:t>
            </w:r>
          </w:p>
        </w:tc>
        <w:tc>
          <w:tcPr>
            <w:tcW w:w="1451" w:type="dxa"/>
            <w:tcBorders>
              <w:start w:val="single" w:sz="4" w:space="0" w:color="000000"/>
              <w:bottom w:val="single" w:sz="4" w:space="0" w:color="000000"/>
            </w:tcBorders>
            <w:vAlign w:val="center"/>
          </w:tcPr>
          <w:p>
            <w:pPr>
              <w:pStyle w:val="TableContents"/>
              <w:rPr/>
            </w:pPr>
            <w:r>
              <w:rPr/>
              <w:t>Off</w:t>
            </w:r>
          </w:p>
        </w:tc>
        <w:tc>
          <w:tcPr>
            <w:tcW w:w="1546" w:type="dxa"/>
            <w:tcBorders>
              <w:start w:val="single" w:sz="4" w:space="0" w:color="000000"/>
              <w:bottom w:val="single" w:sz="4" w:space="0" w:color="000000"/>
              <w:end w:val="single" w:sz="4" w:space="0" w:color="000000"/>
            </w:tcBorders>
            <w:vAlign w:val="center"/>
          </w:tcPr>
          <w:p>
            <w:pPr>
              <w:pStyle w:val="TableContents"/>
              <w:rPr/>
            </w:pPr>
            <w:r>
              <w:rPr/>
              <w:t>Off</w:t>
            </w:r>
          </w:p>
        </w:tc>
      </w:tr>
      <w:tr>
        <w:trPr>
          <w:trHeight w:val="391" w:hRule="atLeast"/>
        </w:trPr>
        <w:tc>
          <w:tcPr>
            <w:tcW w:w="724" w:type="dxa"/>
            <w:tcBorders>
              <w:start w:val="single" w:sz="4" w:space="0" w:color="000000"/>
              <w:bottom w:val="single" w:sz="4" w:space="0" w:color="000000"/>
            </w:tcBorders>
            <w:vAlign w:val="center"/>
          </w:tcPr>
          <w:p>
            <w:pPr>
              <w:pStyle w:val="TableContents"/>
              <w:rPr/>
            </w:pPr>
            <w:r>
              <w:rPr>
                <w:rStyle w:val="Strong"/>
              </w:rPr>
              <w:t>Diffusion</w:t>
            </w:r>
          </w:p>
        </w:tc>
        <w:tc>
          <w:tcPr>
            <w:tcW w:w="622" w:type="dxa"/>
            <w:tcBorders>
              <w:start w:val="single" w:sz="4" w:space="0" w:color="000000"/>
              <w:bottom w:val="single" w:sz="4" w:space="0" w:color="000000"/>
            </w:tcBorders>
            <w:vAlign w:val="center"/>
          </w:tcPr>
          <w:p>
            <w:pPr>
              <w:pStyle w:val="TableContents"/>
              <w:rPr/>
            </w:pPr>
            <w:r>
              <w:rPr/>
              <w:t>140x140</w:t>
            </w:r>
          </w:p>
        </w:tc>
        <w:tc>
          <w:tcPr>
            <w:tcW w:w="453" w:type="dxa"/>
            <w:tcBorders>
              <w:start w:val="single" w:sz="4" w:space="0" w:color="000000"/>
              <w:bottom w:val="single" w:sz="4" w:space="0" w:color="000000"/>
            </w:tcBorders>
            <w:vAlign w:val="center"/>
          </w:tcPr>
          <w:p>
            <w:pPr>
              <w:pStyle w:val="TableContents"/>
              <w:rPr/>
            </w:pPr>
            <w:r>
              <w:rPr/>
              <w:t>81</w:t>
            </w:r>
          </w:p>
        </w:tc>
        <w:tc>
          <w:tcPr>
            <w:tcW w:w="631" w:type="dxa"/>
            <w:tcBorders>
              <w:start w:val="single" w:sz="4" w:space="0" w:color="000000"/>
              <w:bottom w:val="single" w:sz="4" w:space="0" w:color="000000"/>
            </w:tcBorders>
            <w:vAlign w:val="center"/>
          </w:tcPr>
          <w:p>
            <w:pPr>
              <w:pStyle w:val="TableContents"/>
              <w:rPr/>
            </w:pPr>
            <w:r>
              <w:rPr/>
              <w:t>240x240</w:t>
            </w:r>
          </w:p>
        </w:tc>
        <w:tc>
          <w:tcPr>
            <w:tcW w:w="670" w:type="dxa"/>
            <w:tcBorders>
              <w:start w:val="single" w:sz="4" w:space="0" w:color="000000"/>
              <w:bottom w:val="single" w:sz="4" w:space="0" w:color="000000"/>
            </w:tcBorders>
            <w:vAlign w:val="center"/>
          </w:tcPr>
          <w:p>
            <w:pPr>
              <w:pStyle w:val="TableContents"/>
              <w:rPr/>
            </w:pPr>
            <w:r>
              <w:rPr/>
              <w:t>100%</w:t>
            </w:r>
          </w:p>
        </w:tc>
        <w:tc>
          <w:tcPr>
            <w:tcW w:w="1047" w:type="dxa"/>
            <w:tcBorders>
              <w:start w:val="single" w:sz="4" w:space="0" w:color="000000"/>
              <w:bottom w:val="single" w:sz="4" w:space="0" w:color="000000"/>
            </w:tcBorders>
            <w:vAlign w:val="center"/>
          </w:tcPr>
          <w:p>
            <w:pPr>
              <w:pStyle w:val="TableContents"/>
              <w:rPr/>
            </w:pPr>
            <w:r>
              <w:rPr/>
              <w:t>1.7x1.7x1.7</w:t>
            </w:r>
          </w:p>
        </w:tc>
        <w:tc>
          <w:tcPr>
            <w:tcW w:w="571" w:type="dxa"/>
            <w:tcBorders>
              <w:start w:val="single" w:sz="4" w:space="0" w:color="000000"/>
              <w:bottom w:val="single" w:sz="4" w:space="0" w:color="000000"/>
            </w:tcBorders>
            <w:vAlign w:val="center"/>
          </w:tcPr>
          <w:p>
            <w:pPr>
              <w:pStyle w:val="TableContents"/>
              <w:rPr/>
            </w:pPr>
            <w:r>
              <w:rPr/>
              <w:t>4100</w:t>
            </w:r>
          </w:p>
        </w:tc>
        <w:tc>
          <w:tcPr>
            <w:tcW w:w="568" w:type="dxa"/>
            <w:tcBorders>
              <w:start w:val="single" w:sz="4" w:space="0" w:color="000000"/>
              <w:bottom w:val="single" w:sz="4" w:space="0" w:color="000000"/>
            </w:tcBorders>
            <w:vAlign w:val="center"/>
          </w:tcPr>
          <w:p>
            <w:pPr>
              <w:pStyle w:val="TableContents"/>
              <w:rPr/>
            </w:pPr>
            <w:r>
              <w:rPr/>
              <w:t>81.7</w:t>
            </w:r>
          </w:p>
        </w:tc>
        <w:tc>
          <w:tcPr>
            <w:tcW w:w="533" w:type="dxa"/>
            <w:tcBorders>
              <w:start w:val="single" w:sz="4" w:space="0" w:color="000000"/>
              <w:bottom w:val="single" w:sz="4" w:space="0" w:color="000000"/>
            </w:tcBorders>
            <w:vAlign w:val="center"/>
          </w:tcPr>
          <w:p>
            <w:pPr>
              <w:pStyle w:val="TableContents"/>
              <w:rPr/>
            </w:pPr>
            <w:r>
              <w:rPr/>
              <w:t>N/A</w:t>
            </w:r>
          </w:p>
        </w:tc>
        <w:tc>
          <w:tcPr>
            <w:tcW w:w="1006" w:type="dxa"/>
            <w:tcBorders>
              <w:start w:val="single" w:sz="4" w:space="0" w:color="000000"/>
              <w:bottom w:val="single" w:sz="4" w:space="0" w:color="000000"/>
            </w:tcBorders>
            <w:vAlign w:val="center"/>
          </w:tcPr>
          <w:p>
            <w:pPr>
              <w:pStyle w:val="TableContents"/>
              <w:rPr/>
            </w:pPr>
            <w:r>
              <w:rPr/>
              <w:t>90</w:t>
            </w:r>
          </w:p>
        </w:tc>
        <w:tc>
          <w:tcPr>
            <w:tcW w:w="1037" w:type="dxa"/>
            <w:tcBorders>
              <w:start w:val="single" w:sz="4" w:space="0" w:color="000000"/>
              <w:bottom w:val="single" w:sz="4" w:space="0" w:color="000000"/>
            </w:tcBorders>
            <w:vAlign w:val="center"/>
          </w:tcPr>
          <w:p>
            <w:pPr>
              <w:pStyle w:val="TableContents"/>
              <w:rPr/>
            </w:pPr>
            <w:r>
              <w:rPr/>
              <w:t>Off</w:t>
            </w:r>
          </w:p>
        </w:tc>
        <w:tc>
          <w:tcPr>
            <w:tcW w:w="1451" w:type="dxa"/>
            <w:tcBorders>
              <w:start w:val="single" w:sz="4" w:space="0" w:color="000000"/>
              <w:bottom w:val="single" w:sz="4" w:space="0" w:color="000000"/>
            </w:tcBorders>
            <w:vAlign w:val="center"/>
          </w:tcPr>
          <w:p>
            <w:pPr>
              <w:pStyle w:val="TableContents"/>
              <w:rPr/>
            </w:pPr>
            <w:r>
              <w:rPr/>
              <w:t>3</w:t>
            </w:r>
          </w:p>
        </w:tc>
        <w:tc>
          <w:tcPr>
            <w:tcW w:w="1546" w:type="dxa"/>
            <w:tcBorders>
              <w:start w:val="single" w:sz="4" w:space="0" w:color="000000"/>
              <w:bottom w:val="single" w:sz="4" w:space="0" w:color="000000"/>
              <w:end w:val="single" w:sz="4" w:space="0" w:color="000000"/>
            </w:tcBorders>
            <w:vAlign w:val="center"/>
          </w:tcPr>
          <w:p>
            <w:pPr>
              <w:pStyle w:val="TableContents"/>
              <w:rPr/>
            </w:pPr>
            <w:r>
              <w:rPr/>
              <w:t>5.5/8</w:t>
            </w:r>
          </w:p>
        </w:tc>
      </w:tr>
      <w:tr>
        <w:trPr/>
        <w:tc>
          <w:tcPr>
            <w:tcW w:w="724" w:type="dxa"/>
            <w:tcBorders>
              <w:start w:val="single" w:sz="4" w:space="0" w:color="000000"/>
              <w:bottom w:val="single" w:sz="4" w:space="0" w:color="000000"/>
            </w:tcBorders>
            <w:vAlign w:val="center"/>
          </w:tcPr>
          <w:p>
            <w:pPr>
              <w:pStyle w:val="TableContents"/>
              <w:rPr/>
            </w:pPr>
            <w:r>
              <w:rPr>
                <w:rStyle w:val="Strong"/>
              </w:rPr>
              <w:t>fMRI</w:t>
            </w:r>
          </w:p>
        </w:tc>
        <w:tc>
          <w:tcPr>
            <w:tcW w:w="622" w:type="dxa"/>
            <w:tcBorders>
              <w:start w:val="single" w:sz="4" w:space="0" w:color="000000"/>
              <w:bottom w:val="single" w:sz="4" w:space="0" w:color="000000"/>
            </w:tcBorders>
            <w:vAlign w:val="center"/>
          </w:tcPr>
          <w:p>
            <w:pPr>
              <w:pStyle w:val="TableContents"/>
              <w:rPr/>
            </w:pPr>
            <w:r>
              <w:rPr/>
              <w:t>90x90</w:t>
            </w:r>
          </w:p>
        </w:tc>
        <w:tc>
          <w:tcPr>
            <w:tcW w:w="453" w:type="dxa"/>
            <w:tcBorders>
              <w:start w:val="single" w:sz="4" w:space="0" w:color="000000"/>
              <w:bottom w:val="single" w:sz="4" w:space="0" w:color="000000"/>
            </w:tcBorders>
            <w:vAlign w:val="center"/>
          </w:tcPr>
          <w:p>
            <w:pPr>
              <w:pStyle w:val="TableContents"/>
              <w:rPr/>
            </w:pPr>
            <w:r>
              <w:rPr/>
              <w:t>60</w:t>
            </w:r>
          </w:p>
        </w:tc>
        <w:tc>
          <w:tcPr>
            <w:tcW w:w="631" w:type="dxa"/>
            <w:tcBorders>
              <w:start w:val="single" w:sz="4" w:space="0" w:color="000000"/>
              <w:bottom w:val="single" w:sz="4" w:space="0" w:color="000000"/>
            </w:tcBorders>
            <w:vAlign w:val="center"/>
          </w:tcPr>
          <w:p>
            <w:pPr>
              <w:pStyle w:val="TableContents"/>
              <w:rPr/>
            </w:pPr>
            <w:r>
              <w:rPr/>
              <w:t>216x216</w:t>
            </w:r>
          </w:p>
        </w:tc>
        <w:tc>
          <w:tcPr>
            <w:tcW w:w="670" w:type="dxa"/>
            <w:tcBorders>
              <w:start w:val="single" w:sz="4" w:space="0" w:color="000000"/>
              <w:bottom w:val="single" w:sz="4" w:space="0" w:color="000000"/>
            </w:tcBorders>
            <w:vAlign w:val="center"/>
          </w:tcPr>
          <w:p>
            <w:pPr>
              <w:pStyle w:val="TableContents"/>
              <w:rPr/>
            </w:pPr>
            <w:r>
              <w:rPr/>
              <w:t>100%</w:t>
            </w:r>
          </w:p>
        </w:tc>
        <w:tc>
          <w:tcPr>
            <w:tcW w:w="1047" w:type="dxa"/>
            <w:tcBorders>
              <w:start w:val="single" w:sz="4" w:space="0" w:color="000000"/>
              <w:bottom w:val="single" w:sz="4" w:space="0" w:color="000000"/>
            </w:tcBorders>
            <w:vAlign w:val="center"/>
          </w:tcPr>
          <w:p>
            <w:pPr>
              <w:pStyle w:val="TableContents"/>
              <w:rPr/>
            </w:pPr>
            <w:r>
              <w:rPr/>
              <w:t>2.4x2.4x2.4</w:t>
            </w:r>
          </w:p>
        </w:tc>
        <w:tc>
          <w:tcPr>
            <w:tcW w:w="571" w:type="dxa"/>
            <w:tcBorders>
              <w:start w:val="single" w:sz="4" w:space="0" w:color="000000"/>
              <w:bottom w:val="single" w:sz="4" w:space="0" w:color="000000"/>
            </w:tcBorders>
            <w:vAlign w:val="center"/>
          </w:tcPr>
          <w:p>
            <w:pPr>
              <w:pStyle w:val="TableContents"/>
              <w:rPr/>
            </w:pPr>
            <w:r>
              <w:rPr/>
              <w:t>800</w:t>
            </w:r>
          </w:p>
        </w:tc>
        <w:tc>
          <w:tcPr>
            <w:tcW w:w="568" w:type="dxa"/>
            <w:tcBorders>
              <w:start w:val="single" w:sz="4" w:space="0" w:color="000000"/>
              <w:bottom w:val="single" w:sz="4" w:space="0" w:color="000000"/>
            </w:tcBorders>
            <w:vAlign w:val="center"/>
          </w:tcPr>
          <w:p>
            <w:pPr>
              <w:pStyle w:val="TableContents"/>
              <w:rPr/>
            </w:pPr>
            <w:r>
              <w:rPr/>
              <w:t>30</w:t>
            </w:r>
          </w:p>
        </w:tc>
        <w:tc>
          <w:tcPr>
            <w:tcW w:w="533" w:type="dxa"/>
            <w:tcBorders>
              <w:start w:val="single" w:sz="4" w:space="0" w:color="000000"/>
              <w:bottom w:val="single" w:sz="4" w:space="0" w:color="000000"/>
            </w:tcBorders>
            <w:vAlign w:val="center"/>
          </w:tcPr>
          <w:p>
            <w:pPr>
              <w:pStyle w:val="TableContents"/>
              <w:rPr/>
            </w:pPr>
            <w:r>
              <w:rPr/>
              <w:t>N/A</w:t>
            </w:r>
          </w:p>
        </w:tc>
        <w:tc>
          <w:tcPr>
            <w:tcW w:w="1006" w:type="dxa"/>
            <w:tcBorders>
              <w:start w:val="single" w:sz="4" w:space="0" w:color="000000"/>
              <w:bottom w:val="single" w:sz="4" w:space="0" w:color="000000"/>
            </w:tcBorders>
            <w:vAlign w:val="center"/>
          </w:tcPr>
          <w:p>
            <w:pPr>
              <w:pStyle w:val="TableContents"/>
              <w:rPr/>
            </w:pPr>
            <w:r>
              <w:rPr/>
              <w:t>52</w:t>
            </w:r>
          </w:p>
        </w:tc>
        <w:tc>
          <w:tcPr>
            <w:tcW w:w="1037" w:type="dxa"/>
            <w:tcBorders>
              <w:start w:val="single" w:sz="4" w:space="0" w:color="000000"/>
              <w:bottom w:val="single" w:sz="4" w:space="0" w:color="000000"/>
            </w:tcBorders>
            <w:vAlign w:val="center"/>
          </w:tcPr>
          <w:p>
            <w:pPr>
              <w:pStyle w:val="TableContents"/>
              <w:rPr/>
            </w:pPr>
            <w:r>
              <w:rPr/>
              <w:t>Off</w:t>
            </w:r>
          </w:p>
        </w:tc>
        <w:tc>
          <w:tcPr>
            <w:tcW w:w="1451" w:type="dxa"/>
            <w:tcBorders>
              <w:start w:val="single" w:sz="4" w:space="0" w:color="000000"/>
              <w:bottom w:val="single" w:sz="4" w:space="0" w:color="000000"/>
            </w:tcBorders>
            <w:vAlign w:val="center"/>
          </w:tcPr>
          <w:p>
            <w:pPr>
              <w:pStyle w:val="TableContents"/>
              <w:rPr/>
            </w:pPr>
            <w:r>
              <w:rPr/>
              <w:t>6</w:t>
            </w:r>
          </w:p>
        </w:tc>
        <w:tc>
          <w:tcPr>
            <w:tcW w:w="1546" w:type="dxa"/>
            <w:tcBorders>
              <w:start w:val="single" w:sz="4" w:space="0" w:color="000000"/>
              <w:bottom w:val="single" w:sz="4" w:space="0" w:color="000000"/>
              <w:end w:val="single" w:sz="4" w:space="0" w:color="000000"/>
            </w:tcBorders>
            <w:vAlign w:val="center"/>
          </w:tcPr>
          <w:p>
            <w:pPr>
              <w:pStyle w:val="TableContents"/>
              <w:rPr/>
            </w:pPr>
            <w:r>
              <w:rPr/>
              <w:t>Off</w:t>
            </w:r>
          </w:p>
        </w:tc>
      </w:tr>
    </w:tbl>
    <w:p>
      <w:pPr>
        <w:pStyle w:val="Normal"/>
        <w:rPr>
          <w:sz w:val="14"/>
          <w:szCs w:val="14"/>
        </w:rPr>
      </w:pPr>
      <w:r>
        <w:rPr>
          <w:sz w:val="14"/>
          <w:szCs w:val="14"/>
        </w:rPr>
      </w:r>
    </w:p>
    <w:p>
      <w:pPr>
        <w:pStyle w:val="Normal"/>
        <w:rPr>
          <w:sz w:val="20"/>
          <w:szCs w:val="20"/>
        </w:rPr>
      </w:pPr>
      <w:r>
        <w:rPr>
          <w:sz w:val="20"/>
          <w:szCs w:val="20"/>
        </w:rPr>
      </w:r>
    </w:p>
    <w:p>
      <w:pPr>
        <w:pStyle w:val="Normal"/>
        <w:rPr>
          <w:i/>
          <w:i/>
          <w:iCs/>
          <w:sz w:val="20"/>
          <w:szCs w:val="20"/>
        </w:rPr>
      </w:pPr>
      <w:r>
        <w:rPr>
          <w:i/>
          <w:iCs/>
          <w:sz w:val="20"/>
          <w:szCs w:val="20"/>
        </w:rPr>
        <w:t>Diffusion Weight Imaging (all platforms)</w:t>
      </w:r>
    </w:p>
    <w:p>
      <w:pPr>
        <w:pStyle w:val="Normal"/>
        <w:rPr>
          <w:sz w:val="20"/>
          <w:szCs w:val="20"/>
        </w:rPr>
      </w:pPr>
      <w:r>
        <w:rPr>
          <w:sz w:val="20"/>
          <w:szCs w:val="20"/>
        </w:rPr>
      </w:r>
    </w:p>
    <w:p>
      <w:pPr>
        <w:pStyle w:val="Normal"/>
        <w:rPr>
          <w:sz w:val="18"/>
          <w:szCs w:val="18"/>
        </w:rPr>
      </w:pPr>
      <w:r>
        <w:rPr>
          <w:sz w:val="18"/>
          <w:szCs w:val="18"/>
        </w:rPr>
        <w:t>Diffusion directions: 96</w:t>
      </w:r>
    </w:p>
    <w:p>
      <w:pPr>
        <w:pStyle w:val="Normal"/>
        <w:rPr>
          <w:sz w:val="18"/>
          <w:szCs w:val="18"/>
        </w:rPr>
      </w:pPr>
      <w:r>
        <w:rPr>
          <w:sz w:val="18"/>
          <w:szCs w:val="18"/>
        </w:rPr>
        <w:t>b-values: 500 (6-dirs) 1000 (15-dirs) 2000 (15-dirs) 3000 (60-dirs)</w:t>
      </w:r>
    </w:p>
    <w:p>
      <w:pPr>
        <w:pStyle w:val="Normal"/>
        <w:rPr>
          <w:i/>
          <w:i/>
          <w:iCs/>
          <w:sz w:val="20"/>
          <w:szCs w:val="20"/>
        </w:rPr>
      </w:pPr>
      <w:r>
        <w:rPr>
          <w:i/>
          <w:iCs/>
          <w:sz w:val="20"/>
          <w:szCs w:val="20"/>
        </w:rPr>
        <w:t>Diffusion Weight Imaging Product Reference Table</w:t>
      </w:r>
    </w:p>
    <w:p>
      <w:pPr>
        <w:pStyle w:val="Normal"/>
        <w:rPr>
          <w:sz w:val="18"/>
          <w:szCs w:val="18"/>
        </w:rPr>
      </w:pPr>
      <w:r>
        <w:rPr>
          <w:sz w:val="18"/>
          <w:szCs w:val="18"/>
        </w:rPr>
      </w:r>
    </w:p>
    <w:tbl>
      <w:tblPr>
        <w:tblW w:w="9644" w:type="dxa"/>
        <w:jc w:val="start"/>
        <w:tblInd w:w="0" w:type="dxa"/>
        <w:tblLayout w:type="fixed"/>
        <w:tblCellMar>
          <w:top w:w="0" w:type="dxa"/>
          <w:start w:w="30" w:type="dxa"/>
          <w:bottom w:w="0" w:type="dxa"/>
          <w:end w:w="30" w:type="dxa"/>
        </w:tblCellMar>
      </w:tblPr>
      <w:tblGrid>
        <w:gridCol w:w="2990"/>
        <w:gridCol w:w="1062"/>
        <w:gridCol w:w="927"/>
        <w:gridCol w:w="923"/>
        <w:gridCol w:w="923"/>
        <w:gridCol w:w="924"/>
        <w:gridCol w:w="922"/>
        <w:gridCol w:w="971"/>
      </w:tblGrid>
      <w:tr>
        <w:trPr>
          <w:trHeight w:val="285" w:hRule="atLeast"/>
        </w:trPr>
        <w:tc>
          <w:tcPr>
            <w:tcW w:w="2990" w:type="dxa"/>
            <w:tcBorders/>
            <w:vAlign w:val="bottom"/>
          </w:tcPr>
          <w:p>
            <w:pPr>
              <w:pStyle w:val="Normal"/>
              <w:tabs>
                <w:tab w:val="clear" w:pos="11340"/>
              </w:tabs>
              <w:jc w:val="center"/>
              <w:rPr>
                <w:rFonts w:ascii="Arial" w:hAnsi="Arial"/>
                <w:b/>
                <w:sz w:val="18"/>
                <w:szCs w:val="18"/>
              </w:rPr>
            </w:pPr>
            <w:r>
              <w:rPr>
                <w:b/>
                <w:sz w:val="18"/>
                <w:szCs w:val="18"/>
              </w:rPr>
            </w:r>
          </w:p>
        </w:tc>
        <w:tc>
          <w:tcPr>
            <w:tcW w:w="1062" w:type="dxa"/>
            <w:tcBorders/>
            <w:vAlign w:val="bottom"/>
          </w:tcPr>
          <w:p>
            <w:pPr>
              <w:pStyle w:val="Normal"/>
              <w:tabs>
                <w:tab w:val="clear" w:pos="11340"/>
              </w:tabs>
              <w:jc w:val="center"/>
              <w:rPr>
                <w:rFonts w:ascii="Arial" w:hAnsi="Arial"/>
                <w:b/>
                <w:sz w:val="18"/>
                <w:szCs w:val="18"/>
              </w:rPr>
            </w:pPr>
            <w:r>
              <w:rPr>
                <w:b/>
                <w:sz w:val="18"/>
                <w:szCs w:val="18"/>
              </w:rPr>
            </w:r>
          </w:p>
        </w:tc>
        <w:tc>
          <w:tcPr>
            <w:tcW w:w="2773" w:type="dxa"/>
            <w:gridSpan w:val="3"/>
            <w:tcBorders/>
            <w:vAlign w:val="bottom"/>
          </w:tcPr>
          <w:p>
            <w:pPr>
              <w:pStyle w:val="Normal"/>
              <w:tabs>
                <w:tab w:val="clear" w:pos="11340"/>
              </w:tabs>
              <w:jc w:val="center"/>
              <w:rPr>
                <w:sz w:val="18"/>
                <w:szCs w:val="18"/>
              </w:rPr>
            </w:pPr>
            <w:r>
              <w:rPr>
                <w:b/>
                <w:sz w:val="18"/>
                <w:szCs w:val="18"/>
              </w:rPr>
              <w:t>Voxel dimensions (mm)</w:t>
            </w:r>
          </w:p>
        </w:tc>
        <w:tc>
          <w:tcPr>
            <w:tcW w:w="2817" w:type="dxa"/>
            <w:gridSpan w:val="3"/>
            <w:tcBorders/>
            <w:vAlign w:val="bottom"/>
          </w:tcPr>
          <w:p>
            <w:pPr>
              <w:pStyle w:val="Normal"/>
              <w:tabs>
                <w:tab w:val="clear" w:pos="11340"/>
              </w:tabs>
              <w:jc w:val="center"/>
              <w:rPr>
                <w:sz w:val="18"/>
                <w:szCs w:val="18"/>
              </w:rPr>
            </w:pPr>
            <w:r>
              <w:rPr>
                <w:b/>
                <w:sz w:val="18"/>
                <w:szCs w:val="18"/>
              </w:rPr>
              <w:t>Image grid (# voxels)</w:t>
            </w:r>
          </w:p>
        </w:tc>
      </w:tr>
      <w:tr>
        <w:trPr>
          <w:trHeight w:val="285" w:hRule="atLeast"/>
        </w:trPr>
        <w:tc>
          <w:tcPr>
            <w:tcW w:w="2990" w:type="dxa"/>
            <w:tcBorders/>
            <w:vAlign w:val="bottom"/>
          </w:tcPr>
          <w:p>
            <w:pPr>
              <w:pStyle w:val="Normal"/>
              <w:tabs>
                <w:tab w:val="clear" w:pos="11340"/>
              </w:tabs>
              <w:jc w:val="center"/>
              <w:rPr>
                <w:sz w:val="18"/>
                <w:szCs w:val="18"/>
              </w:rPr>
            </w:pPr>
            <w:r>
              <w:rPr>
                <w:b/>
                <w:sz w:val="18"/>
                <w:szCs w:val="18"/>
              </w:rPr>
              <w:t>Product</w:t>
            </w:r>
          </w:p>
        </w:tc>
        <w:tc>
          <w:tcPr>
            <w:tcW w:w="1062" w:type="dxa"/>
            <w:tcBorders/>
            <w:vAlign w:val="bottom"/>
          </w:tcPr>
          <w:p>
            <w:pPr>
              <w:pStyle w:val="Normal"/>
              <w:tabs>
                <w:tab w:val="clear" w:pos="11340"/>
              </w:tabs>
              <w:jc w:val="center"/>
              <w:rPr>
                <w:sz w:val="18"/>
                <w:szCs w:val="18"/>
              </w:rPr>
            </w:pPr>
            <w:r>
              <w:rPr>
                <w:b/>
                <w:sz w:val="18"/>
                <w:szCs w:val="18"/>
              </w:rPr>
              <w:t>Orientation</w:t>
            </w:r>
          </w:p>
        </w:tc>
        <w:tc>
          <w:tcPr>
            <w:tcW w:w="927" w:type="dxa"/>
            <w:tcBorders/>
            <w:vAlign w:val="bottom"/>
          </w:tcPr>
          <w:p>
            <w:pPr>
              <w:pStyle w:val="Normal"/>
              <w:tabs>
                <w:tab w:val="clear" w:pos="11340"/>
              </w:tabs>
              <w:jc w:val="center"/>
              <w:rPr>
                <w:sz w:val="18"/>
                <w:szCs w:val="18"/>
              </w:rPr>
            </w:pPr>
            <w:r>
              <w:rPr>
                <w:b/>
                <w:sz w:val="18"/>
                <w:szCs w:val="18"/>
              </w:rPr>
              <w:t>x</w:t>
            </w:r>
          </w:p>
        </w:tc>
        <w:tc>
          <w:tcPr>
            <w:tcW w:w="923" w:type="dxa"/>
            <w:tcBorders/>
            <w:vAlign w:val="bottom"/>
          </w:tcPr>
          <w:p>
            <w:pPr>
              <w:pStyle w:val="Normal"/>
              <w:tabs>
                <w:tab w:val="clear" w:pos="11340"/>
              </w:tabs>
              <w:jc w:val="center"/>
              <w:rPr>
                <w:sz w:val="18"/>
                <w:szCs w:val="18"/>
              </w:rPr>
            </w:pPr>
            <w:r>
              <w:rPr>
                <w:b/>
                <w:sz w:val="18"/>
                <w:szCs w:val="18"/>
              </w:rPr>
              <w:t>y</w:t>
            </w:r>
          </w:p>
        </w:tc>
        <w:tc>
          <w:tcPr>
            <w:tcW w:w="923" w:type="dxa"/>
            <w:tcBorders/>
            <w:vAlign w:val="bottom"/>
          </w:tcPr>
          <w:p>
            <w:pPr>
              <w:pStyle w:val="Normal"/>
              <w:tabs>
                <w:tab w:val="clear" w:pos="11340"/>
              </w:tabs>
              <w:jc w:val="center"/>
              <w:rPr>
                <w:sz w:val="18"/>
                <w:szCs w:val="18"/>
              </w:rPr>
            </w:pPr>
            <w:r>
              <w:rPr>
                <w:b/>
                <w:sz w:val="18"/>
                <w:szCs w:val="18"/>
              </w:rPr>
              <w:t>z</w:t>
            </w:r>
          </w:p>
        </w:tc>
        <w:tc>
          <w:tcPr>
            <w:tcW w:w="924" w:type="dxa"/>
            <w:tcBorders/>
            <w:vAlign w:val="bottom"/>
          </w:tcPr>
          <w:p>
            <w:pPr>
              <w:pStyle w:val="Normal"/>
              <w:tabs>
                <w:tab w:val="clear" w:pos="11340"/>
              </w:tabs>
              <w:jc w:val="center"/>
              <w:rPr>
                <w:sz w:val="18"/>
                <w:szCs w:val="18"/>
              </w:rPr>
            </w:pPr>
            <w:r>
              <w:rPr>
                <w:b/>
                <w:sz w:val="18"/>
                <w:szCs w:val="18"/>
              </w:rPr>
              <w:t>x</w:t>
            </w:r>
          </w:p>
        </w:tc>
        <w:tc>
          <w:tcPr>
            <w:tcW w:w="922" w:type="dxa"/>
            <w:tcBorders/>
            <w:vAlign w:val="bottom"/>
          </w:tcPr>
          <w:p>
            <w:pPr>
              <w:pStyle w:val="Normal"/>
              <w:tabs>
                <w:tab w:val="clear" w:pos="11340"/>
              </w:tabs>
              <w:jc w:val="center"/>
              <w:rPr>
                <w:sz w:val="18"/>
                <w:szCs w:val="18"/>
              </w:rPr>
            </w:pPr>
            <w:r>
              <w:rPr>
                <w:b/>
                <w:sz w:val="18"/>
                <w:szCs w:val="18"/>
              </w:rPr>
              <w:t>y</w:t>
            </w:r>
          </w:p>
        </w:tc>
        <w:tc>
          <w:tcPr>
            <w:tcW w:w="971" w:type="dxa"/>
            <w:tcBorders/>
            <w:vAlign w:val="bottom"/>
          </w:tcPr>
          <w:p>
            <w:pPr>
              <w:pStyle w:val="Normal"/>
              <w:tabs>
                <w:tab w:val="clear" w:pos="11340"/>
              </w:tabs>
              <w:jc w:val="center"/>
              <w:rPr>
                <w:sz w:val="18"/>
                <w:szCs w:val="18"/>
              </w:rPr>
            </w:pPr>
            <w:r>
              <w:rPr>
                <w:b/>
                <w:sz w:val="18"/>
                <w:szCs w:val="18"/>
              </w:rPr>
              <w:t>z</w:t>
            </w:r>
          </w:p>
        </w:tc>
      </w:tr>
      <w:tr>
        <w:trPr>
          <w:trHeight w:val="285" w:hRule="atLeast"/>
        </w:trPr>
        <w:tc>
          <w:tcPr>
            <w:tcW w:w="2990" w:type="dxa"/>
            <w:tcBorders/>
            <w:vAlign w:val="bottom"/>
          </w:tcPr>
          <w:p>
            <w:pPr>
              <w:pStyle w:val="Normal"/>
              <w:tabs>
                <w:tab w:val="clear" w:pos="11340"/>
              </w:tabs>
              <w:jc w:val="center"/>
              <w:rPr>
                <w:sz w:val="18"/>
                <w:szCs w:val="18"/>
              </w:rPr>
            </w:pPr>
            <w:r>
              <w:rPr>
                <w:sz w:val="18"/>
                <w:szCs w:val="18"/>
              </w:rPr>
              <w:t>QSIPrep (T1w)</w:t>
            </w:r>
          </w:p>
        </w:tc>
        <w:tc>
          <w:tcPr>
            <w:tcW w:w="1062" w:type="dxa"/>
            <w:tcBorders/>
            <w:vAlign w:val="bottom"/>
          </w:tcPr>
          <w:p>
            <w:pPr>
              <w:pStyle w:val="Normal"/>
              <w:tabs>
                <w:tab w:val="clear" w:pos="11340"/>
              </w:tabs>
              <w:jc w:val="center"/>
              <w:rPr>
                <w:rFonts w:ascii="Arial" w:hAnsi="Arial"/>
                <w:sz w:val="18"/>
                <w:szCs w:val="18"/>
              </w:rPr>
            </w:pPr>
            <w:r>
              <w:rPr>
                <w:sz w:val="18"/>
                <w:szCs w:val="18"/>
              </w:rPr>
              <w:t>LPS</w:t>
            </w:r>
          </w:p>
        </w:tc>
        <w:tc>
          <w:tcPr>
            <w:tcW w:w="927" w:type="dxa"/>
            <w:tcBorders/>
            <w:vAlign w:val="bottom"/>
          </w:tcPr>
          <w:p>
            <w:pPr>
              <w:pStyle w:val="Normal"/>
              <w:tabs>
                <w:tab w:val="clear" w:pos="11340"/>
              </w:tabs>
              <w:jc w:val="center"/>
              <w:rPr>
                <w:rFonts w:ascii="Arial" w:hAnsi="Arial"/>
                <w:sz w:val="18"/>
                <w:szCs w:val="18"/>
              </w:rPr>
            </w:pPr>
            <w:r>
              <w:rPr>
                <w:sz w:val="18"/>
                <w:szCs w:val="18"/>
              </w:rPr>
              <w:t>1.00</w:t>
            </w:r>
          </w:p>
        </w:tc>
        <w:tc>
          <w:tcPr>
            <w:tcW w:w="923" w:type="dxa"/>
            <w:tcBorders/>
            <w:vAlign w:val="bottom"/>
          </w:tcPr>
          <w:p>
            <w:pPr>
              <w:pStyle w:val="Normal"/>
              <w:tabs>
                <w:tab w:val="clear" w:pos="11340"/>
              </w:tabs>
              <w:jc w:val="center"/>
              <w:rPr>
                <w:rFonts w:ascii="Arial" w:hAnsi="Arial"/>
                <w:sz w:val="18"/>
                <w:szCs w:val="18"/>
              </w:rPr>
            </w:pPr>
            <w:r>
              <w:rPr>
                <w:sz w:val="18"/>
                <w:szCs w:val="18"/>
              </w:rPr>
              <w:t>1.00</w:t>
            </w:r>
          </w:p>
        </w:tc>
        <w:tc>
          <w:tcPr>
            <w:tcW w:w="923" w:type="dxa"/>
            <w:tcBorders/>
            <w:vAlign w:val="bottom"/>
          </w:tcPr>
          <w:p>
            <w:pPr>
              <w:pStyle w:val="Normal"/>
              <w:tabs>
                <w:tab w:val="clear" w:pos="11340"/>
              </w:tabs>
              <w:jc w:val="center"/>
              <w:rPr>
                <w:rFonts w:ascii="Arial" w:hAnsi="Arial"/>
                <w:sz w:val="18"/>
                <w:szCs w:val="18"/>
              </w:rPr>
            </w:pPr>
            <w:r>
              <w:rPr>
                <w:sz w:val="18"/>
                <w:szCs w:val="18"/>
              </w:rPr>
              <w:t>1.00</w:t>
            </w:r>
          </w:p>
        </w:tc>
        <w:tc>
          <w:tcPr>
            <w:tcW w:w="924" w:type="dxa"/>
            <w:tcBorders/>
            <w:vAlign w:val="bottom"/>
          </w:tcPr>
          <w:p>
            <w:pPr>
              <w:pStyle w:val="Normal"/>
              <w:tabs>
                <w:tab w:val="clear" w:pos="11340"/>
              </w:tabs>
              <w:jc w:val="center"/>
              <w:rPr>
                <w:rFonts w:ascii="Arial" w:hAnsi="Arial"/>
                <w:sz w:val="18"/>
                <w:szCs w:val="18"/>
              </w:rPr>
            </w:pPr>
            <w:r>
              <w:rPr>
                <w:sz w:val="18"/>
                <w:szCs w:val="18"/>
              </w:rPr>
              <w:t>193</w:t>
            </w:r>
          </w:p>
        </w:tc>
        <w:tc>
          <w:tcPr>
            <w:tcW w:w="922" w:type="dxa"/>
            <w:tcBorders/>
            <w:vAlign w:val="bottom"/>
          </w:tcPr>
          <w:p>
            <w:pPr>
              <w:pStyle w:val="Normal"/>
              <w:tabs>
                <w:tab w:val="clear" w:pos="11340"/>
              </w:tabs>
              <w:jc w:val="center"/>
              <w:rPr>
                <w:rFonts w:ascii="Arial" w:hAnsi="Arial"/>
                <w:sz w:val="18"/>
                <w:szCs w:val="18"/>
              </w:rPr>
            </w:pPr>
            <w:r>
              <w:rPr>
                <w:sz w:val="18"/>
                <w:szCs w:val="18"/>
              </w:rPr>
              <w:t>229</w:t>
            </w:r>
          </w:p>
        </w:tc>
        <w:tc>
          <w:tcPr>
            <w:tcW w:w="971" w:type="dxa"/>
            <w:tcBorders/>
            <w:vAlign w:val="bottom"/>
          </w:tcPr>
          <w:p>
            <w:pPr>
              <w:pStyle w:val="Normal"/>
              <w:tabs>
                <w:tab w:val="clear" w:pos="11340"/>
              </w:tabs>
              <w:jc w:val="center"/>
              <w:rPr>
                <w:rFonts w:ascii="Arial" w:hAnsi="Arial"/>
                <w:sz w:val="18"/>
                <w:szCs w:val="18"/>
              </w:rPr>
            </w:pPr>
            <w:r>
              <w:rPr>
                <w:sz w:val="18"/>
                <w:szCs w:val="18"/>
              </w:rPr>
              <w:t>193</w:t>
            </w:r>
          </w:p>
        </w:tc>
      </w:tr>
      <w:tr>
        <w:trPr>
          <w:trHeight w:val="285" w:hRule="atLeast"/>
        </w:trPr>
        <w:tc>
          <w:tcPr>
            <w:tcW w:w="2990" w:type="dxa"/>
            <w:tcBorders/>
            <w:vAlign w:val="bottom"/>
          </w:tcPr>
          <w:p>
            <w:pPr>
              <w:pStyle w:val="Normal"/>
              <w:tabs>
                <w:tab w:val="clear" w:pos="11340"/>
              </w:tabs>
              <w:jc w:val="center"/>
              <w:rPr>
                <w:sz w:val="18"/>
                <w:szCs w:val="18"/>
              </w:rPr>
            </w:pPr>
            <w:r>
              <w:rPr>
                <w:sz w:val="18"/>
                <w:szCs w:val="18"/>
              </w:rPr>
              <w:t>QSIPrep (DWI)</w:t>
            </w:r>
          </w:p>
        </w:tc>
        <w:tc>
          <w:tcPr>
            <w:tcW w:w="1062" w:type="dxa"/>
            <w:tcBorders/>
            <w:vAlign w:val="bottom"/>
          </w:tcPr>
          <w:p>
            <w:pPr>
              <w:pStyle w:val="Normal"/>
              <w:tabs>
                <w:tab w:val="clear" w:pos="11340"/>
              </w:tabs>
              <w:jc w:val="center"/>
              <w:rPr>
                <w:rFonts w:ascii="Arial" w:hAnsi="Arial"/>
                <w:sz w:val="18"/>
                <w:szCs w:val="18"/>
              </w:rPr>
            </w:pPr>
            <w:r>
              <w:rPr>
                <w:sz w:val="18"/>
                <w:szCs w:val="18"/>
              </w:rPr>
              <w:t>LPS</w:t>
            </w:r>
          </w:p>
        </w:tc>
        <w:tc>
          <w:tcPr>
            <w:tcW w:w="927" w:type="dxa"/>
            <w:tcBorders/>
            <w:vAlign w:val="bottom"/>
          </w:tcPr>
          <w:p>
            <w:pPr>
              <w:pStyle w:val="Normal"/>
              <w:tabs>
                <w:tab w:val="clear" w:pos="11340"/>
              </w:tabs>
              <w:jc w:val="center"/>
              <w:rPr>
                <w:rFonts w:ascii="Arial" w:hAnsi="Arial"/>
                <w:sz w:val="18"/>
                <w:szCs w:val="18"/>
              </w:rPr>
            </w:pPr>
            <w:r>
              <w:rPr>
                <w:sz w:val="18"/>
                <w:szCs w:val="18"/>
              </w:rPr>
              <w:t>1.70</w:t>
            </w:r>
          </w:p>
        </w:tc>
        <w:tc>
          <w:tcPr>
            <w:tcW w:w="923" w:type="dxa"/>
            <w:tcBorders/>
            <w:vAlign w:val="bottom"/>
          </w:tcPr>
          <w:p>
            <w:pPr>
              <w:pStyle w:val="Normal"/>
              <w:tabs>
                <w:tab w:val="clear" w:pos="11340"/>
              </w:tabs>
              <w:jc w:val="center"/>
              <w:rPr>
                <w:rFonts w:ascii="Arial" w:hAnsi="Arial"/>
                <w:sz w:val="18"/>
                <w:szCs w:val="18"/>
              </w:rPr>
            </w:pPr>
            <w:r>
              <w:rPr>
                <w:sz w:val="18"/>
                <w:szCs w:val="18"/>
              </w:rPr>
              <w:t>1.70</w:t>
            </w:r>
          </w:p>
        </w:tc>
        <w:tc>
          <w:tcPr>
            <w:tcW w:w="923" w:type="dxa"/>
            <w:tcBorders/>
            <w:vAlign w:val="bottom"/>
          </w:tcPr>
          <w:p>
            <w:pPr>
              <w:pStyle w:val="Normal"/>
              <w:tabs>
                <w:tab w:val="clear" w:pos="11340"/>
              </w:tabs>
              <w:jc w:val="center"/>
              <w:rPr>
                <w:rFonts w:ascii="Arial" w:hAnsi="Arial"/>
                <w:sz w:val="18"/>
                <w:szCs w:val="18"/>
              </w:rPr>
            </w:pPr>
            <w:r>
              <w:rPr>
                <w:sz w:val="18"/>
                <w:szCs w:val="18"/>
              </w:rPr>
              <w:t>1.70</w:t>
            </w:r>
          </w:p>
        </w:tc>
        <w:tc>
          <w:tcPr>
            <w:tcW w:w="924" w:type="dxa"/>
            <w:tcBorders/>
            <w:vAlign w:val="bottom"/>
          </w:tcPr>
          <w:p>
            <w:pPr>
              <w:pStyle w:val="Normal"/>
              <w:tabs>
                <w:tab w:val="clear" w:pos="11340"/>
              </w:tabs>
              <w:jc w:val="center"/>
              <w:rPr>
                <w:rFonts w:ascii="Arial" w:hAnsi="Arial"/>
                <w:sz w:val="18"/>
                <w:szCs w:val="18"/>
              </w:rPr>
            </w:pPr>
            <w:r>
              <w:rPr>
                <w:sz w:val="18"/>
                <w:szCs w:val="18"/>
              </w:rPr>
              <w:t>95</w:t>
            </w:r>
          </w:p>
        </w:tc>
        <w:tc>
          <w:tcPr>
            <w:tcW w:w="922" w:type="dxa"/>
            <w:tcBorders/>
            <w:vAlign w:val="bottom"/>
          </w:tcPr>
          <w:p>
            <w:pPr>
              <w:pStyle w:val="Normal"/>
              <w:tabs>
                <w:tab w:val="clear" w:pos="11340"/>
              </w:tabs>
              <w:jc w:val="center"/>
              <w:rPr>
                <w:rFonts w:ascii="Arial" w:hAnsi="Arial"/>
                <w:sz w:val="18"/>
                <w:szCs w:val="18"/>
              </w:rPr>
            </w:pPr>
            <w:r>
              <w:rPr>
                <w:sz w:val="18"/>
                <w:szCs w:val="18"/>
              </w:rPr>
              <w:t>116</w:t>
            </w:r>
          </w:p>
        </w:tc>
        <w:tc>
          <w:tcPr>
            <w:tcW w:w="971" w:type="dxa"/>
            <w:tcBorders/>
            <w:vAlign w:val="bottom"/>
          </w:tcPr>
          <w:p>
            <w:pPr>
              <w:pStyle w:val="Normal"/>
              <w:tabs>
                <w:tab w:val="clear" w:pos="11340"/>
              </w:tabs>
              <w:jc w:val="center"/>
              <w:rPr>
                <w:rFonts w:ascii="Arial" w:hAnsi="Arial"/>
                <w:sz w:val="18"/>
                <w:szCs w:val="18"/>
              </w:rPr>
            </w:pPr>
            <w:r>
              <w:rPr>
                <w:sz w:val="18"/>
                <w:szCs w:val="18"/>
              </w:rPr>
              <w:t>101</w:t>
            </w:r>
          </w:p>
        </w:tc>
      </w:tr>
      <w:tr>
        <w:trPr>
          <w:trHeight w:val="285" w:hRule="atLeast"/>
        </w:trPr>
        <w:tc>
          <w:tcPr>
            <w:tcW w:w="2990" w:type="dxa"/>
            <w:tcBorders/>
            <w:vAlign w:val="bottom"/>
          </w:tcPr>
          <w:p>
            <w:pPr>
              <w:pStyle w:val="Normal"/>
              <w:tabs>
                <w:tab w:val="clear" w:pos="11340"/>
              </w:tabs>
              <w:jc w:val="center"/>
              <w:rPr>
                <w:sz w:val="18"/>
                <w:szCs w:val="18"/>
              </w:rPr>
            </w:pPr>
            <w:r>
              <w:rPr>
                <w:sz w:val="18"/>
                <w:szCs w:val="18"/>
              </w:rPr>
              <w:t>QSIRecon-FSL (DWI)</w:t>
            </w:r>
          </w:p>
        </w:tc>
        <w:tc>
          <w:tcPr>
            <w:tcW w:w="1062" w:type="dxa"/>
            <w:tcBorders/>
            <w:vAlign w:val="bottom"/>
          </w:tcPr>
          <w:p>
            <w:pPr>
              <w:pStyle w:val="Normal"/>
              <w:tabs>
                <w:tab w:val="clear" w:pos="11340"/>
              </w:tabs>
              <w:jc w:val="center"/>
              <w:rPr>
                <w:rFonts w:ascii="Arial" w:hAnsi="Arial"/>
                <w:sz w:val="18"/>
                <w:szCs w:val="18"/>
              </w:rPr>
            </w:pPr>
            <w:r>
              <w:rPr>
                <w:sz w:val="18"/>
                <w:szCs w:val="18"/>
              </w:rPr>
              <w:t>LAS</w:t>
            </w:r>
          </w:p>
        </w:tc>
        <w:tc>
          <w:tcPr>
            <w:tcW w:w="927" w:type="dxa"/>
            <w:tcBorders/>
            <w:vAlign w:val="bottom"/>
          </w:tcPr>
          <w:p>
            <w:pPr>
              <w:pStyle w:val="Normal"/>
              <w:tabs>
                <w:tab w:val="clear" w:pos="11340"/>
              </w:tabs>
              <w:jc w:val="center"/>
              <w:rPr>
                <w:rFonts w:ascii="Arial" w:hAnsi="Arial"/>
                <w:sz w:val="18"/>
                <w:szCs w:val="18"/>
              </w:rPr>
            </w:pPr>
            <w:r>
              <w:rPr>
                <w:sz w:val="18"/>
                <w:szCs w:val="18"/>
              </w:rPr>
              <w:t>1.70</w:t>
            </w:r>
          </w:p>
        </w:tc>
        <w:tc>
          <w:tcPr>
            <w:tcW w:w="923" w:type="dxa"/>
            <w:tcBorders/>
            <w:vAlign w:val="bottom"/>
          </w:tcPr>
          <w:p>
            <w:pPr>
              <w:pStyle w:val="Normal"/>
              <w:tabs>
                <w:tab w:val="clear" w:pos="11340"/>
              </w:tabs>
              <w:jc w:val="center"/>
              <w:rPr>
                <w:rFonts w:ascii="Arial" w:hAnsi="Arial"/>
                <w:sz w:val="18"/>
                <w:szCs w:val="18"/>
              </w:rPr>
            </w:pPr>
            <w:r>
              <w:rPr>
                <w:sz w:val="18"/>
                <w:szCs w:val="18"/>
              </w:rPr>
              <w:t>1.70</w:t>
            </w:r>
          </w:p>
        </w:tc>
        <w:tc>
          <w:tcPr>
            <w:tcW w:w="923" w:type="dxa"/>
            <w:tcBorders/>
            <w:vAlign w:val="bottom"/>
          </w:tcPr>
          <w:p>
            <w:pPr>
              <w:pStyle w:val="Normal"/>
              <w:tabs>
                <w:tab w:val="clear" w:pos="11340"/>
              </w:tabs>
              <w:jc w:val="center"/>
              <w:rPr>
                <w:rFonts w:ascii="Arial" w:hAnsi="Arial"/>
                <w:sz w:val="18"/>
                <w:szCs w:val="18"/>
              </w:rPr>
            </w:pPr>
            <w:r>
              <w:rPr>
                <w:sz w:val="18"/>
                <w:szCs w:val="18"/>
              </w:rPr>
              <w:t>1.70</w:t>
            </w:r>
          </w:p>
        </w:tc>
        <w:tc>
          <w:tcPr>
            <w:tcW w:w="924" w:type="dxa"/>
            <w:tcBorders/>
            <w:vAlign w:val="bottom"/>
          </w:tcPr>
          <w:p>
            <w:pPr>
              <w:pStyle w:val="Normal"/>
              <w:tabs>
                <w:tab w:val="clear" w:pos="11340"/>
              </w:tabs>
              <w:jc w:val="center"/>
              <w:rPr>
                <w:rFonts w:ascii="Arial" w:hAnsi="Arial"/>
                <w:sz w:val="18"/>
                <w:szCs w:val="18"/>
              </w:rPr>
            </w:pPr>
            <w:r>
              <w:rPr>
                <w:sz w:val="18"/>
                <w:szCs w:val="18"/>
              </w:rPr>
              <w:t>95</w:t>
            </w:r>
          </w:p>
        </w:tc>
        <w:tc>
          <w:tcPr>
            <w:tcW w:w="922" w:type="dxa"/>
            <w:tcBorders/>
            <w:vAlign w:val="bottom"/>
          </w:tcPr>
          <w:p>
            <w:pPr>
              <w:pStyle w:val="Normal"/>
              <w:tabs>
                <w:tab w:val="clear" w:pos="11340"/>
              </w:tabs>
              <w:jc w:val="center"/>
              <w:rPr>
                <w:rFonts w:ascii="Arial" w:hAnsi="Arial"/>
                <w:sz w:val="18"/>
                <w:szCs w:val="18"/>
              </w:rPr>
            </w:pPr>
            <w:r>
              <w:rPr>
                <w:sz w:val="18"/>
                <w:szCs w:val="18"/>
              </w:rPr>
              <w:t>116</w:t>
            </w:r>
          </w:p>
        </w:tc>
        <w:tc>
          <w:tcPr>
            <w:tcW w:w="971" w:type="dxa"/>
            <w:tcBorders/>
            <w:vAlign w:val="bottom"/>
          </w:tcPr>
          <w:p>
            <w:pPr>
              <w:pStyle w:val="Normal"/>
              <w:tabs>
                <w:tab w:val="clear" w:pos="11340"/>
              </w:tabs>
              <w:jc w:val="center"/>
              <w:rPr>
                <w:rFonts w:ascii="Arial" w:hAnsi="Arial"/>
                <w:sz w:val="18"/>
                <w:szCs w:val="18"/>
              </w:rPr>
            </w:pPr>
            <w:r>
              <w:rPr>
                <w:sz w:val="18"/>
                <w:szCs w:val="18"/>
              </w:rPr>
              <w:t>101</w:t>
            </w:r>
          </w:p>
        </w:tc>
      </w:tr>
      <w:tr>
        <w:trPr>
          <w:trHeight w:val="285" w:hRule="atLeast"/>
        </w:trPr>
        <w:tc>
          <w:tcPr>
            <w:tcW w:w="2990" w:type="dxa"/>
            <w:tcBorders/>
            <w:vAlign w:val="bottom"/>
          </w:tcPr>
          <w:p>
            <w:pPr>
              <w:pStyle w:val="Normal"/>
              <w:tabs>
                <w:tab w:val="clear" w:pos="11340"/>
              </w:tabs>
              <w:jc w:val="center"/>
              <w:rPr>
                <w:sz w:val="18"/>
                <w:szCs w:val="18"/>
              </w:rPr>
            </w:pPr>
            <w:r>
              <w:rPr>
                <w:sz w:val="18"/>
                <w:szCs w:val="18"/>
              </w:rPr>
              <w:t>QSIRecon-FSL (split_shells)</w:t>
            </w:r>
          </w:p>
        </w:tc>
        <w:tc>
          <w:tcPr>
            <w:tcW w:w="1062" w:type="dxa"/>
            <w:tcBorders/>
            <w:vAlign w:val="bottom"/>
          </w:tcPr>
          <w:p>
            <w:pPr>
              <w:pStyle w:val="Normal"/>
              <w:tabs>
                <w:tab w:val="clear" w:pos="11340"/>
              </w:tabs>
              <w:jc w:val="center"/>
              <w:rPr>
                <w:rFonts w:ascii="Arial" w:hAnsi="Arial"/>
                <w:sz w:val="18"/>
                <w:szCs w:val="18"/>
              </w:rPr>
            </w:pPr>
            <w:r>
              <w:rPr>
                <w:sz w:val="18"/>
                <w:szCs w:val="18"/>
              </w:rPr>
              <w:t>LAS</w:t>
            </w:r>
          </w:p>
        </w:tc>
        <w:tc>
          <w:tcPr>
            <w:tcW w:w="927" w:type="dxa"/>
            <w:tcBorders/>
            <w:vAlign w:val="bottom"/>
          </w:tcPr>
          <w:p>
            <w:pPr>
              <w:pStyle w:val="Normal"/>
              <w:tabs>
                <w:tab w:val="clear" w:pos="11340"/>
              </w:tabs>
              <w:jc w:val="center"/>
              <w:rPr>
                <w:rFonts w:ascii="Arial" w:hAnsi="Arial"/>
                <w:sz w:val="18"/>
                <w:szCs w:val="18"/>
              </w:rPr>
            </w:pPr>
            <w:r>
              <w:rPr>
                <w:sz w:val="18"/>
                <w:szCs w:val="18"/>
              </w:rPr>
              <w:t>1.70</w:t>
            </w:r>
          </w:p>
        </w:tc>
        <w:tc>
          <w:tcPr>
            <w:tcW w:w="923" w:type="dxa"/>
            <w:tcBorders/>
            <w:vAlign w:val="bottom"/>
          </w:tcPr>
          <w:p>
            <w:pPr>
              <w:pStyle w:val="Normal"/>
              <w:tabs>
                <w:tab w:val="clear" w:pos="11340"/>
              </w:tabs>
              <w:jc w:val="center"/>
              <w:rPr>
                <w:rFonts w:ascii="Arial" w:hAnsi="Arial"/>
                <w:sz w:val="18"/>
                <w:szCs w:val="18"/>
              </w:rPr>
            </w:pPr>
            <w:r>
              <w:rPr>
                <w:sz w:val="18"/>
                <w:szCs w:val="18"/>
              </w:rPr>
              <w:t>1.70</w:t>
            </w:r>
          </w:p>
        </w:tc>
        <w:tc>
          <w:tcPr>
            <w:tcW w:w="923" w:type="dxa"/>
            <w:tcBorders/>
            <w:vAlign w:val="bottom"/>
          </w:tcPr>
          <w:p>
            <w:pPr>
              <w:pStyle w:val="Normal"/>
              <w:tabs>
                <w:tab w:val="clear" w:pos="11340"/>
              </w:tabs>
              <w:jc w:val="center"/>
              <w:rPr>
                <w:rFonts w:ascii="Arial" w:hAnsi="Arial"/>
                <w:sz w:val="18"/>
                <w:szCs w:val="18"/>
              </w:rPr>
            </w:pPr>
            <w:r>
              <w:rPr>
                <w:sz w:val="18"/>
                <w:szCs w:val="18"/>
              </w:rPr>
              <w:t>1.70</w:t>
            </w:r>
          </w:p>
        </w:tc>
        <w:tc>
          <w:tcPr>
            <w:tcW w:w="924" w:type="dxa"/>
            <w:tcBorders/>
            <w:vAlign w:val="bottom"/>
          </w:tcPr>
          <w:p>
            <w:pPr>
              <w:pStyle w:val="Normal"/>
              <w:tabs>
                <w:tab w:val="clear" w:pos="11340"/>
              </w:tabs>
              <w:jc w:val="center"/>
              <w:rPr>
                <w:rFonts w:ascii="Arial" w:hAnsi="Arial"/>
                <w:sz w:val="18"/>
                <w:szCs w:val="18"/>
              </w:rPr>
            </w:pPr>
            <w:r>
              <w:rPr>
                <w:sz w:val="18"/>
                <w:szCs w:val="18"/>
              </w:rPr>
              <w:t>95</w:t>
            </w:r>
          </w:p>
        </w:tc>
        <w:tc>
          <w:tcPr>
            <w:tcW w:w="922" w:type="dxa"/>
            <w:tcBorders/>
            <w:vAlign w:val="bottom"/>
          </w:tcPr>
          <w:p>
            <w:pPr>
              <w:pStyle w:val="Normal"/>
              <w:tabs>
                <w:tab w:val="clear" w:pos="11340"/>
              </w:tabs>
              <w:jc w:val="center"/>
              <w:rPr>
                <w:rFonts w:ascii="Arial" w:hAnsi="Arial"/>
                <w:sz w:val="18"/>
                <w:szCs w:val="18"/>
              </w:rPr>
            </w:pPr>
            <w:r>
              <w:rPr>
                <w:sz w:val="18"/>
                <w:szCs w:val="18"/>
              </w:rPr>
              <w:t>116</w:t>
            </w:r>
          </w:p>
        </w:tc>
        <w:tc>
          <w:tcPr>
            <w:tcW w:w="971" w:type="dxa"/>
            <w:tcBorders/>
            <w:vAlign w:val="bottom"/>
          </w:tcPr>
          <w:p>
            <w:pPr>
              <w:pStyle w:val="Normal"/>
              <w:tabs>
                <w:tab w:val="clear" w:pos="11340"/>
              </w:tabs>
              <w:jc w:val="center"/>
              <w:rPr>
                <w:rFonts w:ascii="Arial" w:hAnsi="Arial"/>
                <w:sz w:val="18"/>
                <w:szCs w:val="18"/>
              </w:rPr>
            </w:pPr>
            <w:r>
              <w:rPr>
                <w:sz w:val="18"/>
                <w:szCs w:val="18"/>
              </w:rPr>
              <w:t>101</w:t>
            </w:r>
          </w:p>
        </w:tc>
      </w:tr>
      <w:tr>
        <w:trPr>
          <w:trHeight w:val="285" w:hRule="atLeast"/>
        </w:trPr>
        <w:tc>
          <w:tcPr>
            <w:tcW w:w="2990" w:type="dxa"/>
            <w:tcBorders/>
            <w:vAlign w:val="bottom"/>
          </w:tcPr>
          <w:p>
            <w:pPr>
              <w:pStyle w:val="Normal"/>
              <w:tabs>
                <w:tab w:val="clear" w:pos="11340"/>
              </w:tabs>
              <w:jc w:val="center"/>
              <w:rPr>
                <w:sz w:val="18"/>
                <w:szCs w:val="18"/>
              </w:rPr>
            </w:pPr>
            <w:r>
              <w:rPr>
                <w:sz w:val="18"/>
                <w:szCs w:val="18"/>
              </w:rPr>
              <w:t>QSIRecon-FSL (dtifit)</w:t>
            </w:r>
          </w:p>
        </w:tc>
        <w:tc>
          <w:tcPr>
            <w:tcW w:w="1062" w:type="dxa"/>
            <w:tcBorders/>
            <w:vAlign w:val="bottom"/>
          </w:tcPr>
          <w:p>
            <w:pPr>
              <w:pStyle w:val="Normal"/>
              <w:tabs>
                <w:tab w:val="clear" w:pos="11340"/>
              </w:tabs>
              <w:jc w:val="center"/>
              <w:rPr>
                <w:rFonts w:ascii="Arial" w:hAnsi="Arial"/>
                <w:sz w:val="18"/>
                <w:szCs w:val="18"/>
              </w:rPr>
            </w:pPr>
            <w:r>
              <w:rPr>
                <w:sz w:val="18"/>
                <w:szCs w:val="18"/>
              </w:rPr>
              <w:t>LAS</w:t>
            </w:r>
          </w:p>
        </w:tc>
        <w:tc>
          <w:tcPr>
            <w:tcW w:w="927" w:type="dxa"/>
            <w:tcBorders/>
            <w:vAlign w:val="bottom"/>
          </w:tcPr>
          <w:p>
            <w:pPr>
              <w:pStyle w:val="Normal"/>
              <w:tabs>
                <w:tab w:val="clear" w:pos="11340"/>
              </w:tabs>
              <w:jc w:val="center"/>
              <w:rPr>
                <w:rFonts w:ascii="Arial" w:hAnsi="Arial"/>
                <w:sz w:val="18"/>
                <w:szCs w:val="18"/>
              </w:rPr>
            </w:pPr>
            <w:r>
              <w:rPr>
                <w:sz w:val="18"/>
                <w:szCs w:val="18"/>
              </w:rPr>
              <w:t>1.70</w:t>
            </w:r>
          </w:p>
        </w:tc>
        <w:tc>
          <w:tcPr>
            <w:tcW w:w="923" w:type="dxa"/>
            <w:tcBorders/>
            <w:vAlign w:val="bottom"/>
          </w:tcPr>
          <w:p>
            <w:pPr>
              <w:pStyle w:val="Normal"/>
              <w:tabs>
                <w:tab w:val="clear" w:pos="11340"/>
              </w:tabs>
              <w:jc w:val="center"/>
              <w:rPr>
                <w:rFonts w:ascii="Arial" w:hAnsi="Arial"/>
                <w:sz w:val="18"/>
                <w:szCs w:val="18"/>
              </w:rPr>
            </w:pPr>
            <w:r>
              <w:rPr>
                <w:sz w:val="18"/>
                <w:szCs w:val="18"/>
              </w:rPr>
              <w:t>1.70</w:t>
            </w:r>
          </w:p>
        </w:tc>
        <w:tc>
          <w:tcPr>
            <w:tcW w:w="923" w:type="dxa"/>
            <w:tcBorders/>
            <w:vAlign w:val="bottom"/>
          </w:tcPr>
          <w:p>
            <w:pPr>
              <w:pStyle w:val="Normal"/>
              <w:tabs>
                <w:tab w:val="clear" w:pos="11340"/>
              </w:tabs>
              <w:jc w:val="center"/>
              <w:rPr>
                <w:rFonts w:ascii="Arial" w:hAnsi="Arial"/>
                <w:sz w:val="18"/>
                <w:szCs w:val="18"/>
              </w:rPr>
            </w:pPr>
            <w:r>
              <w:rPr>
                <w:sz w:val="18"/>
                <w:szCs w:val="18"/>
              </w:rPr>
              <w:t>1.70</w:t>
            </w:r>
          </w:p>
        </w:tc>
        <w:tc>
          <w:tcPr>
            <w:tcW w:w="924" w:type="dxa"/>
            <w:tcBorders/>
            <w:vAlign w:val="bottom"/>
          </w:tcPr>
          <w:p>
            <w:pPr>
              <w:pStyle w:val="Normal"/>
              <w:tabs>
                <w:tab w:val="clear" w:pos="11340"/>
              </w:tabs>
              <w:jc w:val="center"/>
              <w:rPr>
                <w:rFonts w:ascii="Arial" w:hAnsi="Arial"/>
                <w:sz w:val="18"/>
                <w:szCs w:val="18"/>
              </w:rPr>
            </w:pPr>
            <w:r>
              <w:rPr>
                <w:sz w:val="18"/>
                <w:szCs w:val="18"/>
              </w:rPr>
              <w:t>95</w:t>
            </w:r>
          </w:p>
        </w:tc>
        <w:tc>
          <w:tcPr>
            <w:tcW w:w="922" w:type="dxa"/>
            <w:tcBorders/>
            <w:vAlign w:val="bottom"/>
          </w:tcPr>
          <w:p>
            <w:pPr>
              <w:pStyle w:val="Normal"/>
              <w:tabs>
                <w:tab w:val="clear" w:pos="11340"/>
              </w:tabs>
              <w:jc w:val="center"/>
              <w:rPr>
                <w:rFonts w:ascii="Arial" w:hAnsi="Arial"/>
                <w:sz w:val="18"/>
                <w:szCs w:val="18"/>
              </w:rPr>
            </w:pPr>
            <w:r>
              <w:rPr>
                <w:sz w:val="18"/>
                <w:szCs w:val="18"/>
              </w:rPr>
              <w:t>116</w:t>
            </w:r>
          </w:p>
        </w:tc>
        <w:tc>
          <w:tcPr>
            <w:tcW w:w="971" w:type="dxa"/>
            <w:tcBorders/>
            <w:vAlign w:val="bottom"/>
          </w:tcPr>
          <w:p>
            <w:pPr>
              <w:pStyle w:val="Normal"/>
              <w:tabs>
                <w:tab w:val="clear" w:pos="11340"/>
              </w:tabs>
              <w:jc w:val="center"/>
              <w:rPr>
                <w:rFonts w:ascii="Arial" w:hAnsi="Arial"/>
                <w:sz w:val="18"/>
                <w:szCs w:val="18"/>
              </w:rPr>
            </w:pPr>
            <w:r>
              <w:rPr>
                <w:sz w:val="18"/>
                <w:szCs w:val="18"/>
              </w:rPr>
              <w:t>101</w:t>
            </w:r>
          </w:p>
        </w:tc>
      </w:tr>
      <w:tr>
        <w:trPr>
          <w:trHeight w:val="285" w:hRule="atLeast"/>
        </w:trPr>
        <w:tc>
          <w:tcPr>
            <w:tcW w:w="2990" w:type="dxa"/>
            <w:tcBorders/>
            <w:vAlign w:val="bottom"/>
          </w:tcPr>
          <w:p>
            <w:pPr>
              <w:pStyle w:val="Normal"/>
              <w:tabs>
                <w:tab w:val="clear" w:pos="11340"/>
              </w:tabs>
              <w:jc w:val="center"/>
              <w:rPr>
                <w:sz w:val="18"/>
                <w:szCs w:val="18"/>
              </w:rPr>
            </w:pPr>
            <w:r>
              <w:rPr>
                <w:sz w:val="18"/>
                <w:szCs w:val="18"/>
              </w:rPr>
              <w:t>postdtifit</w:t>
            </w:r>
          </w:p>
        </w:tc>
        <w:tc>
          <w:tcPr>
            <w:tcW w:w="1062" w:type="dxa"/>
            <w:tcBorders/>
            <w:vAlign w:val="bottom"/>
          </w:tcPr>
          <w:p>
            <w:pPr>
              <w:pStyle w:val="Normal"/>
              <w:tabs>
                <w:tab w:val="clear" w:pos="11340"/>
              </w:tabs>
              <w:jc w:val="center"/>
              <w:rPr>
                <w:rFonts w:ascii="Arial" w:hAnsi="Arial"/>
                <w:sz w:val="18"/>
                <w:szCs w:val="18"/>
              </w:rPr>
            </w:pPr>
            <w:r>
              <w:rPr>
                <w:sz w:val="18"/>
                <w:szCs w:val="18"/>
              </w:rPr>
              <w:t>LAS</w:t>
            </w:r>
          </w:p>
        </w:tc>
        <w:tc>
          <w:tcPr>
            <w:tcW w:w="927" w:type="dxa"/>
            <w:tcBorders/>
            <w:vAlign w:val="bottom"/>
          </w:tcPr>
          <w:p>
            <w:pPr>
              <w:pStyle w:val="Normal"/>
              <w:tabs>
                <w:tab w:val="clear" w:pos="11340"/>
              </w:tabs>
              <w:jc w:val="center"/>
              <w:rPr>
                <w:rFonts w:ascii="Arial" w:hAnsi="Arial"/>
                <w:sz w:val="18"/>
                <w:szCs w:val="18"/>
              </w:rPr>
            </w:pPr>
            <w:r>
              <w:rPr>
                <w:sz w:val="18"/>
                <w:szCs w:val="18"/>
              </w:rPr>
              <w:t>1.70</w:t>
            </w:r>
          </w:p>
        </w:tc>
        <w:tc>
          <w:tcPr>
            <w:tcW w:w="923" w:type="dxa"/>
            <w:tcBorders/>
            <w:vAlign w:val="bottom"/>
          </w:tcPr>
          <w:p>
            <w:pPr>
              <w:pStyle w:val="Normal"/>
              <w:tabs>
                <w:tab w:val="clear" w:pos="11340"/>
              </w:tabs>
              <w:jc w:val="center"/>
              <w:rPr>
                <w:rFonts w:ascii="Arial" w:hAnsi="Arial"/>
                <w:sz w:val="18"/>
                <w:szCs w:val="18"/>
              </w:rPr>
            </w:pPr>
            <w:r>
              <w:rPr>
                <w:sz w:val="18"/>
                <w:szCs w:val="18"/>
              </w:rPr>
              <w:t>1.70</w:t>
            </w:r>
          </w:p>
        </w:tc>
        <w:tc>
          <w:tcPr>
            <w:tcW w:w="923" w:type="dxa"/>
            <w:tcBorders/>
            <w:vAlign w:val="bottom"/>
          </w:tcPr>
          <w:p>
            <w:pPr>
              <w:pStyle w:val="Normal"/>
              <w:tabs>
                <w:tab w:val="clear" w:pos="11340"/>
              </w:tabs>
              <w:jc w:val="center"/>
              <w:rPr>
                <w:rFonts w:ascii="Arial" w:hAnsi="Arial"/>
                <w:sz w:val="18"/>
                <w:szCs w:val="18"/>
              </w:rPr>
            </w:pPr>
            <w:r>
              <w:rPr>
                <w:sz w:val="18"/>
                <w:szCs w:val="18"/>
              </w:rPr>
              <w:t>1.70</w:t>
            </w:r>
          </w:p>
        </w:tc>
        <w:tc>
          <w:tcPr>
            <w:tcW w:w="924" w:type="dxa"/>
            <w:tcBorders/>
            <w:vAlign w:val="bottom"/>
          </w:tcPr>
          <w:p>
            <w:pPr>
              <w:pStyle w:val="Normal"/>
              <w:tabs>
                <w:tab w:val="clear" w:pos="11340"/>
              </w:tabs>
              <w:jc w:val="center"/>
              <w:rPr>
                <w:rFonts w:ascii="Arial" w:hAnsi="Arial"/>
                <w:sz w:val="18"/>
                <w:szCs w:val="18"/>
              </w:rPr>
            </w:pPr>
            <w:r>
              <w:rPr>
                <w:sz w:val="18"/>
                <w:szCs w:val="18"/>
              </w:rPr>
              <w:t>95</w:t>
            </w:r>
          </w:p>
        </w:tc>
        <w:tc>
          <w:tcPr>
            <w:tcW w:w="922" w:type="dxa"/>
            <w:tcBorders/>
            <w:vAlign w:val="bottom"/>
          </w:tcPr>
          <w:p>
            <w:pPr>
              <w:pStyle w:val="Normal"/>
              <w:tabs>
                <w:tab w:val="clear" w:pos="11340"/>
              </w:tabs>
              <w:jc w:val="center"/>
              <w:rPr>
                <w:rFonts w:ascii="Arial" w:hAnsi="Arial"/>
                <w:sz w:val="18"/>
                <w:szCs w:val="18"/>
              </w:rPr>
            </w:pPr>
            <w:r>
              <w:rPr>
                <w:sz w:val="18"/>
                <w:szCs w:val="18"/>
              </w:rPr>
              <w:t>116</w:t>
            </w:r>
          </w:p>
        </w:tc>
        <w:tc>
          <w:tcPr>
            <w:tcW w:w="971" w:type="dxa"/>
            <w:tcBorders/>
            <w:vAlign w:val="bottom"/>
          </w:tcPr>
          <w:p>
            <w:pPr>
              <w:pStyle w:val="Normal"/>
              <w:tabs>
                <w:tab w:val="clear" w:pos="11340"/>
              </w:tabs>
              <w:jc w:val="center"/>
              <w:rPr>
                <w:rFonts w:ascii="Arial" w:hAnsi="Arial"/>
                <w:sz w:val="18"/>
                <w:szCs w:val="18"/>
              </w:rPr>
            </w:pPr>
            <w:r>
              <w:rPr>
                <w:sz w:val="18"/>
                <w:szCs w:val="18"/>
              </w:rPr>
              <w:t>101</w:t>
            </w:r>
          </w:p>
        </w:tc>
      </w:tr>
      <w:tr>
        <w:trPr>
          <w:trHeight w:val="285" w:hRule="atLeast"/>
        </w:trPr>
        <w:tc>
          <w:tcPr>
            <w:tcW w:w="2990" w:type="dxa"/>
            <w:tcBorders/>
            <w:vAlign w:val="bottom"/>
          </w:tcPr>
          <w:p>
            <w:pPr>
              <w:pStyle w:val="Normal"/>
              <w:tabs>
                <w:tab w:val="clear" w:pos="11340"/>
              </w:tabs>
              <w:jc w:val="center"/>
              <w:rPr>
                <w:sz w:val="18"/>
                <w:szCs w:val="18"/>
              </w:rPr>
            </w:pPr>
            <w:r>
              <w:rPr>
                <w:sz w:val="18"/>
                <w:szCs w:val="18"/>
              </w:rPr>
              <w:t>dwi_biomarker1 (move_masks)</w:t>
            </w:r>
          </w:p>
        </w:tc>
        <w:tc>
          <w:tcPr>
            <w:tcW w:w="1062" w:type="dxa"/>
            <w:tcBorders/>
            <w:vAlign w:val="bottom"/>
          </w:tcPr>
          <w:p>
            <w:pPr>
              <w:pStyle w:val="Normal"/>
              <w:tabs>
                <w:tab w:val="clear" w:pos="11340"/>
              </w:tabs>
              <w:jc w:val="center"/>
              <w:rPr>
                <w:rFonts w:ascii="Arial" w:hAnsi="Arial"/>
                <w:sz w:val="18"/>
                <w:szCs w:val="18"/>
              </w:rPr>
            </w:pPr>
            <w:r>
              <w:rPr>
                <w:sz w:val="18"/>
                <w:szCs w:val="18"/>
              </w:rPr>
              <w:t>LAS</w:t>
            </w:r>
          </w:p>
        </w:tc>
        <w:tc>
          <w:tcPr>
            <w:tcW w:w="927" w:type="dxa"/>
            <w:tcBorders/>
            <w:vAlign w:val="bottom"/>
          </w:tcPr>
          <w:p>
            <w:pPr>
              <w:pStyle w:val="Normal"/>
              <w:tabs>
                <w:tab w:val="clear" w:pos="11340"/>
              </w:tabs>
              <w:jc w:val="center"/>
              <w:rPr>
                <w:rFonts w:ascii="Arial" w:hAnsi="Arial"/>
                <w:sz w:val="18"/>
                <w:szCs w:val="18"/>
              </w:rPr>
            </w:pPr>
            <w:r>
              <w:rPr>
                <w:sz w:val="18"/>
                <w:szCs w:val="18"/>
              </w:rPr>
              <w:t>1.70</w:t>
            </w:r>
          </w:p>
        </w:tc>
        <w:tc>
          <w:tcPr>
            <w:tcW w:w="923" w:type="dxa"/>
            <w:tcBorders/>
            <w:vAlign w:val="bottom"/>
          </w:tcPr>
          <w:p>
            <w:pPr>
              <w:pStyle w:val="Normal"/>
              <w:tabs>
                <w:tab w:val="clear" w:pos="11340"/>
              </w:tabs>
              <w:jc w:val="center"/>
              <w:rPr>
                <w:rFonts w:ascii="Arial" w:hAnsi="Arial"/>
                <w:sz w:val="18"/>
                <w:szCs w:val="18"/>
              </w:rPr>
            </w:pPr>
            <w:r>
              <w:rPr>
                <w:sz w:val="18"/>
                <w:szCs w:val="18"/>
              </w:rPr>
              <w:t>1.70</w:t>
            </w:r>
          </w:p>
        </w:tc>
        <w:tc>
          <w:tcPr>
            <w:tcW w:w="923" w:type="dxa"/>
            <w:tcBorders/>
            <w:vAlign w:val="bottom"/>
          </w:tcPr>
          <w:p>
            <w:pPr>
              <w:pStyle w:val="Normal"/>
              <w:tabs>
                <w:tab w:val="clear" w:pos="11340"/>
              </w:tabs>
              <w:jc w:val="center"/>
              <w:rPr>
                <w:rFonts w:ascii="Arial" w:hAnsi="Arial"/>
                <w:sz w:val="18"/>
                <w:szCs w:val="18"/>
              </w:rPr>
            </w:pPr>
            <w:r>
              <w:rPr>
                <w:sz w:val="18"/>
                <w:szCs w:val="18"/>
              </w:rPr>
              <w:t>1.70</w:t>
            </w:r>
          </w:p>
        </w:tc>
        <w:tc>
          <w:tcPr>
            <w:tcW w:w="924" w:type="dxa"/>
            <w:tcBorders/>
            <w:vAlign w:val="bottom"/>
          </w:tcPr>
          <w:p>
            <w:pPr>
              <w:pStyle w:val="Normal"/>
              <w:tabs>
                <w:tab w:val="clear" w:pos="11340"/>
              </w:tabs>
              <w:jc w:val="center"/>
              <w:rPr>
                <w:rFonts w:ascii="Arial" w:hAnsi="Arial"/>
                <w:sz w:val="18"/>
                <w:szCs w:val="18"/>
              </w:rPr>
            </w:pPr>
            <w:r>
              <w:rPr>
                <w:sz w:val="18"/>
                <w:szCs w:val="18"/>
              </w:rPr>
              <w:t>95</w:t>
            </w:r>
          </w:p>
        </w:tc>
        <w:tc>
          <w:tcPr>
            <w:tcW w:w="922" w:type="dxa"/>
            <w:tcBorders/>
            <w:vAlign w:val="bottom"/>
          </w:tcPr>
          <w:p>
            <w:pPr>
              <w:pStyle w:val="Normal"/>
              <w:tabs>
                <w:tab w:val="clear" w:pos="11340"/>
              </w:tabs>
              <w:jc w:val="center"/>
              <w:rPr>
                <w:rFonts w:ascii="Arial" w:hAnsi="Arial"/>
                <w:sz w:val="18"/>
                <w:szCs w:val="18"/>
              </w:rPr>
            </w:pPr>
            <w:r>
              <w:rPr>
                <w:sz w:val="18"/>
                <w:szCs w:val="18"/>
              </w:rPr>
              <w:t>116</w:t>
            </w:r>
          </w:p>
        </w:tc>
        <w:tc>
          <w:tcPr>
            <w:tcW w:w="971" w:type="dxa"/>
            <w:tcBorders/>
            <w:vAlign w:val="bottom"/>
          </w:tcPr>
          <w:p>
            <w:pPr>
              <w:pStyle w:val="Normal"/>
              <w:tabs>
                <w:tab w:val="clear" w:pos="11340"/>
              </w:tabs>
              <w:jc w:val="center"/>
              <w:rPr>
                <w:rFonts w:ascii="Arial" w:hAnsi="Arial"/>
                <w:sz w:val="18"/>
                <w:szCs w:val="18"/>
              </w:rPr>
            </w:pPr>
            <w:r>
              <w:rPr>
                <w:sz w:val="18"/>
                <w:szCs w:val="18"/>
              </w:rPr>
              <w:t>101</w:t>
            </w:r>
          </w:p>
        </w:tc>
      </w:tr>
      <w:tr>
        <w:trPr>
          <w:trHeight w:val="285" w:hRule="atLeast"/>
        </w:trPr>
        <w:tc>
          <w:tcPr>
            <w:tcW w:w="2990" w:type="dxa"/>
            <w:tcBorders/>
            <w:vAlign w:val="bottom"/>
          </w:tcPr>
          <w:p>
            <w:pPr>
              <w:pStyle w:val="Normal"/>
              <w:tabs>
                <w:tab w:val="clear" w:pos="11340"/>
              </w:tabs>
              <w:jc w:val="center"/>
              <w:rPr>
                <w:rFonts w:ascii="Arial" w:hAnsi="Arial"/>
                <w:sz w:val="18"/>
                <w:szCs w:val="18"/>
              </w:rPr>
            </w:pPr>
            <w:r>
              <w:rPr>
                <w:sz w:val="18"/>
                <w:szCs w:val="18"/>
              </w:rPr>
              <w:t>dwi_biomarker1 (probtrackx)</w:t>
            </w:r>
          </w:p>
        </w:tc>
        <w:tc>
          <w:tcPr>
            <w:tcW w:w="1062" w:type="dxa"/>
            <w:tcBorders/>
            <w:vAlign w:val="bottom"/>
          </w:tcPr>
          <w:p>
            <w:pPr>
              <w:pStyle w:val="Normal"/>
              <w:tabs>
                <w:tab w:val="clear" w:pos="11340"/>
              </w:tabs>
              <w:jc w:val="center"/>
              <w:rPr>
                <w:rFonts w:ascii="Arial" w:hAnsi="Arial"/>
                <w:sz w:val="18"/>
                <w:szCs w:val="18"/>
              </w:rPr>
            </w:pPr>
            <w:r>
              <w:rPr>
                <w:sz w:val="18"/>
                <w:szCs w:val="18"/>
              </w:rPr>
              <w:t>LAS</w:t>
            </w:r>
          </w:p>
        </w:tc>
        <w:tc>
          <w:tcPr>
            <w:tcW w:w="927" w:type="dxa"/>
            <w:tcBorders/>
            <w:vAlign w:val="bottom"/>
          </w:tcPr>
          <w:p>
            <w:pPr>
              <w:pStyle w:val="Normal"/>
              <w:tabs>
                <w:tab w:val="clear" w:pos="11340"/>
              </w:tabs>
              <w:jc w:val="center"/>
              <w:rPr>
                <w:rFonts w:ascii="Arial" w:hAnsi="Arial"/>
                <w:sz w:val="18"/>
                <w:szCs w:val="18"/>
              </w:rPr>
            </w:pPr>
            <w:r>
              <w:rPr>
                <w:sz w:val="18"/>
                <w:szCs w:val="18"/>
              </w:rPr>
              <w:t>1.70</w:t>
            </w:r>
          </w:p>
        </w:tc>
        <w:tc>
          <w:tcPr>
            <w:tcW w:w="923" w:type="dxa"/>
            <w:tcBorders/>
            <w:vAlign w:val="bottom"/>
          </w:tcPr>
          <w:p>
            <w:pPr>
              <w:pStyle w:val="Normal"/>
              <w:tabs>
                <w:tab w:val="clear" w:pos="11340"/>
              </w:tabs>
              <w:jc w:val="center"/>
              <w:rPr>
                <w:rFonts w:ascii="Arial" w:hAnsi="Arial"/>
                <w:sz w:val="18"/>
                <w:szCs w:val="18"/>
              </w:rPr>
            </w:pPr>
            <w:r>
              <w:rPr>
                <w:sz w:val="18"/>
                <w:szCs w:val="18"/>
              </w:rPr>
              <w:t>1.70</w:t>
            </w:r>
          </w:p>
        </w:tc>
        <w:tc>
          <w:tcPr>
            <w:tcW w:w="923" w:type="dxa"/>
            <w:tcBorders/>
            <w:vAlign w:val="bottom"/>
          </w:tcPr>
          <w:p>
            <w:pPr>
              <w:pStyle w:val="Normal"/>
              <w:tabs>
                <w:tab w:val="clear" w:pos="11340"/>
              </w:tabs>
              <w:jc w:val="center"/>
              <w:rPr>
                <w:rFonts w:ascii="Arial" w:hAnsi="Arial"/>
                <w:sz w:val="18"/>
                <w:szCs w:val="18"/>
              </w:rPr>
            </w:pPr>
            <w:r>
              <w:rPr>
                <w:sz w:val="18"/>
                <w:szCs w:val="18"/>
              </w:rPr>
              <w:t>1.70</w:t>
            </w:r>
          </w:p>
        </w:tc>
        <w:tc>
          <w:tcPr>
            <w:tcW w:w="924" w:type="dxa"/>
            <w:tcBorders/>
            <w:vAlign w:val="bottom"/>
          </w:tcPr>
          <w:p>
            <w:pPr>
              <w:pStyle w:val="Normal"/>
              <w:tabs>
                <w:tab w:val="clear" w:pos="11340"/>
              </w:tabs>
              <w:jc w:val="center"/>
              <w:rPr>
                <w:rFonts w:ascii="Arial" w:hAnsi="Arial"/>
                <w:sz w:val="18"/>
                <w:szCs w:val="18"/>
              </w:rPr>
            </w:pPr>
            <w:r>
              <w:rPr>
                <w:sz w:val="18"/>
                <w:szCs w:val="18"/>
              </w:rPr>
              <w:t>95</w:t>
            </w:r>
          </w:p>
        </w:tc>
        <w:tc>
          <w:tcPr>
            <w:tcW w:w="922" w:type="dxa"/>
            <w:tcBorders/>
            <w:vAlign w:val="bottom"/>
          </w:tcPr>
          <w:p>
            <w:pPr>
              <w:pStyle w:val="Normal"/>
              <w:tabs>
                <w:tab w:val="clear" w:pos="11340"/>
              </w:tabs>
              <w:jc w:val="center"/>
              <w:rPr>
                <w:rFonts w:ascii="Arial" w:hAnsi="Arial"/>
                <w:sz w:val="18"/>
                <w:szCs w:val="18"/>
              </w:rPr>
            </w:pPr>
            <w:r>
              <w:rPr>
                <w:sz w:val="18"/>
                <w:szCs w:val="18"/>
              </w:rPr>
              <w:t>116</w:t>
            </w:r>
          </w:p>
        </w:tc>
        <w:tc>
          <w:tcPr>
            <w:tcW w:w="971" w:type="dxa"/>
            <w:tcBorders/>
            <w:vAlign w:val="bottom"/>
          </w:tcPr>
          <w:p>
            <w:pPr>
              <w:pStyle w:val="Normal"/>
              <w:tabs>
                <w:tab w:val="clear" w:pos="11340"/>
              </w:tabs>
              <w:jc w:val="center"/>
              <w:rPr>
                <w:rFonts w:ascii="Arial" w:hAnsi="Arial"/>
                <w:sz w:val="18"/>
                <w:szCs w:val="18"/>
              </w:rPr>
            </w:pPr>
            <w:r>
              <w:rPr>
                <w:sz w:val="18"/>
                <w:szCs w:val="18"/>
              </w:rPr>
              <w:t>101</w:t>
            </w:r>
          </w:p>
        </w:tc>
      </w:tr>
    </w:tbl>
    <w:p>
      <w:pPr>
        <w:pStyle w:val="Normal"/>
        <w:rPr/>
      </w:pPr>
      <w:r>
        <w:rPr/>
      </w:r>
    </w:p>
    <w:p>
      <w:pPr>
        <w:pStyle w:val="Normal"/>
        <w:rPr>
          <w:sz w:val="18"/>
          <w:szCs w:val="18"/>
        </w:rPr>
      </w:pPr>
      <w:r>
        <w:rPr>
          <w:sz w:val="18"/>
          <w:szCs w:val="18"/>
        </w:rPr>
      </w:r>
    </w:p>
    <w:sectPr>
      <w:headerReference w:type="even" r:id="rId31"/>
      <w:headerReference w:type="default" r:id="rId32"/>
      <w:headerReference w:type="first" r:id="rId33"/>
      <w:footnotePr>
        <w:numFmt w:val="decimal"/>
      </w:footnotePr>
      <w:type w:val="nextPage"/>
      <w:pgSz w:orient="landscape" w:w="15840" w:h="122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roman"/>
    <w:pitch w:val="variable"/>
  </w:font>
  <w:font w:name="Liberation Mono">
    <w:altName w:val="Courier New"/>
    <w:charset w:val="00" w:characterSet="windows-1252"/>
    <w:family w:val="roman"/>
    <w:pitch w:val="variable"/>
  </w:font>
  <w:font w:name="Consolas">
    <w:charset w:val="00" w:characterSet="windows-1252"/>
    <w:family w:val="roman"/>
    <w:pitch w:val="variable"/>
  </w:font>
  <w:font w:name="OpenSymbol">
    <w:altName w:val="Arial Unicode MS"/>
    <w:charset w:val="01"/>
    <w:family w:val="auto"/>
    <w:pitch w:val="variable"/>
  </w:font>
  <w:font w:name="Courier New">
    <w:charset w:val="01"/>
    <w:family w:val="modern"/>
    <w:pitch w:val="fixed"/>
  </w:font>
  <w:font w:name="Wingdings">
    <w:charset w:val="02"/>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BodyText"/>
        <w:spacing w:lineRule="auto" w:line="276" w:before="86" w:after="58"/>
        <w:rPr/>
      </w:pPr>
      <w:r>
        <w:rPr>
          <w:rStyle w:val="FootnoteCharacters"/>
        </w:rPr>
        <w:footnoteRef/>
      </w:r>
      <w:r>
        <w:rPr/>
        <w:t xml:space="preserve"> </w:t>
      </w:r>
      <w:r>
        <w:rPr/>
        <w:t>https://abcdstudy.org/wp-content/uploads/2021/05/ABCD_Website_MRI_Acq.pdf</w:t>
      </w:r>
    </w:p>
  </w:footnote>
  <w:footnote w:id="3">
    <w:p>
      <w:pPr>
        <w:pStyle w:val="FootnoteText"/>
        <w:rPr/>
      </w:pPr>
      <w:r>
        <w:rPr>
          <w:rStyle w:val="FootnoteCharacters"/>
        </w:rPr>
        <w:footnoteRef/>
      </w:r>
      <w:r>
        <w:rPr/>
        <w:tab/>
        <w:t xml:space="preserve">See “Site Specific Information”, </w:t>
      </w:r>
      <w:hyperlink r:id="rId1">
        <w:r>
          <w:rPr>
            <w:rStyle w:val="Hyperlink"/>
          </w:rPr>
          <w:t>https://a2cps.atlassian.net/wiki/spaces/DOC/pages/5406782/Site+Specific+Information</w:t>
        </w:r>
      </w:hyperlink>
      <w:r>
        <w:rPr/>
        <w:t xml:space="preserve">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i/>
        <w:i/>
        <w:iCs/>
        <w:sz w:val="20"/>
        <w:szCs w:val="20"/>
      </w:rPr>
    </w:pPr>
    <w:r>
      <w:rPr>
        <w:i/>
        <w:iCs/>
        <w:sz w:val="20"/>
        <w:szCs w:val="20"/>
      </w:rPr>
      <w:t>Updated 13-Jun-2025</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i/>
        <w:i/>
        <w:iCs/>
        <w:sz w:val="20"/>
        <w:szCs w:val="20"/>
      </w:rPr>
    </w:pPr>
    <w:r>
      <w:rPr>
        <w:i/>
        <w:iCs/>
        <w:sz w:val="20"/>
        <w:szCs w:val="20"/>
      </w:rPr>
      <w:t>Updated 13-Jun-2025</w:t>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i/>
        <w:i/>
        <w:iCs/>
        <w:sz w:val="20"/>
        <w:szCs w:val="20"/>
      </w:rPr>
    </w:pPr>
    <w:r>
      <w:rPr>
        <w:i/>
        <w:iCs/>
        <w:sz w:val="20"/>
        <w:szCs w:val="20"/>
      </w:rPr>
      <w:t>Updated 5-Jun-2025</w:t>
    </w:r>
  </w:p>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i/>
        <w:i/>
        <w:iCs/>
        <w:sz w:val="20"/>
        <w:szCs w:val="20"/>
      </w:rPr>
    </w:pPr>
    <w:r>
      <w:rPr>
        <w:i/>
        <w:iCs/>
        <w:sz w:val="20"/>
        <w:szCs w:val="20"/>
      </w:rPr>
      <w:t>Updated 5-Jun-2025</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956"/>
        </w:tabs>
        <w:ind w:start="956" w:hanging="360"/>
      </w:pPr>
      <w:rPr>
        <w:rFonts w:ascii="Symbol" w:hAnsi="Symbol" w:cs="Symbol" w:hint="default"/>
      </w:rPr>
    </w:lvl>
    <w:lvl w:ilvl="1">
      <w:start w:val="1"/>
      <w:numFmt w:val="bullet"/>
      <w:lvlText w:val="◦"/>
      <w:lvlJc w:val="start"/>
      <w:pPr>
        <w:tabs>
          <w:tab w:val="num" w:pos="1316"/>
        </w:tabs>
        <w:ind w:start="1316" w:hanging="360"/>
      </w:pPr>
      <w:rPr>
        <w:rFonts w:ascii="OpenSymbol" w:hAnsi="OpenSymbol" w:cs="OpenSymbol" w:hint="default"/>
      </w:rPr>
    </w:lvl>
    <w:lvl w:ilvl="2">
      <w:start w:val="1"/>
      <w:numFmt w:val="bullet"/>
      <w:lvlText w:val="▪"/>
      <w:lvlJc w:val="start"/>
      <w:pPr>
        <w:tabs>
          <w:tab w:val="num" w:pos="1676"/>
        </w:tabs>
        <w:ind w:start="1676" w:hanging="360"/>
      </w:pPr>
      <w:rPr>
        <w:rFonts w:ascii="OpenSymbol" w:hAnsi="OpenSymbol" w:cs="OpenSymbol" w:hint="default"/>
      </w:rPr>
    </w:lvl>
    <w:lvl w:ilvl="3">
      <w:start w:val="1"/>
      <w:numFmt w:val="bullet"/>
      <w:lvlText w:val=""/>
      <w:lvlJc w:val="start"/>
      <w:pPr>
        <w:tabs>
          <w:tab w:val="num" w:pos="2036"/>
        </w:tabs>
        <w:ind w:start="2036" w:hanging="360"/>
      </w:pPr>
      <w:rPr>
        <w:rFonts w:ascii="Symbol" w:hAnsi="Symbol" w:cs="Symbol" w:hint="default"/>
      </w:rPr>
    </w:lvl>
    <w:lvl w:ilvl="4">
      <w:start w:val="1"/>
      <w:numFmt w:val="bullet"/>
      <w:lvlText w:val="◦"/>
      <w:lvlJc w:val="start"/>
      <w:pPr>
        <w:tabs>
          <w:tab w:val="num" w:pos="2396"/>
        </w:tabs>
        <w:ind w:start="2396" w:hanging="360"/>
      </w:pPr>
      <w:rPr>
        <w:rFonts w:ascii="OpenSymbol" w:hAnsi="OpenSymbol" w:cs="OpenSymbol" w:hint="default"/>
      </w:rPr>
    </w:lvl>
    <w:lvl w:ilvl="5">
      <w:start w:val="1"/>
      <w:numFmt w:val="bullet"/>
      <w:lvlText w:val="▪"/>
      <w:lvlJc w:val="start"/>
      <w:pPr>
        <w:tabs>
          <w:tab w:val="num" w:pos="2756"/>
        </w:tabs>
        <w:ind w:start="2756" w:hanging="360"/>
      </w:pPr>
      <w:rPr>
        <w:rFonts w:ascii="OpenSymbol" w:hAnsi="OpenSymbol" w:cs="OpenSymbol" w:hint="default"/>
      </w:rPr>
    </w:lvl>
    <w:lvl w:ilvl="6">
      <w:start w:val="1"/>
      <w:numFmt w:val="bullet"/>
      <w:lvlText w:val=""/>
      <w:lvlJc w:val="start"/>
      <w:pPr>
        <w:tabs>
          <w:tab w:val="num" w:pos="3116"/>
        </w:tabs>
        <w:ind w:start="3116" w:hanging="360"/>
      </w:pPr>
      <w:rPr>
        <w:rFonts w:ascii="Symbol" w:hAnsi="Symbol" w:cs="Symbol" w:hint="default"/>
      </w:rPr>
    </w:lvl>
    <w:lvl w:ilvl="7">
      <w:start w:val="1"/>
      <w:numFmt w:val="bullet"/>
      <w:lvlText w:val="◦"/>
      <w:lvlJc w:val="start"/>
      <w:pPr>
        <w:tabs>
          <w:tab w:val="num" w:pos="3476"/>
        </w:tabs>
        <w:ind w:start="3476" w:hanging="360"/>
      </w:pPr>
      <w:rPr>
        <w:rFonts w:ascii="OpenSymbol" w:hAnsi="OpenSymbol" w:cs="OpenSymbol" w:hint="default"/>
      </w:rPr>
    </w:lvl>
    <w:lvl w:ilvl="8">
      <w:start w:val="1"/>
      <w:numFmt w:val="bullet"/>
      <w:lvlText w:val="▪"/>
      <w:lvlJc w:val="start"/>
      <w:pPr>
        <w:tabs>
          <w:tab w:val="num" w:pos="3836"/>
        </w:tabs>
        <w:ind w:start="3836"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780"/>
        </w:tabs>
        <w:ind w:start="780" w:hanging="360"/>
      </w:pPr>
      <w:rPr>
        <w:rFonts w:ascii="Symbol" w:hAnsi="Symbol" w:cs="Symbol" w:hint="default"/>
      </w:rPr>
    </w:lvl>
    <w:lvl w:ilvl="1">
      <w:start w:val="1"/>
      <w:numFmt w:val="bullet"/>
      <w:lvlText w:val="◦"/>
      <w:lvlJc w:val="start"/>
      <w:pPr>
        <w:tabs>
          <w:tab w:val="num" w:pos="1140"/>
        </w:tabs>
        <w:ind w:start="1140" w:hanging="360"/>
      </w:pPr>
      <w:rPr>
        <w:rFonts w:ascii="OpenSymbol" w:hAnsi="OpenSymbol" w:cs="OpenSymbol" w:hint="default"/>
      </w:rPr>
    </w:lvl>
    <w:lvl w:ilvl="2">
      <w:start w:val="1"/>
      <w:numFmt w:val="bullet"/>
      <w:lvlText w:val="▪"/>
      <w:lvlJc w:val="start"/>
      <w:pPr>
        <w:tabs>
          <w:tab w:val="num" w:pos="1500"/>
        </w:tabs>
        <w:ind w:start="1500" w:hanging="360"/>
      </w:pPr>
      <w:rPr>
        <w:rFonts w:ascii="OpenSymbol" w:hAnsi="OpenSymbol" w:cs="OpenSymbol" w:hint="default"/>
      </w:rPr>
    </w:lvl>
    <w:lvl w:ilvl="3">
      <w:start w:val="1"/>
      <w:numFmt w:val="bullet"/>
      <w:lvlText w:val=""/>
      <w:lvlJc w:val="start"/>
      <w:pPr>
        <w:tabs>
          <w:tab w:val="num" w:pos="1860"/>
        </w:tabs>
        <w:ind w:start="1860" w:hanging="360"/>
      </w:pPr>
      <w:rPr>
        <w:rFonts w:ascii="Symbol" w:hAnsi="Symbol" w:cs="Symbol" w:hint="default"/>
      </w:rPr>
    </w:lvl>
    <w:lvl w:ilvl="4">
      <w:start w:val="1"/>
      <w:numFmt w:val="bullet"/>
      <w:lvlText w:val="◦"/>
      <w:lvlJc w:val="start"/>
      <w:pPr>
        <w:tabs>
          <w:tab w:val="num" w:pos="2220"/>
        </w:tabs>
        <w:ind w:start="2220" w:hanging="360"/>
      </w:pPr>
      <w:rPr>
        <w:rFonts w:ascii="OpenSymbol" w:hAnsi="OpenSymbol" w:cs="OpenSymbol" w:hint="default"/>
      </w:rPr>
    </w:lvl>
    <w:lvl w:ilvl="5">
      <w:start w:val="1"/>
      <w:numFmt w:val="bullet"/>
      <w:lvlText w:val="▪"/>
      <w:lvlJc w:val="start"/>
      <w:pPr>
        <w:tabs>
          <w:tab w:val="num" w:pos="2580"/>
        </w:tabs>
        <w:ind w:start="2580" w:hanging="360"/>
      </w:pPr>
      <w:rPr>
        <w:rFonts w:ascii="OpenSymbol" w:hAnsi="OpenSymbol" w:cs="OpenSymbol" w:hint="default"/>
      </w:rPr>
    </w:lvl>
    <w:lvl w:ilvl="6">
      <w:start w:val="1"/>
      <w:numFmt w:val="bullet"/>
      <w:lvlText w:val=""/>
      <w:lvlJc w:val="start"/>
      <w:pPr>
        <w:tabs>
          <w:tab w:val="num" w:pos="2940"/>
        </w:tabs>
        <w:ind w:start="2940" w:hanging="360"/>
      </w:pPr>
      <w:rPr>
        <w:rFonts w:ascii="Symbol" w:hAnsi="Symbol" w:cs="Symbol" w:hint="default"/>
      </w:rPr>
    </w:lvl>
    <w:lvl w:ilvl="7">
      <w:start w:val="1"/>
      <w:numFmt w:val="bullet"/>
      <w:lvlText w:val="◦"/>
      <w:lvlJc w:val="start"/>
      <w:pPr>
        <w:tabs>
          <w:tab w:val="num" w:pos="3300"/>
        </w:tabs>
        <w:ind w:start="3300" w:hanging="360"/>
      </w:pPr>
      <w:rPr>
        <w:rFonts w:ascii="OpenSymbol" w:hAnsi="OpenSymbol" w:cs="OpenSymbol" w:hint="default"/>
      </w:rPr>
    </w:lvl>
    <w:lvl w:ilvl="8">
      <w:start w:val="1"/>
      <w:numFmt w:val="bullet"/>
      <w:lvlText w:val="▪"/>
      <w:lvlJc w:val="start"/>
      <w:pPr>
        <w:tabs>
          <w:tab w:val="num" w:pos="3660"/>
        </w:tabs>
        <w:ind w:start="3660" w:hanging="360"/>
      </w:pPr>
      <w:rPr>
        <w:rFonts w:ascii="OpenSymbol" w:hAnsi="OpenSymbol" w:cs="OpenSymbol" w:hint="default"/>
      </w:rPr>
    </w:lvl>
  </w:abstractNum>
  <w:abstractNum w:abstractNumId="12">
    <w:lvl w:ilvl="0">
      <w:start w:val="1"/>
      <w:numFmt w:val="bullet"/>
      <w:lvlText w:val=""/>
      <w:lvlJc w:val="start"/>
      <w:pPr>
        <w:tabs>
          <w:tab w:val="num" w:pos="956"/>
        </w:tabs>
        <w:ind w:start="956" w:hanging="360"/>
      </w:pPr>
      <w:rPr>
        <w:rFonts w:ascii="Symbol" w:hAnsi="Symbol" w:cs="Symbol" w:hint="default"/>
      </w:rPr>
    </w:lvl>
    <w:lvl w:ilvl="1">
      <w:start w:val="1"/>
      <w:numFmt w:val="bullet"/>
      <w:lvlText w:val="◦"/>
      <w:lvlJc w:val="start"/>
      <w:pPr>
        <w:tabs>
          <w:tab w:val="num" w:pos="1316"/>
        </w:tabs>
        <w:ind w:start="1316" w:hanging="360"/>
      </w:pPr>
      <w:rPr>
        <w:rFonts w:ascii="OpenSymbol" w:hAnsi="OpenSymbol" w:cs="OpenSymbol" w:hint="default"/>
      </w:rPr>
    </w:lvl>
    <w:lvl w:ilvl="2">
      <w:start w:val="1"/>
      <w:numFmt w:val="bullet"/>
      <w:lvlText w:val="▪"/>
      <w:lvlJc w:val="start"/>
      <w:pPr>
        <w:tabs>
          <w:tab w:val="num" w:pos="1676"/>
        </w:tabs>
        <w:ind w:start="1676" w:hanging="360"/>
      </w:pPr>
      <w:rPr>
        <w:rFonts w:ascii="OpenSymbol" w:hAnsi="OpenSymbol" w:cs="OpenSymbol" w:hint="default"/>
      </w:rPr>
    </w:lvl>
    <w:lvl w:ilvl="3">
      <w:start w:val="1"/>
      <w:numFmt w:val="bullet"/>
      <w:lvlText w:val=""/>
      <w:lvlJc w:val="start"/>
      <w:pPr>
        <w:tabs>
          <w:tab w:val="num" w:pos="2036"/>
        </w:tabs>
        <w:ind w:start="2036" w:hanging="360"/>
      </w:pPr>
      <w:rPr>
        <w:rFonts w:ascii="Symbol" w:hAnsi="Symbol" w:cs="Symbol" w:hint="default"/>
      </w:rPr>
    </w:lvl>
    <w:lvl w:ilvl="4">
      <w:start w:val="1"/>
      <w:numFmt w:val="bullet"/>
      <w:lvlText w:val="◦"/>
      <w:lvlJc w:val="start"/>
      <w:pPr>
        <w:tabs>
          <w:tab w:val="num" w:pos="2396"/>
        </w:tabs>
        <w:ind w:start="2396" w:hanging="360"/>
      </w:pPr>
      <w:rPr>
        <w:rFonts w:ascii="OpenSymbol" w:hAnsi="OpenSymbol" w:cs="OpenSymbol" w:hint="default"/>
      </w:rPr>
    </w:lvl>
    <w:lvl w:ilvl="5">
      <w:start w:val="1"/>
      <w:numFmt w:val="bullet"/>
      <w:lvlText w:val="▪"/>
      <w:lvlJc w:val="start"/>
      <w:pPr>
        <w:tabs>
          <w:tab w:val="num" w:pos="2756"/>
        </w:tabs>
        <w:ind w:start="2756" w:hanging="360"/>
      </w:pPr>
      <w:rPr>
        <w:rFonts w:ascii="OpenSymbol" w:hAnsi="OpenSymbol" w:cs="OpenSymbol" w:hint="default"/>
      </w:rPr>
    </w:lvl>
    <w:lvl w:ilvl="6">
      <w:start w:val="1"/>
      <w:numFmt w:val="bullet"/>
      <w:lvlText w:val=""/>
      <w:lvlJc w:val="start"/>
      <w:pPr>
        <w:tabs>
          <w:tab w:val="num" w:pos="3116"/>
        </w:tabs>
        <w:ind w:start="3116" w:hanging="360"/>
      </w:pPr>
      <w:rPr>
        <w:rFonts w:ascii="Symbol" w:hAnsi="Symbol" w:cs="Symbol" w:hint="default"/>
      </w:rPr>
    </w:lvl>
    <w:lvl w:ilvl="7">
      <w:start w:val="1"/>
      <w:numFmt w:val="bullet"/>
      <w:lvlText w:val="◦"/>
      <w:lvlJc w:val="start"/>
      <w:pPr>
        <w:tabs>
          <w:tab w:val="num" w:pos="3476"/>
        </w:tabs>
        <w:ind w:start="3476" w:hanging="360"/>
      </w:pPr>
      <w:rPr>
        <w:rFonts w:ascii="OpenSymbol" w:hAnsi="OpenSymbol" w:cs="OpenSymbol" w:hint="default"/>
      </w:rPr>
    </w:lvl>
    <w:lvl w:ilvl="8">
      <w:start w:val="1"/>
      <w:numFmt w:val="bullet"/>
      <w:lvlText w:val="▪"/>
      <w:lvlJc w:val="start"/>
      <w:pPr>
        <w:tabs>
          <w:tab w:val="num" w:pos="3836"/>
        </w:tabs>
        <w:ind w:start="3836"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72"/>
  <w:defaultTabStop w:val="11340"/>
  <w:autoHyphenation w:val="true"/>
  <w:hyphenationZone w:val="360"/>
  <w:footnotePr>
    <w:numFmt w:val="decimal"/>
    <w:footnote w:id="0"/>
    <w:footnote w:id="1"/>
  </w:footnotePr>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72cd2"/>
    <w:pPr>
      <w:widowControl/>
      <w:suppressAutoHyphens w:val="true"/>
      <w:bidi w:val="0"/>
      <w:spacing w:before="0" w:after="0"/>
      <w:jc w:val="start"/>
    </w:pPr>
    <w:rPr>
      <w:rFonts w:ascii="Arial" w:hAnsi="Arial" w:eastAsia="NSimSun" w:cs="Lucida Sans" w:asciiTheme="minorHAnsi" w:hAnsiTheme="minorHAnsi"/>
      <w:color w:val="auto"/>
      <w:kern w:val="2"/>
      <w:sz w:val="24"/>
      <w:szCs w:val="24"/>
      <w:lang w:val="en-US" w:eastAsia="zh-CN" w:bidi="hi-IN"/>
    </w:rPr>
  </w:style>
  <w:style w:type="paragraph" w:styleId="Heading1">
    <w:name w:val="heading 1"/>
    <w:basedOn w:val="Heading"/>
    <w:next w:val="BodyText"/>
    <w:uiPriority w:val="9"/>
    <w:qFormat/>
    <w:pPr>
      <w:numPr>
        <w:ilvl w:val="0"/>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after="12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after="120"/>
      <w:outlineLvl w:val="2"/>
    </w:pPr>
    <w:rPr>
      <w:b/>
      <w:bCs/>
    </w:rPr>
  </w:style>
  <w:style w:type="character" w:styleId="DefaultParagraphFont" w:default="1">
    <w:name w:val="Default Paragraph Font"/>
    <w:uiPriority w:val="1"/>
    <w:semiHidden/>
    <w:unhideWhenUsed/>
    <w:qFormat/>
    <w:rPr/>
  </w:style>
  <w:style w:type="character" w:styleId="Emphasis">
    <w:name w:val="Emphasis"/>
    <w:qFormat/>
    <w:rPr>
      <w:i/>
      <w:iCs/>
    </w:rPr>
  </w:style>
  <w:style w:type="character" w:styleId="Hyperlink">
    <w:name w:val="Hyperlink"/>
    <w:uiPriority w:val="99"/>
    <w:rPr>
      <w:color w:val="000080"/>
      <w:u w:val="single"/>
    </w:rPr>
  </w:style>
  <w:style w:type="character" w:styleId="Bulletsuser" w:customStyle="1">
    <w:name w:val="Bullets (user)"/>
    <w:qFormat/>
    <w:rsid w:val="00ba5795"/>
    <w:rPr/>
  </w:style>
  <w:style w:type="character" w:styleId="Strong">
    <w:name w:val="Strong"/>
    <w:qFormat/>
    <w:rPr>
      <w:b/>
      <w:bCs/>
    </w:rPr>
  </w:style>
  <w:style w:type="character" w:styleId="NumberingSymbols" w:customStyle="1">
    <w:name w:val="Numbering Symbols"/>
    <w:qFormat/>
    <w:rPr/>
  </w:style>
  <w:style w:type="character" w:styleId="FootnoteCharactersuser" w:customStyle="1">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user" w:customStyle="1">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IndexLink" w:customStyle="1">
    <w:name w:val="Index Link"/>
    <w:qFormat/>
    <w:rPr/>
  </w:style>
  <w:style w:type="character" w:styleId="UnresolvedMention">
    <w:name w:val="Unresolved Mention"/>
    <w:basedOn w:val="DefaultParagraphFont"/>
    <w:uiPriority w:val="99"/>
    <w:semiHidden/>
    <w:unhideWhenUsed/>
    <w:qFormat/>
    <w:rsid w:val="00c34de7"/>
    <w:rPr>
      <w:color w:val="605E5C"/>
      <w:shd w:fill="E1DFDD" w:val="clear"/>
    </w:rPr>
  </w:style>
  <w:style w:type="character" w:styleId="FollowedHyperlink">
    <w:name w:val="FollowedHyperlink"/>
    <w:basedOn w:val="DefaultParagraphFont"/>
    <w:uiPriority w:val="99"/>
    <w:semiHidden/>
    <w:unhideWhenUsed/>
    <w:rsid w:val="00382220"/>
    <w:rPr>
      <w:color w:themeColor="followedHyperlink" w:val="551A8B"/>
      <w:u w:val="single"/>
    </w:rPr>
  </w:style>
  <w:style w:type="character" w:styleId="LineNumber">
    <w:name w:val="line number"/>
    <w:rPr/>
  </w:style>
  <w:style w:type="character" w:styleId="BodyTextChar" w:customStyle="1">
    <w:name w:val="Body Text Char"/>
    <w:basedOn w:val="DefaultParagraphFont"/>
    <w:qFormat/>
    <w:rsid w:val="00164afc"/>
    <w:rPr/>
  </w:style>
  <w:style w:type="character" w:styleId="HeaderChar" w:customStyle="1">
    <w:name w:val="Header Char"/>
    <w:basedOn w:val="DefaultParagraphFont"/>
    <w:link w:val="Header"/>
    <w:uiPriority w:val="99"/>
    <w:qFormat/>
    <w:rsid w:val="00727ec7"/>
    <w:rPr>
      <w:rFonts w:cs="Mangal"/>
      <w:szCs w:val="21"/>
    </w:rPr>
  </w:style>
  <w:style w:type="character" w:styleId="FooterChar" w:customStyle="1">
    <w:name w:val="Footer Char"/>
    <w:basedOn w:val="DefaultParagraphFont"/>
    <w:link w:val="Footer"/>
    <w:uiPriority w:val="99"/>
    <w:qFormat/>
    <w:rsid w:val="00727ec7"/>
    <w:rPr>
      <w:rFonts w:cs="Mangal"/>
      <w:szCs w:val="21"/>
    </w:rPr>
  </w:style>
  <w:style w:type="character" w:styleId="Bullets">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link w:val="BodyTextChar"/>
    <w:pPr>
      <w:spacing w:lineRule="auto" w:line="276" w:before="86" w:after="58"/>
    </w:pPr>
    <w:rPr/>
  </w:style>
  <w:style w:type="paragraph" w:styleId="List">
    <w:name w:val="List"/>
    <w:basedOn w:val="BodyText"/>
    <w:pPr/>
    <w:rPr/>
  </w:style>
  <w:style w:type="paragraph" w:styleId="Caption">
    <w:name w:val="caption"/>
    <w:basedOn w:val="Normal"/>
    <w:qFormat/>
    <w:pPr>
      <w:keepNext w:val="true"/>
      <w:suppressLineNumbers/>
      <w:spacing w:before="120" w:after="120"/>
    </w:pPr>
    <w:rPr>
      <w:i/>
      <w:iCs/>
    </w:rPr>
  </w:style>
  <w:style w:type="paragraph" w:styleId="Index" w:customStyle="1">
    <w:name w:val="Index"/>
    <w:basedOn w:val="Normal"/>
    <w:qFormat/>
    <w:pPr>
      <w:suppressLineNumbers/>
    </w:pPr>
    <w:rPr/>
  </w:style>
  <w:style w:type="paragraph" w:styleId="Title">
    <w:name w:val="Title"/>
    <w:basedOn w:val="Heading"/>
    <w:next w:val="BodyText"/>
    <w:uiPriority w:val="10"/>
    <w:qFormat/>
    <w:pPr>
      <w:jc w:val="center"/>
    </w:pPr>
    <w:rPr>
      <w:b/>
      <w:bCs/>
      <w:sz w:val="56"/>
      <w:szCs w:val="56"/>
    </w:rPr>
  </w:style>
  <w:style w:type="paragraph" w:styleId="TableContents" w:customStyle="1">
    <w:name w:val="Table Contents"/>
    <w:basedOn w:val="Normal"/>
    <w:qFormat/>
    <w:pPr>
      <w:widowControl w:val="false"/>
      <w:suppressLineNumbers/>
    </w:pPr>
    <w:rPr>
      <w:sz w:val="14"/>
      <w:szCs w:val="14"/>
    </w:rPr>
  </w:style>
  <w:style w:type="paragraph" w:styleId="TableHeading" w:customStyle="1">
    <w:name w:val="Table Heading"/>
    <w:basedOn w:val="TableContents"/>
    <w:qFormat/>
    <w:pPr>
      <w:jc w:val="center"/>
    </w:pPr>
    <w:rPr>
      <w:b/>
      <w:bCs/>
    </w:rPr>
  </w:style>
  <w:style w:type="paragraph" w:styleId="PreformattedText" w:customStyle="1">
    <w:name w:val="Preformatted Text"/>
    <w:basedOn w:val="Normal"/>
    <w:qFormat/>
    <w:pPr/>
    <w:rPr>
      <w:rFonts w:ascii="Liberation Mono" w:hAnsi="Liberation Mono" w:cs="Liberation Mono"/>
      <w:sz w:val="20"/>
      <w:szCs w:val="20"/>
    </w:rPr>
  </w:style>
  <w:style w:type="paragraph" w:styleId="HangingIndentuser" w:customStyle="1">
    <w:name w:val="Hanging Indent (user)"/>
    <w:basedOn w:val="BodyText"/>
    <w:qFormat/>
    <w:pPr>
      <w:tabs>
        <w:tab w:val="clear" w:pos="11340"/>
        <w:tab w:val="left" w:pos="0" w:leader="none"/>
      </w:tabs>
      <w:ind w:hanging="283" w:start="567"/>
    </w:pPr>
    <w:rPr/>
  </w:style>
  <w:style w:type="paragraph" w:styleId="FootnoteText">
    <w:name w:val="footnote text"/>
    <w:basedOn w:val="Normal"/>
    <w:pPr>
      <w:suppressLineNumbers/>
      <w:ind w:hanging="340" w:start="340"/>
    </w:pPr>
    <w:rPr>
      <w:sz w:val="20"/>
      <w:szCs w:val="20"/>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pPr/>
    <w:rPr/>
  </w:style>
  <w:style w:type="paragraph" w:styleId="TOC1">
    <w:name w:val="toc 1"/>
    <w:basedOn w:val="Index"/>
    <w:uiPriority w:val="39"/>
    <w:pPr>
      <w:tabs>
        <w:tab w:val="clear" w:pos="11340"/>
        <w:tab w:val="right" w:pos="9972" w:leader="dot"/>
      </w:tabs>
    </w:pPr>
    <w:rPr/>
  </w:style>
  <w:style w:type="paragraph" w:styleId="TOC2">
    <w:name w:val="toc 2"/>
    <w:basedOn w:val="Index"/>
    <w:uiPriority w:val="39"/>
    <w:pPr>
      <w:tabs>
        <w:tab w:val="clear" w:pos="11340"/>
        <w:tab w:val="right" w:pos="9689" w:leader="dot"/>
      </w:tabs>
      <w:ind w:start="283"/>
    </w:pPr>
    <w:rPr/>
  </w:style>
  <w:style w:type="paragraph" w:styleId="Revision">
    <w:name w:val="Revision"/>
    <w:uiPriority w:val="99"/>
    <w:semiHidden/>
    <w:qFormat/>
    <w:rsid w:val="00382220"/>
    <w:pPr>
      <w:widowControl/>
      <w:suppressAutoHyphens w:val="false"/>
      <w:bidi w:val="0"/>
      <w:spacing w:before="0" w:after="0"/>
      <w:jc w:val="start"/>
    </w:pPr>
    <w:rPr>
      <w:rFonts w:ascii="Liberation Serif" w:hAnsi="Liberation Serif" w:eastAsia="NSimSun" w:cs="Mangal"/>
      <w:color w:val="auto"/>
      <w:kern w:val="2"/>
      <w:sz w:val="24"/>
      <w:szCs w:val="21"/>
      <w:lang w:val="en-US" w:eastAsia="zh-CN" w:bidi="hi-IN"/>
    </w:rPr>
  </w:style>
  <w:style w:type="paragraph" w:styleId="ListParagraph">
    <w:name w:val="List Paragraph"/>
    <w:basedOn w:val="Normal"/>
    <w:uiPriority w:val="34"/>
    <w:qFormat/>
    <w:rsid w:val="002042e2"/>
    <w:pPr>
      <w:spacing w:before="0" w:after="0"/>
      <w:ind w:start="720"/>
      <w:contextualSpacing/>
    </w:pPr>
    <w:rPr>
      <w:rFonts w:cs="Mangal"/>
      <w:szCs w:val="21"/>
    </w:rPr>
  </w:style>
  <w:style w:type="paragraph" w:styleId="HeaderandFooter">
    <w:name w:val="Header and Footer"/>
    <w:basedOn w:val="Normal"/>
    <w:qFormat/>
    <w:pPr/>
    <w:rPr/>
  </w:style>
  <w:style w:type="paragraph" w:styleId="Header">
    <w:name w:val="header"/>
    <w:basedOn w:val="Normal"/>
    <w:link w:val="HeaderChar"/>
    <w:uiPriority w:val="99"/>
    <w:unhideWhenUsed/>
    <w:rsid w:val="00727ec7"/>
    <w:pPr>
      <w:tabs>
        <w:tab w:val="clear" w:pos="11340"/>
        <w:tab w:val="center" w:pos="4680" w:leader="none"/>
        <w:tab w:val="right" w:pos="9360" w:leader="none"/>
      </w:tabs>
    </w:pPr>
    <w:rPr>
      <w:rFonts w:cs="Mangal"/>
      <w:szCs w:val="21"/>
    </w:rPr>
  </w:style>
  <w:style w:type="paragraph" w:styleId="Footer">
    <w:name w:val="footer"/>
    <w:basedOn w:val="Normal"/>
    <w:link w:val="FooterChar"/>
    <w:uiPriority w:val="99"/>
    <w:unhideWhenUsed/>
    <w:rsid w:val="00727ec7"/>
    <w:pPr>
      <w:tabs>
        <w:tab w:val="clear" w:pos="11340"/>
        <w:tab w:val="center" w:pos="4680" w:leader="none"/>
        <w:tab w:val="right" w:pos="9360" w:leader="none"/>
      </w:tabs>
    </w:pPr>
    <w:rPr>
      <w:rFonts w:cs="Mangal"/>
      <w:szCs w:val="21"/>
    </w:rPr>
  </w:style>
  <w:style w:type="paragraph" w:styleId="text-start" w:customStyle="1">
    <w:name w:val="text-start"/>
    <w:basedOn w:val="Normal"/>
    <w:qFormat/>
    <w:rsid w:val="00f66c3e"/>
    <w:pPr>
      <w:suppressAutoHyphens w:val="false"/>
      <w:spacing w:beforeAutospacing="1" w:afterAutospacing="1"/>
    </w:pPr>
    <w:rPr>
      <w:rFonts w:ascii="Times New Roman" w:hAnsi="Times New Roman" w:eastAsia="Times New Roman" w:cs="Times New Roman"/>
      <w:kern w:val="0"/>
      <w:lang w:eastAsia="en-US" w:bidi="ar-SA"/>
    </w:rPr>
  </w:style>
  <w:style w:type="numbering" w:styleId="NoList" w:default="1">
    <w:name w:val="No List"/>
    <w:uiPriority w:val="99"/>
    <w:semiHidden/>
    <w:unhideWhenUsed/>
    <w:qFormat/>
  </w:style>
  <w:style w:type="numbering" w:styleId="Numbering123" w:customStyle="1">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2cps.org/researchers/accessing-our-data/" TargetMode="External"/><Relationship Id="rId3" Type="http://schemas.openxmlformats.org/officeDocument/2006/relationships/image" Target="media/image1.png"/><Relationship Id="rId4" Type="http://schemas.openxmlformats.org/officeDocument/2006/relationships/hyperlink" Target="https://a2cps.github.io/starterkits/ImagingCRF_data_quality_checks_and_reformat.html" TargetMode="External"/><Relationship Id="rId5" Type="http://schemas.openxmlformats.org/officeDocument/2006/relationships/hyperlink" Target="https://a2cps.github.io/starterkits/raw-mri.html" TargetMode="External"/><Relationship Id="rId6" Type="http://schemas.openxmlformats.org/officeDocument/2006/relationships/hyperlink" Target="https://a2cps.github.io/starterkits/brainager.html" TargetMode="External"/><Relationship Id="rId7" Type="http://schemas.openxmlformats.org/officeDocument/2006/relationships/hyperlink" Target="https://a2cps.github.io/starterkits/cat12.html" TargetMode="External"/><Relationship Id="rId8" Type="http://schemas.openxmlformats.org/officeDocument/2006/relationships/hyperlink" Target="https://a2cps.github.io/starterkits/fcn.html" TargetMode="External"/><Relationship Id="rId9" Type="http://schemas.openxmlformats.org/officeDocument/2006/relationships/hyperlink" Target="https://a2cps.github.io/starterkits/freesurfer.html" TargetMode="External"/><Relationship Id="rId10" Type="http://schemas.openxmlformats.org/officeDocument/2006/relationships/hyperlink" Target="https://a2cps.github.io/starterkits/neural-pain-signatures.html" TargetMode="External"/><Relationship Id="rId11" Type="http://schemas.openxmlformats.org/officeDocument/2006/relationships/hyperlink" Target="https://abcdstudy.org/images/Protocol_Imaging_Sequences.pdf" TargetMode="External"/><Relationship Id="rId12" Type="http://schemas.openxmlformats.org/officeDocument/2006/relationships/hyperlink" Target="https://a2cps.atlassian.net/wiki/spaces/DOC/pages/5406735/Imaging+Log+-+Problem+Cases" TargetMode="External"/><Relationship Id="rId13" Type="http://schemas.openxmlformats.org/officeDocument/2006/relationships/hyperlink" Target="https://doi.org/10.3389/fmed.2022.849214" TargetMode="External"/><Relationship Id="rId14" Type="http://schemas.openxmlformats.org/officeDocument/2006/relationships/hyperlink" Target="https://dx.doi.org/10.1002%2Fmrm.25897" TargetMode="External"/><Relationship Id="rId15" Type="http://schemas.openxmlformats.org/officeDocument/2006/relationships/hyperlink" Target="https://doi.org/10.1016/j.dcn.2018.03.001" TargetMode="External"/><Relationship Id="rId16" Type="http://schemas.openxmlformats.org/officeDocument/2006/relationships/hyperlink" Target="https://www.sciencedirect.com/science/article/pii/S1878929317301214" TargetMode="External"/><Relationship Id="rId17" Type="http://schemas.openxmlformats.org/officeDocument/2006/relationships/hyperlink" Target="https://doi.org/10.1016/j.neuroimage.2009.11.044" TargetMode="External"/><Relationship Id="rId18" Type="http://schemas.openxmlformats.org/officeDocument/2006/relationships/hyperlink" Target="https://www.ncbi.nlm.nih.gov/pmc/articles/PMC3429710/" TargetMode="External"/><Relationship Id="rId19" Type="http://schemas.openxmlformats.org/officeDocument/2006/relationships/hyperlink" Target="https://github.com/a2cps/DataFreeeze" TargetMode="External"/><Relationship Id="rId20" Type="http://schemas.openxmlformats.org/officeDocument/2006/relationships/hyperlink" Target="https://a2cps.atlassian.net/" TargetMode="External"/><Relationship Id="rId21" Type="http://schemas.openxmlformats.org/officeDocument/2006/relationships/hyperlink" Target="mailto:support@a2cps.org" TargetMode="External"/><Relationship Id="rId22" Type="http://schemas.openxmlformats.org/officeDocument/2006/relationships/hyperlink" Target="https://a2cps.atlassian.net/wiki/spaces/DIRC/pages/297533448/Starter+Kits+Overview" TargetMode="External"/><Relationship Id="rId23" Type="http://schemas.openxmlformats.org/officeDocument/2006/relationships/hyperlink" Target="https://a2cps.atlassian.net/wiki/spaces/DAS/pages/5080604/How+do+I+get+added+to+the+A2CPS+Intranet" TargetMode="External"/><Relationship Id="rId24" Type="http://schemas.openxmlformats.org/officeDocument/2006/relationships/image" Target="media/image2.png"/><Relationship Id="rId25" Type="http://schemas.openxmlformats.org/officeDocument/2006/relationships/hyperlink" Target="https://bids-specification.readthedocs.io/en/stable/appendices/coordinate-systems.html" TargetMode="External"/><Relationship Id="rId26" Type="http://schemas.openxmlformats.org/officeDocument/2006/relationships/hyperlink" Target="https://www.templateflow.org/browse/" TargetMode="External"/><Relationship Id="rId27" Type="http://schemas.openxmlformats.org/officeDocument/2006/relationships/hyperlink" Target="mailto:a2cps-dirc-report-imaging@a2cps.org" TargetMode="External"/><Relationship Id="rId28" Type="http://schemas.openxmlformats.org/officeDocument/2006/relationships/header" Target="header1.xml"/><Relationship Id="rId29" Type="http://schemas.openxmlformats.org/officeDocument/2006/relationships/header" Target="header2.xml"/><Relationship Id="rId30" Type="http://schemas.openxmlformats.org/officeDocument/2006/relationships/header" Target="header3.xml"/><Relationship Id="rId31" Type="http://schemas.openxmlformats.org/officeDocument/2006/relationships/header" Target="header4.xml"/><Relationship Id="rId32" Type="http://schemas.openxmlformats.org/officeDocument/2006/relationships/header" Target="header5.xml"/><Relationship Id="rId33" Type="http://schemas.openxmlformats.org/officeDocument/2006/relationships/header" Target="header6.xml"/><Relationship Id="rId34" Type="http://schemas.openxmlformats.org/officeDocument/2006/relationships/footnotes" Target="footnotes.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Relationship Id="rId39" Type="http://schemas.openxmlformats.org/officeDocument/2006/relationships/customXml" Target="../customXml/item1.xml"/>
</Relationships>
</file>

<file path=word/_rels/footnotes.xml.rels><?xml version="1.0" encoding="UTF-8"?>
<Relationships xmlns="http://schemas.openxmlformats.org/package/2006/relationships"><Relationship Id="rId1" Type="http://schemas.openxmlformats.org/officeDocument/2006/relationships/hyperlink" Target="https://a2cps.atlassian.net/wiki/spaces/DOC/pages/5406782/Site+Specific+Information" TargetMode="Externa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92854-6348-4848-9724-0579B0D45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Application>LibreOffice/25.2.4.3$Windows_X86_64 LibreOffice_project/33e196637044ead23f5c3226cde09b47731f7e27</Application>
  <AppVersion>15.0000</AppVersion>
  <Pages>19</Pages>
  <Words>5917</Words>
  <Characters>32556</Characters>
  <CharactersWithSpaces>38024</CharactersWithSpaces>
  <Paragraphs>651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2023-06-12T07:39:10Z</dcterms:created>
  <dc:creator>James Ford</dc:creator>
  <dc:description/>
  <dc:language>en-US</dc:language>
  <cp:lastModifiedBy>James Ford</cp:lastModifiedBy>
  <cp:lastPrinted>2024-06-05T14:15:44Z</cp:lastPrinted>
  <dcterms:modified xsi:type="dcterms:W3CDTF">2025-06-13T15:09:52Z</dcterms:modified>
  <cp:revision>296</cp:revision>
  <dc:subject/>
  <dc:title/>
</cp:coreProperties>
</file>

<file path=docProps/custom.xml><?xml version="1.0" encoding="utf-8"?>
<Properties xmlns="http://schemas.openxmlformats.org/officeDocument/2006/custom-properties" xmlns:vt="http://schemas.openxmlformats.org/officeDocument/2006/docPropsVTypes"/>
</file>