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A2CPS Release 1.1 Notes - Imaging</w:t>
      </w:r>
    </w:p>
    <w:p>
      <w:pPr>
        <w:pStyle w:val="Heading1"/>
        <w:numPr>
          <w:ilvl w:val="0"/>
          <w:numId w:val="1"/>
        </w:numPr>
        <w:rPr/>
      </w:pPr>
      <w:bookmarkStart w:id="0" w:name="__RefHeading___Toc1041_2524662722"/>
      <w:bookmarkEnd w:id="0"/>
      <w:r>
        <w:rPr/>
        <w:t>Key Changes from 1.0</w:t>
      </w:r>
    </w:p>
    <w:p>
      <w:pPr>
        <w:pStyle w:val="Normal"/>
        <w:numPr>
          <w:ilvl w:val="0"/>
          <w:numId w:val="8"/>
        </w:numPr>
        <w:rPr/>
      </w:pPr>
      <w:r>
        <w:rPr/>
        <w:t xml:space="preserve">Documentation improvements (these Release Notes have been added, and the BIDS README.MD has updated contents) </w:t>
      </w:r>
    </w:p>
    <w:p>
      <w:pPr>
        <w:pStyle w:val="Normal"/>
        <w:numPr>
          <w:ilvl w:val="0"/>
          <w:numId w:val="8"/>
        </w:numPr>
        <w:rPr/>
      </w:pPr>
      <w:r>
        <w:rPr/>
        <w:t>Updates in BIDS (InstitutionName now fixed for all scans from a site, "scanner" column now moved from participants.tsv to scans.tsv, and other additions to scans.tsv)</w:t>
      </w:r>
    </w:p>
    <w:p>
      <w:pPr>
        <w:pStyle w:val="BodyText"/>
        <w:numPr>
          <w:ilvl w:val="0"/>
          <w:numId w:val="8"/>
        </w:numPr>
        <w:rPr/>
      </w:pPr>
      <w:r>
        <w:rPr/>
        <w:t>Changes and additions in derivatives (principally, the addition of processed diffusion MRI data and standardized ICA results for fMRI from the NeuroMark package)</w:t>
      </w:r>
    </w:p>
    <w:p>
      <w:pPr>
        <w:pStyle w:val="BodyText"/>
        <w:numPr>
          <w:ilvl w:val="0"/>
          <w:numId w:val="8"/>
        </w:numPr>
        <w:rPr/>
      </w:pPr>
      <w:r>
        <w:rPr/>
        <w:t>New “Frequently Asked Questions” (see end of this document)</w:t>
      </w:r>
    </w:p>
    <w:p>
      <w:pPr>
        <w:pStyle w:val="BodyText"/>
        <w:rPr/>
      </w:pPr>
      <w:r>
        <w:rPr/>
        <w:t xml:space="preserve">This 1.1 Release is based on the previous Release 1 participants, who are fixed for all 1.x releases. </w:t>
      </w:r>
    </w:p>
    <w:sdt>
      <w:sdtPr>
        <w:docPartObj>
          <w:docPartGallery w:val="Table of Contents"/>
          <w:docPartUnique w:val="true"/>
        </w:docPartObj>
      </w:sdtPr>
      <w:sdtContent>
        <w:p>
          <w:pPr>
            <w:pStyle w:val="TOCHeading"/>
            <w:suppressLineNumbers/>
            <w:ind w:hanging="0" w:start="0"/>
            <w:rPr>
              <w:b/>
              <w:bCs/>
              <w:sz w:val="32"/>
              <w:szCs w:val="32"/>
            </w:rPr>
          </w:pPr>
          <w:r>
            <w:rPr>
              <w:b/>
              <w:bCs/>
              <w:sz w:val="32"/>
              <w:szCs w:val="32"/>
            </w:rPr>
            <w:t>Table of Contents</w:t>
          </w:r>
        </w:p>
        <w:p>
          <w:pPr>
            <w:pStyle w:val="TOC1"/>
            <w:tabs>
              <w:tab w:val="right" w:pos="9972" w:leader="dot"/>
            </w:tabs>
            <w:rPr/>
          </w:pPr>
          <w:r>
            <w:fldChar w:fldCharType="begin"/>
          </w:r>
          <w:r>
            <w:rPr>
              <w:rStyle w:val="IndexLink"/>
            </w:rPr>
            <w:instrText xml:space="preserve"> TOC \f \o "1-2" \h</w:instrText>
          </w:r>
          <w:r>
            <w:rPr>
              <w:rStyle w:val="IndexLink"/>
            </w:rPr>
            <w:fldChar w:fldCharType="separate"/>
          </w:r>
          <w:hyperlink w:anchor="__RefHeading___Toc1041_2524662722">
            <w:r>
              <w:rPr>
                <w:rStyle w:val="IndexLink"/>
              </w:rPr>
              <w:t>Key Changes from 1.0</w:t>
              <w:tab/>
              <w:t>1</w:t>
            </w:r>
          </w:hyperlink>
        </w:p>
        <w:p>
          <w:pPr>
            <w:pStyle w:val="TOC1"/>
            <w:tabs>
              <w:tab w:val="right" w:pos="9972" w:leader="dot"/>
            </w:tabs>
            <w:rPr/>
          </w:pPr>
          <w:hyperlink w:anchor="__RefHeading___Toc1043_2524662722">
            <w:r>
              <w:rPr>
                <w:rStyle w:val="IndexLink"/>
              </w:rPr>
              <w:t>1. Summary of Imaging Data</w:t>
              <w:tab/>
              <w:t>1</w:t>
            </w:r>
          </w:hyperlink>
        </w:p>
        <w:p>
          <w:pPr>
            <w:pStyle w:val="TOC2"/>
            <w:tabs>
              <w:tab w:val="clear" w:pos="9689"/>
              <w:tab w:val="right" w:pos="9972" w:leader="dot"/>
            </w:tabs>
            <w:rPr/>
          </w:pPr>
          <w:hyperlink w:anchor="__RefHeading___Toc1045_2524662722">
            <w:r>
              <w:rPr>
                <w:rStyle w:val="IndexLink"/>
              </w:rPr>
              <w:t>Data Collection</w:t>
              <w:tab/>
              <w:t>1</w:t>
            </w:r>
          </w:hyperlink>
        </w:p>
        <w:p>
          <w:pPr>
            <w:pStyle w:val="TOC2"/>
            <w:tabs>
              <w:tab w:val="clear" w:pos="9689"/>
              <w:tab w:val="right" w:pos="9972" w:leader="dot"/>
            </w:tabs>
            <w:rPr/>
          </w:pPr>
          <w:hyperlink w:anchor="__RefHeading___Toc1047_2524662722">
            <w:r>
              <w:rPr>
                <w:rStyle w:val="IndexLink"/>
              </w:rPr>
              <w:t>Key points</w:t>
              <w:tab/>
              <w:t>2</w:t>
            </w:r>
          </w:hyperlink>
        </w:p>
        <w:p>
          <w:pPr>
            <w:pStyle w:val="TOC2"/>
            <w:tabs>
              <w:tab w:val="clear" w:pos="9689"/>
              <w:tab w:val="right" w:pos="9972" w:leader="dot"/>
            </w:tabs>
            <w:rPr/>
          </w:pPr>
          <w:hyperlink w:anchor="__RefHeading___Toc1049_2524662722">
            <w:r>
              <w:rPr>
                <w:rStyle w:val="IndexLink"/>
              </w:rPr>
              <w:t>Data Derivatives</w:t>
              <w:tab/>
              <w:t>2</w:t>
            </w:r>
          </w:hyperlink>
        </w:p>
        <w:p>
          <w:pPr>
            <w:pStyle w:val="TOC1"/>
            <w:tabs>
              <w:tab w:val="right" w:pos="9972" w:leader="dot"/>
            </w:tabs>
            <w:rPr/>
          </w:pPr>
          <w:hyperlink w:anchor="__RefHeading___Toc1051_2524662722">
            <w:r>
              <w:rPr>
                <w:rStyle w:val="IndexLink"/>
              </w:rPr>
              <w:t>2. Summary of Site Information</w:t>
              <w:tab/>
              <w:t>3</w:t>
            </w:r>
          </w:hyperlink>
        </w:p>
        <w:p>
          <w:pPr>
            <w:pStyle w:val="TOC1"/>
            <w:tabs>
              <w:tab w:val="right" w:pos="9972" w:leader="dot"/>
            </w:tabs>
            <w:rPr/>
          </w:pPr>
          <w:hyperlink w:anchor="__RefHeading___Toc1053_2524662722">
            <w:r>
              <w:rPr>
                <w:rStyle w:val="IndexLink"/>
              </w:rPr>
              <w:t>3. Assigned Quality Ratings</w:t>
              <w:tab/>
              <w:t>4</w:t>
            </w:r>
          </w:hyperlink>
        </w:p>
        <w:p>
          <w:pPr>
            <w:pStyle w:val="TOC1"/>
            <w:tabs>
              <w:tab w:val="right" w:pos="9972" w:leader="dot"/>
            </w:tabs>
            <w:rPr/>
          </w:pPr>
          <w:hyperlink w:anchor="__RefHeading___Toc1055_2524662722">
            <w:r>
              <w:rPr>
                <w:rStyle w:val="IndexLink"/>
              </w:rPr>
              <w:t>4. fMRI Protocol Issues</w:t>
              <w:tab/>
              <w:t>4</w:t>
            </w:r>
          </w:hyperlink>
        </w:p>
        <w:p>
          <w:pPr>
            <w:pStyle w:val="TOC2"/>
            <w:tabs>
              <w:tab w:val="clear" w:pos="9689"/>
              <w:tab w:val="right" w:pos="9972" w:leader="dot"/>
            </w:tabs>
            <w:rPr/>
          </w:pPr>
          <w:hyperlink w:anchor="__RefHeading___Toc1057_2524662722">
            <w:r>
              <w:rPr>
                <w:rStyle w:val="IndexLink"/>
              </w:rPr>
              <w:t>fMRI Slice Packets</w:t>
              <w:tab/>
              <w:t>4</w:t>
            </w:r>
          </w:hyperlink>
        </w:p>
        <w:p>
          <w:pPr>
            <w:pStyle w:val="TOC2"/>
            <w:tabs>
              <w:tab w:val="clear" w:pos="9689"/>
              <w:tab w:val="right" w:pos="9972" w:leader="dot"/>
            </w:tabs>
            <w:rPr/>
          </w:pPr>
          <w:hyperlink w:anchor="__RefHeading___Toc1059_2524662722">
            <w:r>
              <w:rPr>
                <w:rStyle w:val="IndexLink"/>
              </w:rPr>
              <w:t>B0 Distortion Correction Scans</w:t>
              <w:tab/>
              <w:t>5</w:t>
            </w:r>
          </w:hyperlink>
        </w:p>
        <w:p>
          <w:pPr>
            <w:pStyle w:val="TOC1"/>
            <w:tabs>
              <w:tab w:val="right" w:pos="9972" w:leader="dot"/>
            </w:tabs>
            <w:rPr/>
          </w:pPr>
          <w:hyperlink w:anchor="__RefHeading___Toc1061_2524662722">
            <w:r>
              <w:rPr>
                <w:rStyle w:val="IndexLink"/>
              </w:rPr>
              <w:t>5. DWI Protocol Issues</w:t>
              <w:tab/>
              <w:t>6</w:t>
            </w:r>
          </w:hyperlink>
        </w:p>
        <w:p>
          <w:pPr>
            <w:pStyle w:val="TOC2"/>
            <w:tabs>
              <w:tab w:val="clear" w:pos="9689"/>
              <w:tab w:val="right" w:pos="9972" w:leader="dot"/>
            </w:tabs>
            <w:rPr/>
          </w:pPr>
          <w:hyperlink w:anchor="__RefHeading___Toc1063_2524662722">
            <w:r>
              <w:rPr>
                <w:rStyle w:val="IndexLink"/>
              </w:rPr>
              <w:t>DWI Protocol Variations</w:t>
              <w:tab/>
              <w:t>6</w:t>
            </w:r>
          </w:hyperlink>
        </w:p>
        <w:p>
          <w:pPr>
            <w:pStyle w:val="TOC2"/>
            <w:tabs>
              <w:tab w:val="clear" w:pos="9689"/>
              <w:tab w:val="right" w:pos="9972" w:leader="dot"/>
            </w:tabs>
            <w:rPr/>
          </w:pPr>
          <w:hyperlink w:anchor="__RefHeading___Toc1065_2524662722">
            <w:r>
              <w:rPr>
                <w:rStyle w:val="IndexLink"/>
              </w:rPr>
              <w:t>GE Specific DICOM Problems</w:t>
              <w:tab/>
              <w:t>6</w:t>
            </w:r>
          </w:hyperlink>
        </w:p>
        <w:p>
          <w:pPr>
            <w:pStyle w:val="TOC1"/>
            <w:tabs>
              <w:tab w:val="right" w:pos="9972" w:leader="dot"/>
            </w:tabs>
            <w:rPr/>
          </w:pPr>
          <w:hyperlink w:anchor="__RefHeading___Toc1067_2524662722">
            <w:r>
              <w:rPr>
                <w:rStyle w:val="IndexLink"/>
              </w:rPr>
              <w:t>6. T1W Protocol Issues</w:t>
              <w:tab/>
              <w:t>7</w:t>
            </w:r>
          </w:hyperlink>
        </w:p>
        <w:p>
          <w:pPr>
            <w:pStyle w:val="TOC1"/>
            <w:tabs>
              <w:tab w:val="right" w:pos="9972" w:leader="dot"/>
            </w:tabs>
            <w:rPr/>
          </w:pPr>
          <w:hyperlink w:anchor="__RefHeading___Toc1069_2524662722">
            <w:r>
              <w:rPr>
                <w:rStyle w:val="IndexLink"/>
              </w:rPr>
              <w:t>7. Acquisition Issues</w:t>
              <w:tab/>
              <w:t>7</w:t>
            </w:r>
          </w:hyperlink>
        </w:p>
        <w:p>
          <w:pPr>
            <w:pStyle w:val="TOC1"/>
            <w:tabs>
              <w:tab w:val="right" w:pos="9972" w:leader="dot"/>
            </w:tabs>
            <w:rPr/>
          </w:pPr>
          <w:hyperlink w:anchor="__RefHeading___Toc14274_2568790285">
            <w:r>
              <w:rPr>
                <w:rStyle w:val="IndexLink"/>
              </w:rPr>
              <w:t>8. Incomplete Scan Sessions</w:t>
              <w:tab/>
              <w:t>8</w:t>
            </w:r>
          </w:hyperlink>
        </w:p>
        <w:p>
          <w:pPr>
            <w:pStyle w:val="TOC1"/>
            <w:tabs>
              <w:tab w:val="right" w:pos="9972" w:leader="dot"/>
            </w:tabs>
            <w:rPr/>
          </w:pPr>
          <w:hyperlink w:anchor="__RefHeading___Toc1071_2524662722">
            <w:r>
              <w:rPr>
                <w:rStyle w:val="IndexLink"/>
              </w:rPr>
              <w:t>9. References</w:t>
              <w:tab/>
              <w:t>9</w:t>
            </w:r>
          </w:hyperlink>
        </w:p>
        <w:p>
          <w:pPr>
            <w:pStyle w:val="TOC1"/>
            <w:tabs>
              <w:tab w:val="right" w:pos="9972" w:leader="dot"/>
            </w:tabs>
            <w:rPr/>
          </w:pPr>
          <w:hyperlink w:anchor="__RefHeading___Toc1073_2524662722">
            <w:r>
              <w:rPr>
                <w:rStyle w:val="IndexLink"/>
              </w:rPr>
              <w:t>10. Frequently Asked Questions (FAQ)</w:t>
              <w:tab/>
              <w:t>9</w:t>
            </w:r>
          </w:hyperlink>
          <w:r>
            <w:rPr>
              <w:rStyle w:val="IndexLink"/>
            </w:rPr>
            <w:fldChar w:fldCharType="end"/>
          </w:r>
        </w:p>
      </w:sdtContent>
    </w:sdt>
    <w:p>
      <w:pPr>
        <w:pStyle w:val="BodyText"/>
        <w:bidi w:val="0"/>
        <w:spacing w:lineRule="auto" w:line="276" w:before="86" w:after="58"/>
        <w:jc w:val="start"/>
        <w:rPr/>
      </w:pPr>
      <w:r>
        <w:rPr/>
      </w:r>
    </w:p>
    <w:p>
      <w:pPr>
        <w:pStyle w:val="Heading1"/>
        <w:numPr>
          <w:ilvl w:val="0"/>
          <w:numId w:val="1"/>
        </w:numPr>
        <w:rPr/>
      </w:pPr>
      <w:bookmarkStart w:id="1" w:name="__RefHeading___Toc1043_2524662722"/>
      <w:bookmarkEnd w:id="1"/>
      <w:r>
        <w:rPr/>
        <w:t xml:space="preserve">1. Summary of Imaging Data </w:t>
      </w:r>
    </w:p>
    <w:p>
      <w:pPr>
        <w:pStyle w:val="Heading2"/>
        <w:numPr>
          <w:ilvl w:val="1"/>
          <w:numId w:val="1"/>
        </w:numPr>
        <w:spacing w:before="200" w:after="120"/>
        <w:rPr/>
      </w:pPr>
      <w:bookmarkStart w:id="2" w:name="__RefHeading___Toc1045_2524662722"/>
      <w:bookmarkEnd w:id="2"/>
      <w:r>
        <w:rPr/>
        <w:t>Data Collection</w:t>
      </w:r>
    </w:p>
    <w:p>
      <w:pPr>
        <w:pStyle w:val="BodyText"/>
        <w:rPr/>
      </w:pPr>
      <w:r>
        <w:rPr/>
        <w:t>MRI scans were collected prior to a surgery (knee or thoracic) and, in roughly half of all cases, again 3 months post surgery. In Release 1, only pre-surgery scan data is included.</w:t>
      </w:r>
    </w:p>
    <w:p>
      <w:pPr>
        <w:pStyle w:val="BodyText"/>
        <w:rPr/>
      </w:pPr>
      <w:r>
        <w:rPr/>
        <w:t>The scan protocol consists of T1-weighted (1), diffusion weighted (1), and fMRI (4) scans, with susceptibility distortion correction B0 images also acquired. A schematic of the acquisition is shown in Figure 1.</w:t>
      </w:r>
    </w:p>
    <w:p>
      <w:pPr>
        <w:pStyle w:val="Caption"/>
        <w:rPr/>
      </w:pPr>
      <w:r>
        <w:rPr>
          <w:b/>
          <w:bCs/>
        </w:rPr>
        <w:t>Figure 1:</w:t>
      </w:r>
      <w:r>
        <w:rPr/>
        <w:t xml:space="preserve"> A2CPS scan session layout. The short names of the scans are T1, DWI, REST1, CUFF1, CUFF2, and REST2 . </w:t>
      </w:r>
      <w:r>
        <w:rPr/>
        <w:drawing>
          <wp:inline distT="0" distB="0" distL="0" distR="0">
            <wp:extent cx="6332220" cy="2038350"/>
            <wp:effectExtent l="0" t="0" r="0" b="0"/>
            <wp:docPr id="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title=""/>
                    <pic:cNvPicPr>
                      <a:picLocks noChangeAspect="1" noChangeArrowheads="1"/>
                    </pic:cNvPicPr>
                  </pic:nvPicPr>
                  <pic:blipFill>
                    <a:blip r:embed="rId2"/>
                    <a:srcRect l="0" t="7436" r="0" b="40187"/>
                    <a:stretch>
                      <a:fillRect/>
                    </a:stretch>
                  </pic:blipFill>
                  <pic:spPr bwMode="auto">
                    <a:xfrm>
                      <a:off x="0" y="0"/>
                      <a:ext cx="6332220" cy="2038350"/>
                    </a:xfrm>
                    <a:prstGeom prst="rect">
                      <a:avLst/>
                    </a:prstGeom>
                  </pic:spPr>
                </pic:pic>
              </a:graphicData>
            </a:graphic>
          </wp:inline>
        </w:drawing>
      </w:r>
    </w:p>
    <w:p>
      <w:pPr>
        <w:pStyle w:val="Heading2"/>
        <w:numPr>
          <w:ilvl w:val="1"/>
          <w:numId w:val="1"/>
        </w:numPr>
        <w:spacing w:before="200" w:after="120"/>
        <w:rPr/>
      </w:pPr>
      <w:bookmarkStart w:id="3" w:name="__RefHeading___Toc1047_2524662722"/>
      <w:bookmarkEnd w:id="3"/>
      <w:r>
        <w:rPr/>
        <w:t>Key points</w:t>
      </w:r>
    </w:p>
    <w:p>
      <w:pPr>
        <w:pStyle w:val="BodyText"/>
        <w:numPr>
          <w:ilvl w:val="0"/>
          <w:numId w:val="3"/>
        </w:numPr>
        <w:rPr/>
      </w:pPr>
      <w:r>
        <w:rPr/>
        <w:t>An inflatable cuff was placed on the subject’s leg prior to the fMRI scans</w:t>
      </w:r>
    </w:p>
    <w:p>
      <w:pPr>
        <w:pStyle w:val="BodyText"/>
        <w:numPr>
          <w:ilvl w:val="0"/>
          <w:numId w:val="3"/>
        </w:numPr>
        <w:rPr/>
      </w:pPr>
      <w:r>
        <w:rPr/>
        <w:t xml:space="preserve">CUFF scans were done with administration of pain via a constant pressure – though in some cases CUFF scans were skipped if cuff inflation or the required pressure were contraindicated  </w:t>
      </w:r>
    </w:p>
    <w:p>
      <w:pPr>
        <w:pStyle w:val="BodyText"/>
        <w:numPr>
          <w:ilvl w:val="0"/>
          <w:numId w:val="3"/>
        </w:numPr>
        <w:rPr/>
      </w:pPr>
      <w:r>
        <w:rPr/>
        <w:t>CUFF1 scans use a patient-calibrated constant pressure (to level rated as pain 40), and CUFF2 pressures are standard (120 mm Hg); pressures are recorded in BIDS events.tsv files for Cuff scans</w:t>
      </w:r>
    </w:p>
    <w:p>
      <w:pPr>
        <w:pStyle w:val="BodyText"/>
        <w:numPr>
          <w:ilvl w:val="0"/>
          <w:numId w:val="3"/>
        </w:numPr>
        <w:rPr/>
      </w:pPr>
      <w:r>
        <w:rPr/>
        <w:t>In most cases, REST2 was not acquired if neither CUFF scan was, though there are exceptions (these exceptions are flagged as “Red” – see Assigned Quality Ratings)</w:t>
      </w:r>
    </w:p>
    <w:p>
      <w:pPr>
        <w:pStyle w:val="Heading2"/>
        <w:numPr>
          <w:ilvl w:val="0"/>
          <w:numId w:val="1"/>
        </w:numPr>
        <w:rPr/>
      </w:pPr>
      <w:bookmarkStart w:id="4" w:name="__RefHeading___Toc1049_2524662722"/>
      <w:bookmarkEnd w:id="4"/>
      <w:r>
        <w:rPr/>
        <w:t>Data Derivatives</w:t>
      </w:r>
    </w:p>
    <w:p>
      <w:pPr>
        <w:pStyle w:val="BodyText"/>
        <w:rPr/>
      </w:pPr>
      <w:r>
        <w:rPr/>
        <w:t>This release includes results of an A2CPS Pipeline that consists of several standard tools, as well as custom processing:</w:t>
      </w:r>
    </w:p>
    <w:p>
      <w:pPr>
        <w:pStyle w:val="BodyText"/>
        <w:numPr>
          <w:ilvl w:val="0"/>
          <w:numId w:val="7"/>
        </w:numPr>
        <w:rPr/>
      </w:pPr>
      <w:r>
        <w:rPr/>
        <w:t>Individual pipeline outputs (MRIQC, fMRIPrep, CAT12, FreeSurfer) with skull stripped anatomy images (where not already skull stripped)</w:t>
      </w:r>
    </w:p>
    <w:p>
      <w:pPr>
        <w:pStyle w:val="BodyText"/>
        <w:numPr>
          <w:ilvl w:val="1"/>
          <w:numId w:val="7"/>
        </w:numPr>
        <w:rPr/>
      </w:pPr>
      <w:r>
        <w:rPr/>
        <w:t>FMRIPrep 20.2 (LTS) results (LTS is the “long term support” version)</w:t>
      </w:r>
    </w:p>
    <w:p>
      <w:pPr>
        <w:pStyle w:val="BodyText"/>
        <w:numPr>
          <w:ilvl w:val="1"/>
          <w:numId w:val="7"/>
        </w:numPr>
        <w:rPr/>
      </w:pPr>
      <w:r>
        <w:rPr/>
        <w:t>FreeSurfer 6 (run by fMRIPrep 20.2)</w:t>
      </w:r>
    </w:p>
    <w:p>
      <w:pPr>
        <w:pStyle w:val="BodyText"/>
        <w:numPr>
          <w:ilvl w:val="1"/>
          <w:numId w:val="7"/>
        </w:numPr>
        <w:rPr/>
      </w:pPr>
      <w:r>
        <w:rPr/>
        <w:t>CAT12 v12.8.1/r2042</w:t>
      </w:r>
    </w:p>
    <w:p>
      <w:pPr>
        <w:pStyle w:val="BodyText"/>
        <w:numPr>
          <w:ilvl w:val="1"/>
          <w:numId w:val="7"/>
        </w:numPr>
        <w:rPr/>
      </w:pPr>
      <w:r>
        <w:rPr/>
        <w:t>MRIQC 0.15.1</w:t>
      </w:r>
    </w:p>
    <w:p>
      <w:pPr>
        <w:pStyle w:val="BodyText"/>
        <w:numPr>
          <w:ilvl w:val="1"/>
          <w:numId w:val="7"/>
        </w:numPr>
        <w:rPr/>
      </w:pPr>
      <w:r>
        <w:rPr/>
        <w:t>QSIprep 0.21.4</w:t>
      </w:r>
    </w:p>
    <w:p>
      <w:pPr>
        <w:pStyle w:val="BodyText"/>
        <w:numPr>
          <w:ilvl w:val="1"/>
          <w:numId w:val="7"/>
        </w:numPr>
        <w:rPr/>
      </w:pPr>
      <w:r>
        <w:rPr/>
        <w:t>brainageR 2.1</w:t>
      </w:r>
    </w:p>
    <w:p>
      <w:pPr>
        <w:pStyle w:val="BodyText"/>
        <w:numPr>
          <w:ilvl w:val="1"/>
          <w:numId w:val="7"/>
        </w:numPr>
        <w:rPr/>
      </w:pPr>
      <w:r>
        <w:rPr/>
        <w:t>GIFT 4.0c with NeuroMark 2.0/2.1</w:t>
      </w:r>
    </w:p>
    <w:p>
      <w:pPr>
        <w:pStyle w:val="BodyText"/>
        <w:numPr>
          <w:ilvl w:val="0"/>
          <w:numId w:val="7"/>
        </w:numPr>
        <w:rPr/>
      </w:pPr>
      <w:r>
        <w:rPr/>
        <w:t>FSL FIRST volumes and label maps (FSL 6.0.6.5)</w:t>
      </w:r>
    </w:p>
    <w:p>
      <w:pPr>
        <w:pStyle w:val="BodyText"/>
        <w:numPr>
          <w:ilvl w:val="0"/>
          <w:numId w:val="7"/>
        </w:numPr>
        <w:rPr/>
      </w:pPr>
      <w:r>
        <w:rPr/>
        <w:t>Functional images with nuisance regression applied (custom)</w:t>
      </w:r>
    </w:p>
    <w:p>
      <w:pPr>
        <w:pStyle w:val="BodyText"/>
        <w:numPr>
          <w:ilvl w:val="0"/>
          <w:numId w:val="7"/>
        </w:numPr>
        <w:rPr/>
      </w:pPr>
      <w:r>
        <w:rPr/>
        <w:t>Connectivity matrices (custom)</w:t>
      </w:r>
    </w:p>
    <w:p>
      <w:pPr>
        <w:pStyle w:val="BodyText"/>
        <w:numPr>
          <w:ilvl w:val="0"/>
          <w:numId w:val="7"/>
        </w:numPr>
        <w:rPr/>
      </w:pPr>
      <w:r>
        <w:rPr/>
        <w:t>Pain signature responses (custom)</w:t>
      </w:r>
    </w:p>
    <w:p>
      <w:pPr>
        <w:pStyle w:val="BodyText"/>
        <w:bidi w:val="0"/>
        <w:jc w:val="start"/>
        <w:rPr/>
      </w:pPr>
      <w:r>
        <w:rPr/>
        <w:t>Data derivatives only appear in this release if the entire A2CPS pipeline completed. This is meant to ensure that no incomplete products or cases without a complete sets of expected derivatives will be included. See also “Incomplete Scan Sessions” below for notes on unavailable scans for some sessions.</w:t>
      </w:r>
    </w:p>
    <w:p>
      <w:pPr>
        <w:pStyle w:val="Heading1"/>
        <w:numPr>
          <w:ilvl w:val="0"/>
          <w:numId w:val="1"/>
        </w:numPr>
        <w:rPr/>
      </w:pPr>
      <w:bookmarkStart w:id="5" w:name="__RefHeading___Toc1051_2524662722"/>
      <w:bookmarkEnd w:id="5"/>
      <w:r>
        <w:rPr/>
        <w:t>2. Summary of Site Information</w:t>
      </w:r>
    </w:p>
    <w:p>
      <w:pPr>
        <w:pStyle w:val="Caption"/>
        <w:rPr/>
      </w:pPr>
      <w:r>
        <w:rPr>
          <w:b/>
          <w:bCs/>
        </w:rPr>
        <w:t>Table 1:</w:t>
      </w:r>
      <w:r>
        <w:rPr/>
        <w:t xml:space="preserve"> Scanners by site.</w:t>
      </w:r>
    </w:p>
    <w:tbl>
      <w:tblPr>
        <w:tblW w:w="9990" w:type="dxa"/>
        <w:jc w:val="start"/>
        <w:tblInd w:w="46" w:type="dxa"/>
        <w:tblLayout w:type="fixed"/>
        <w:tblCellMar>
          <w:top w:w="55" w:type="dxa"/>
          <w:start w:w="55" w:type="dxa"/>
          <w:bottom w:w="55" w:type="dxa"/>
          <w:end w:w="55" w:type="dxa"/>
        </w:tblCellMar>
      </w:tblPr>
      <w:tblGrid>
        <w:gridCol w:w="810"/>
        <w:gridCol w:w="1420"/>
        <w:gridCol w:w="1415"/>
        <w:gridCol w:w="1110"/>
        <w:gridCol w:w="629"/>
        <w:gridCol w:w="1141"/>
        <w:gridCol w:w="3464"/>
      </w:tblGrid>
      <w:tr>
        <w:trPr>
          <w:tblHeader w:val="true"/>
          <w:trHeight w:val="510" w:hRule="atLeast"/>
          <w:cantSplit w:val="true"/>
        </w:trPr>
        <w:tc>
          <w:tcPr>
            <w:tcW w:w="810" w:type="dxa"/>
            <w:tcBorders>
              <w:top w:val="single" w:sz="4" w:space="0" w:color="000000"/>
              <w:start w:val="single" w:sz="4" w:space="0" w:color="000000"/>
              <w:bottom w:val="single" w:sz="4" w:space="0" w:color="000000"/>
            </w:tcBorders>
          </w:tcPr>
          <w:p>
            <w:pPr>
              <w:pStyle w:val="TableHeading"/>
              <w:widowControl w:val="false"/>
              <w:bidi w:val="0"/>
              <w:jc w:val="center"/>
              <w:rPr>
                <w:sz w:val="20"/>
                <w:szCs w:val="20"/>
              </w:rPr>
            </w:pPr>
            <w:r>
              <w:rPr>
                <w:sz w:val="20"/>
                <w:szCs w:val="20"/>
              </w:rPr>
              <w:t>Group</w:t>
            </w:r>
          </w:p>
        </w:tc>
        <w:tc>
          <w:tcPr>
            <w:tcW w:w="1420" w:type="dxa"/>
            <w:tcBorders>
              <w:top w:val="single" w:sz="4" w:space="0" w:color="000000"/>
              <w:start w:val="single" w:sz="4" w:space="0" w:color="000000"/>
              <w:bottom w:val="single" w:sz="4" w:space="0" w:color="000000"/>
            </w:tcBorders>
          </w:tcPr>
          <w:p>
            <w:pPr>
              <w:pStyle w:val="TableHeading"/>
              <w:widowControl w:val="false"/>
              <w:bidi w:val="0"/>
              <w:spacing w:before="0" w:after="283"/>
              <w:jc w:val="center"/>
              <w:rPr/>
            </w:pPr>
            <w:r>
              <w:rPr>
                <w:rStyle w:val="Strong"/>
                <w:b/>
                <w:bCs w:val="false"/>
                <w:sz w:val="20"/>
                <w:szCs w:val="20"/>
              </w:rPr>
              <w:t>Site</w:t>
            </w:r>
          </w:p>
        </w:tc>
        <w:tc>
          <w:tcPr>
            <w:tcW w:w="1415" w:type="dxa"/>
            <w:tcBorders>
              <w:top w:val="single" w:sz="4" w:space="0" w:color="000000"/>
              <w:start w:val="single" w:sz="4" w:space="0" w:color="000000"/>
              <w:bottom w:val="single" w:sz="4" w:space="0" w:color="000000"/>
            </w:tcBorders>
          </w:tcPr>
          <w:p>
            <w:pPr>
              <w:pStyle w:val="TableHeading"/>
              <w:widowControl w:val="false"/>
              <w:bidi w:val="0"/>
              <w:spacing w:before="0" w:after="283"/>
              <w:jc w:val="center"/>
              <w:rPr/>
            </w:pPr>
            <w:r>
              <w:rPr>
                <w:rStyle w:val="Strong"/>
                <w:b/>
                <w:bCs w:val="false"/>
                <w:sz w:val="20"/>
                <w:szCs w:val="20"/>
              </w:rPr>
              <w:t>Manufacturer</w:t>
            </w:r>
          </w:p>
        </w:tc>
        <w:tc>
          <w:tcPr>
            <w:tcW w:w="1110" w:type="dxa"/>
            <w:tcBorders>
              <w:top w:val="single" w:sz="4" w:space="0" w:color="000000"/>
              <w:start w:val="single" w:sz="4" w:space="0" w:color="000000"/>
              <w:bottom w:val="single" w:sz="4" w:space="0" w:color="000000"/>
            </w:tcBorders>
          </w:tcPr>
          <w:p>
            <w:pPr>
              <w:pStyle w:val="TableHeading"/>
              <w:widowControl w:val="false"/>
              <w:bidi w:val="0"/>
              <w:spacing w:before="0" w:after="283"/>
              <w:jc w:val="center"/>
              <w:rPr/>
            </w:pPr>
            <w:r>
              <w:rPr>
                <w:rStyle w:val="Strong"/>
                <w:b/>
                <w:bCs w:val="false"/>
                <w:sz w:val="20"/>
                <w:szCs w:val="20"/>
              </w:rPr>
              <w:t>Model</w:t>
            </w:r>
          </w:p>
        </w:tc>
        <w:tc>
          <w:tcPr>
            <w:tcW w:w="629" w:type="dxa"/>
            <w:tcBorders>
              <w:top w:val="single" w:sz="4" w:space="0" w:color="000000"/>
              <w:start w:val="single" w:sz="4" w:space="0" w:color="000000"/>
              <w:bottom w:val="single" w:sz="4" w:space="0" w:color="000000"/>
            </w:tcBorders>
          </w:tcPr>
          <w:p>
            <w:pPr>
              <w:pStyle w:val="TableHeading"/>
              <w:widowControl w:val="false"/>
              <w:bidi w:val="0"/>
              <w:jc w:val="center"/>
              <w:rPr>
                <w:sz w:val="20"/>
                <w:szCs w:val="20"/>
              </w:rPr>
            </w:pPr>
            <w:r>
              <w:rPr>
                <w:sz w:val="20"/>
                <w:szCs w:val="20"/>
              </w:rPr>
              <w:t>Bore</w:t>
            </w:r>
          </w:p>
        </w:tc>
        <w:tc>
          <w:tcPr>
            <w:tcW w:w="1141" w:type="dxa"/>
            <w:tcBorders>
              <w:top w:val="single" w:sz="4" w:space="0" w:color="000000"/>
              <w:start w:val="single" w:sz="4" w:space="0" w:color="000000"/>
              <w:bottom w:val="single" w:sz="4" w:space="0" w:color="000000"/>
            </w:tcBorders>
          </w:tcPr>
          <w:p>
            <w:pPr>
              <w:pStyle w:val="TableHeading"/>
              <w:widowControl w:val="false"/>
              <w:bidi w:val="0"/>
              <w:jc w:val="center"/>
              <w:rPr>
                <w:sz w:val="20"/>
                <w:szCs w:val="20"/>
              </w:rPr>
            </w:pPr>
            <w:r>
              <w:rPr>
                <w:sz w:val="20"/>
                <w:szCs w:val="20"/>
              </w:rPr>
              <w:t>Gradients</w:t>
            </w:r>
          </w:p>
        </w:tc>
        <w:tc>
          <w:tcPr>
            <w:tcW w:w="3464" w:type="dxa"/>
            <w:tcBorders>
              <w:top w:val="single" w:sz="4" w:space="0" w:color="000000"/>
              <w:start w:val="single" w:sz="4" w:space="0" w:color="000000"/>
              <w:bottom w:val="single" w:sz="4" w:space="0" w:color="000000"/>
              <w:end w:val="single" w:sz="4" w:space="0" w:color="000000"/>
            </w:tcBorders>
          </w:tcPr>
          <w:p>
            <w:pPr>
              <w:pStyle w:val="TableHeading"/>
              <w:widowControl w:val="false"/>
              <w:bidi w:val="0"/>
              <w:spacing w:before="0" w:after="283"/>
              <w:jc w:val="center"/>
              <w:rPr/>
            </w:pPr>
            <w:r>
              <w:rPr>
                <w:rStyle w:val="Strong"/>
                <w:b/>
                <w:bCs w:val="false"/>
                <w:sz w:val="20"/>
                <w:szCs w:val="20"/>
              </w:rPr>
              <w:t>Version</w:t>
            </w:r>
          </w:p>
        </w:tc>
      </w:tr>
      <w:tr>
        <w:trPr>
          <w:cantSplit w:val="true"/>
        </w:trPr>
        <w:tc>
          <w:tcPr>
            <w:tcW w:w="810" w:type="dxa"/>
            <w:vMerge w:val="restart"/>
            <w:tcBorders>
              <w:start w:val="single" w:sz="4" w:space="0" w:color="000000"/>
              <w:bottom w:val="single" w:sz="4" w:space="0" w:color="000000"/>
            </w:tcBorders>
            <w:vAlign w:val="center"/>
          </w:tcPr>
          <w:p>
            <w:pPr>
              <w:pStyle w:val="TableContents"/>
              <w:widowControl w:val="false"/>
              <w:bidi w:val="0"/>
              <w:jc w:val="start"/>
              <w:rPr>
                <w:b/>
                <w:bCs/>
                <w:sz w:val="20"/>
                <w:szCs w:val="20"/>
              </w:rPr>
            </w:pPr>
            <w:r>
              <w:rPr>
                <w:b/>
                <w:bCs/>
                <w:sz w:val="20"/>
                <w:szCs w:val="20"/>
              </w:rPr>
              <w:t>MCC1</w:t>
            </w:r>
          </w:p>
        </w:tc>
        <w:tc>
          <w:tcPr>
            <w:tcW w:w="1420" w:type="dxa"/>
            <w:tcBorders>
              <w:start w:val="single" w:sz="4" w:space="0" w:color="000000"/>
              <w:bottom w:val="single" w:sz="4" w:space="0" w:color="000000"/>
            </w:tcBorders>
            <w:vAlign w:val="center"/>
          </w:tcPr>
          <w:p>
            <w:pPr>
              <w:pStyle w:val="TableContents"/>
              <w:widowControl w:val="false"/>
              <w:bidi w:val="0"/>
              <w:spacing w:before="0" w:after="283"/>
              <w:jc w:val="start"/>
              <w:rPr>
                <w:sz w:val="20"/>
                <w:szCs w:val="20"/>
              </w:rPr>
            </w:pPr>
            <w:r>
              <w:rPr>
                <w:b/>
                <w:bCs/>
                <w:sz w:val="20"/>
                <w:szCs w:val="20"/>
              </w:rPr>
              <w:t xml:space="preserve">UI: </w:t>
            </w:r>
            <w:r>
              <w:rPr>
                <w:sz w:val="20"/>
                <w:szCs w:val="20"/>
              </w:rPr>
              <w:t>U. Illinois Chicago (UIC)</w:t>
            </w:r>
          </w:p>
        </w:tc>
        <w:tc>
          <w:tcPr>
            <w:tcW w:w="1415" w:type="dxa"/>
            <w:tcBorders>
              <w:start w:val="single" w:sz="4" w:space="0" w:color="000000"/>
              <w:bottom w:val="single" w:sz="4" w:space="0" w:color="000000"/>
            </w:tcBorders>
            <w:vAlign w:val="center"/>
          </w:tcPr>
          <w:p>
            <w:pPr>
              <w:pStyle w:val="TableContents"/>
              <w:widowControl w:val="false"/>
              <w:bidi w:val="0"/>
              <w:spacing w:before="0" w:after="283"/>
              <w:jc w:val="start"/>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widowControl w:val="false"/>
              <w:bidi w:val="0"/>
              <w:spacing w:before="0" w:after="283"/>
              <w:jc w:val="start"/>
              <w:rPr>
                <w:sz w:val="20"/>
                <w:szCs w:val="20"/>
              </w:rPr>
            </w:pPr>
            <w:r>
              <w:rPr>
                <w:sz w:val="20"/>
                <w:szCs w:val="20"/>
              </w:rPr>
              <w:t>Discovery 3T MR750</w:t>
            </w:r>
          </w:p>
        </w:tc>
        <w:tc>
          <w:tcPr>
            <w:tcW w:w="629"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60cm</w:t>
            </w:r>
          </w:p>
        </w:tc>
        <w:tc>
          <w:tcPr>
            <w:tcW w:w="1141"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50/200</w:t>
            </w:r>
          </w:p>
        </w:tc>
        <w:tc>
          <w:tcPr>
            <w:tcW w:w="3464" w:type="dxa"/>
            <w:tcBorders>
              <w:start w:val="single" w:sz="4" w:space="0" w:color="000000"/>
              <w:bottom w:val="single" w:sz="4" w:space="0" w:color="000000"/>
              <w:end w:val="single" w:sz="4" w:space="0" w:color="000000"/>
            </w:tcBorders>
            <w:vAlign w:val="center"/>
          </w:tcPr>
          <w:p>
            <w:pPr>
              <w:pStyle w:val="TableContents"/>
              <w:widowControl w:val="false"/>
              <w:bidi w:val="0"/>
              <w:spacing w:before="0" w:after="283"/>
              <w:jc w:val="start"/>
              <w:rPr>
                <w:sz w:val="20"/>
                <w:szCs w:val="20"/>
              </w:rPr>
            </w:pPr>
            <w:r>
              <w:rPr>
                <w:sz w:val="20"/>
                <w:szCs w:val="20"/>
              </w:rPr>
              <w:t>DV26.0 R02 1810.b</w:t>
            </w:r>
          </w:p>
        </w:tc>
      </w:tr>
      <w:tr>
        <w:trPr>
          <w:cantSplit w:val="true"/>
        </w:trPr>
        <w:tc>
          <w:tcPr>
            <w:tcW w:w="810" w:type="dxa"/>
            <w:vMerge w:val="continue"/>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r>
          </w:p>
        </w:tc>
        <w:tc>
          <w:tcPr>
            <w:tcW w:w="1420" w:type="dxa"/>
            <w:tcBorders>
              <w:start w:val="single" w:sz="4" w:space="0" w:color="000000"/>
              <w:bottom w:val="single" w:sz="4" w:space="0" w:color="000000"/>
            </w:tcBorders>
            <w:vAlign w:val="center"/>
          </w:tcPr>
          <w:p>
            <w:pPr>
              <w:pStyle w:val="TableContents"/>
              <w:widowControl w:val="false"/>
              <w:bidi w:val="0"/>
              <w:jc w:val="start"/>
              <w:rPr>
                <w:sz w:val="20"/>
                <w:szCs w:val="20"/>
              </w:rPr>
            </w:pPr>
            <w:r>
              <w:rPr>
                <w:b/>
                <w:bCs/>
                <w:sz w:val="20"/>
                <w:szCs w:val="20"/>
              </w:rPr>
              <w:t xml:space="preserve">NS: </w:t>
            </w:r>
            <w:r>
              <w:rPr>
                <w:sz w:val="20"/>
                <w:szCs w:val="20"/>
              </w:rPr>
              <w:t>NorthShore</w:t>
            </w:r>
          </w:p>
        </w:tc>
        <w:tc>
          <w:tcPr>
            <w:tcW w:w="1415"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Skyra_fit</w:t>
            </w:r>
          </w:p>
        </w:tc>
        <w:tc>
          <w:tcPr>
            <w:tcW w:w="629"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70cm</w:t>
            </w:r>
          </w:p>
        </w:tc>
        <w:tc>
          <w:tcPr>
            <w:tcW w:w="1141"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45/200</w:t>
            </w:r>
          </w:p>
        </w:tc>
        <w:tc>
          <w:tcPr>
            <w:tcW w:w="3464" w:type="dxa"/>
            <w:tcBorders>
              <w:start w:val="single" w:sz="4" w:space="0" w:color="000000"/>
              <w:bottom w:val="single" w:sz="4" w:space="0" w:color="000000"/>
              <w:end w:val="single" w:sz="4" w:space="0" w:color="000000"/>
            </w:tcBorders>
            <w:vAlign w:val="center"/>
          </w:tcPr>
          <w:p>
            <w:pPr>
              <w:pStyle w:val="TableContents"/>
              <w:widowControl w:val="false"/>
              <w:bidi w:val="0"/>
              <w:jc w:val="start"/>
              <w:rPr>
                <w:sz w:val="20"/>
                <w:szCs w:val="20"/>
              </w:rPr>
            </w:pPr>
            <w:r>
              <w:rPr>
                <w:sz w:val="20"/>
                <w:szCs w:val="20"/>
              </w:rPr>
              <w:t>syngo MR E11 (VE11C)</w:t>
            </w:r>
          </w:p>
        </w:tc>
      </w:tr>
      <w:tr>
        <w:trPr>
          <w:cantSplit w:val="true"/>
        </w:trPr>
        <w:tc>
          <w:tcPr>
            <w:tcW w:w="810" w:type="dxa"/>
            <w:vMerge w:val="continue"/>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r>
          </w:p>
        </w:tc>
        <w:tc>
          <w:tcPr>
            <w:tcW w:w="1420" w:type="dxa"/>
            <w:tcBorders>
              <w:start w:val="single" w:sz="4" w:space="0" w:color="000000"/>
              <w:bottom w:val="single" w:sz="4" w:space="0" w:color="000000"/>
            </w:tcBorders>
            <w:vAlign w:val="center"/>
          </w:tcPr>
          <w:p>
            <w:pPr>
              <w:pStyle w:val="TableContents"/>
              <w:widowControl w:val="false"/>
              <w:bidi w:val="0"/>
              <w:jc w:val="start"/>
              <w:rPr>
                <w:sz w:val="20"/>
                <w:szCs w:val="20"/>
              </w:rPr>
            </w:pPr>
            <w:r>
              <w:rPr>
                <w:b/>
                <w:bCs/>
                <w:sz w:val="20"/>
                <w:szCs w:val="20"/>
              </w:rPr>
              <w:t xml:space="preserve">UC: </w:t>
            </w:r>
            <w:r>
              <w:rPr>
                <w:sz w:val="20"/>
                <w:szCs w:val="20"/>
              </w:rPr>
              <w:t>U. Chicago</w:t>
            </w:r>
          </w:p>
        </w:tc>
        <w:tc>
          <w:tcPr>
            <w:tcW w:w="1415"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Philips</w:t>
            </w:r>
          </w:p>
        </w:tc>
        <w:tc>
          <w:tcPr>
            <w:tcW w:w="1110"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Ingenia dStream</w:t>
            </w:r>
          </w:p>
        </w:tc>
        <w:tc>
          <w:tcPr>
            <w:tcW w:w="629"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70cm</w:t>
            </w:r>
          </w:p>
        </w:tc>
        <w:tc>
          <w:tcPr>
            <w:tcW w:w="1141"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80/200</w:t>
            </w:r>
          </w:p>
        </w:tc>
        <w:tc>
          <w:tcPr>
            <w:tcW w:w="3464" w:type="dxa"/>
            <w:tcBorders>
              <w:start w:val="single" w:sz="4" w:space="0" w:color="000000"/>
              <w:bottom w:val="single" w:sz="4" w:space="0" w:color="000000"/>
              <w:end w:val="single" w:sz="4" w:space="0" w:color="000000"/>
            </w:tcBorders>
            <w:vAlign w:val="center"/>
          </w:tcPr>
          <w:p>
            <w:pPr>
              <w:pStyle w:val="TableContents"/>
              <w:widowControl w:val="false"/>
              <w:bidi w:val="0"/>
              <w:jc w:val="start"/>
              <w:rPr>
                <w:sz w:val="20"/>
                <w:szCs w:val="20"/>
              </w:rPr>
            </w:pPr>
            <w:r>
              <w:rPr>
                <w:sz w:val="20"/>
                <w:szCs w:val="20"/>
              </w:rPr>
              <w:t>5.6.1.0</w:t>
            </w:r>
          </w:p>
        </w:tc>
      </w:tr>
      <w:tr>
        <w:trPr>
          <w:cantSplit w:val="true"/>
        </w:trPr>
        <w:tc>
          <w:tcPr>
            <w:tcW w:w="810" w:type="dxa"/>
            <w:vMerge w:val="restart"/>
            <w:tcBorders>
              <w:start w:val="single" w:sz="4" w:space="0" w:color="000000"/>
              <w:bottom w:val="single" w:sz="4" w:space="0" w:color="000000"/>
            </w:tcBorders>
            <w:vAlign w:val="center"/>
          </w:tcPr>
          <w:p>
            <w:pPr>
              <w:pStyle w:val="TableContents"/>
              <w:widowControl w:val="false"/>
              <w:bidi w:val="0"/>
              <w:jc w:val="start"/>
              <w:rPr>
                <w:b/>
                <w:bCs/>
                <w:sz w:val="20"/>
                <w:szCs w:val="20"/>
              </w:rPr>
            </w:pPr>
            <w:r>
              <w:rPr>
                <w:b/>
                <w:bCs/>
                <w:sz w:val="20"/>
                <w:szCs w:val="20"/>
              </w:rPr>
              <w:t>MCC2</w:t>
            </w:r>
          </w:p>
        </w:tc>
        <w:tc>
          <w:tcPr>
            <w:tcW w:w="1420" w:type="dxa"/>
            <w:vMerge w:val="restart"/>
            <w:tcBorders>
              <w:start w:val="single" w:sz="4" w:space="0" w:color="000000"/>
              <w:bottom w:val="single" w:sz="4" w:space="0" w:color="000000"/>
            </w:tcBorders>
            <w:vAlign w:val="center"/>
          </w:tcPr>
          <w:p>
            <w:pPr>
              <w:pStyle w:val="TableContents"/>
              <w:widowControl w:val="false"/>
              <w:bidi w:val="0"/>
              <w:jc w:val="start"/>
              <w:rPr>
                <w:sz w:val="20"/>
                <w:szCs w:val="20"/>
              </w:rPr>
            </w:pPr>
            <w:r>
              <w:rPr>
                <w:b/>
                <w:bCs/>
                <w:sz w:val="20"/>
                <w:szCs w:val="20"/>
              </w:rPr>
              <w:t xml:space="preserve">UM: </w:t>
            </w:r>
            <w:r>
              <w:rPr>
                <w:sz w:val="20"/>
                <w:szCs w:val="20"/>
              </w:rPr>
              <w:t>U. Michigan</w:t>
            </w:r>
          </w:p>
        </w:tc>
        <w:tc>
          <w:tcPr>
            <w:tcW w:w="1415"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Discovery 3T MR750</w:t>
            </w:r>
          </w:p>
        </w:tc>
        <w:tc>
          <w:tcPr>
            <w:tcW w:w="629"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60cm</w:t>
            </w:r>
          </w:p>
        </w:tc>
        <w:tc>
          <w:tcPr>
            <w:tcW w:w="1141"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50/200</w:t>
            </w:r>
          </w:p>
        </w:tc>
        <w:tc>
          <w:tcPr>
            <w:tcW w:w="3464" w:type="dxa"/>
            <w:tcBorders>
              <w:start w:val="single" w:sz="4" w:space="0" w:color="000000"/>
              <w:bottom w:val="single" w:sz="4" w:space="0" w:color="000000"/>
              <w:end w:val="single" w:sz="4" w:space="0" w:color="000000"/>
            </w:tcBorders>
            <w:vAlign w:val="center"/>
          </w:tcPr>
          <w:p>
            <w:pPr>
              <w:pStyle w:val="TableContents"/>
              <w:widowControl w:val="false"/>
              <w:bidi w:val="0"/>
              <w:jc w:val="start"/>
              <w:rPr>
                <w:sz w:val="20"/>
                <w:szCs w:val="20"/>
              </w:rPr>
            </w:pPr>
            <w:r>
              <w:rPr>
                <w:sz w:val="20"/>
                <w:szCs w:val="20"/>
              </w:rPr>
              <w:t>DV26.0 R02 1810.b &amp; DV29.1 R02 2131.a</w:t>
            </w:r>
          </w:p>
        </w:tc>
      </w:tr>
      <w:tr>
        <w:trPr>
          <w:cantSplit w:val="true"/>
        </w:trPr>
        <w:tc>
          <w:tcPr>
            <w:tcW w:w="810" w:type="dxa"/>
            <w:vMerge w:val="continue"/>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r>
          </w:p>
        </w:tc>
        <w:tc>
          <w:tcPr>
            <w:tcW w:w="1420" w:type="dxa"/>
            <w:vMerge w:val="continue"/>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r>
          </w:p>
        </w:tc>
        <w:tc>
          <w:tcPr>
            <w:tcW w:w="1415"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GE</w:t>
            </w:r>
          </w:p>
        </w:tc>
        <w:tc>
          <w:tcPr>
            <w:tcW w:w="1110"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Signa UHP</w:t>
            </w:r>
          </w:p>
        </w:tc>
        <w:tc>
          <w:tcPr>
            <w:tcW w:w="629"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60 cm</w:t>
            </w:r>
          </w:p>
        </w:tc>
        <w:tc>
          <w:tcPr>
            <w:tcW w:w="1141"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100/200</w:t>
            </w:r>
          </w:p>
        </w:tc>
        <w:tc>
          <w:tcPr>
            <w:tcW w:w="3464" w:type="dxa"/>
            <w:tcBorders>
              <w:start w:val="single" w:sz="4" w:space="0" w:color="000000"/>
              <w:bottom w:val="single" w:sz="4" w:space="0" w:color="000000"/>
              <w:end w:val="single" w:sz="4" w:space="0" w:color="000000"/>
            </w:tcBorders>
            <w:vAlign w:val="center"/>
          </w:tcPr>
          <w:p>
            <w:pPr>
              <w:pStyle w:val="TableContents"/>
              <w:widowControl w:val="false"/>
              <w:bidi w:val="0"/>
              <w:jc w:val="start"/>
              <w:rPr>
                <w:sz w:val="20"/>
                <w:szCs w:val="20"/>
              </w:rPr>
            </w:pPr>
            <w:r>
              <w:rPr>
                <w:sz w:val="20"/>
                <w:szCs w:val="20"/>
              </w:rPr>
              <w:t>RX28.0 R04 UHP3T 2111.a</w:t>
            </w:r>
          </w:p>
        </w:tc>
      </w:tr>
      <w:tr>
        <w:trPr>
          <w:cantSplit w:val="true"/>
        </w:trPr>
        <w:tc>
          <w:tcPr>
            <w:tcW w:w="810" w:type="dxa"/>
            <w:vMerge w:val="continue"/>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r>
          </w:p>
        </w:tc>
        <w:tc>
          <w:tcPr>
            <w:tcW w:w="1420" w:type="dxa"/>
            <w:tcBorders>
              <w:start w:val="single" w:sz="4" w:space="0" w:color="000000"/>
              <w:bottom w:val="single" w:sz="4" w:space="0" w:color="000000"/>
            </w:tcBorders>
            <w:vAlign w:val="center"/>
          </w:tcPr>
          <w:p>
            <w:pPr>
              <w:pStyle w:val="TableContents"/>
              <w:widowControl w:val="false"/>
              <w:bidi w:val="0"/>
              <w:jc w:val="start"/>
              <w:rPr>
                <w:sz w:val="20"/>
                <w:szCs w:val="20"/>
              </w:rPr>
            </w:pPr>
            <w:r>
              <w:rPr>
                <w:b/>
                <w:bCs/>
                <w:sz w:val="20"/>
                <w:szCs w:val="20"/>
              </w:rPr>
              <w:t>WS</w:t>
            </w:r>
            <w:r>
              <w:rPr>
                <w:b w:val="false"/>
                <w:bCs w:val="false"/>
                <w:sz w:val="20"/>
                <w:szCs w:val="20"/>
              </w:rPr>
              <w:t>: Wayne</w:t>
            </w:r>
            <w:r>
              <w:rPr>
                <w:sz w:val="20"/>
                <w:szCs w:val="20"/>
              </w:rPr>
              <w:t xml:space="preserve"> State</w:t>
            </w:r>
          </w:p>
        </w:tc>
        <w:tc>
          <w:tcPr>
            <w:tcW w:w="1415"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Verio</w:t>
            </w:r>
          </w:p>
        </w:tc>
        <w:tc>
          <w:tcPr>
            <w:tcW w:w="629"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70cm</w:t>
            </w:r>
          </w:p>
        </w:tc>
        <w:tc>
          <w:tcPr>
            <w:tcW w:w="1141"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45/200</w:t>
            </w:r>
          </w:p>
        </w:tc>
        <w:tc>
          <w:tcPr>
            <w:tcW w:w="3464" w:type="dxa"/>
            <w:tcBorders>
              <w:start w:val="single" w:sz="4" w:space="0" w:color="000000"/>
              <w:bottom w:val="single" w:sz="4" w:space="0" w:color="000000"/>
              <w:end w:val="single" w:sz="4" w:space="0" w:color="000000"/>
            </w:tcBorders>
            <w:vAlign w:val="center"/>
          </w:tcPr>
          <w:p>
            <w:pPr>
              <w:pStyle w:val="TableContents"/>
              <w:widowControl w:val="false"/>
              <w:bidi w:val="0"/>
              <w:jc w:val="start"/>
              <w:rPr>
                <w:sz w:val="20"/>
                <w:szCs w:val="20"/>
              </w:rPr>
            </w:pPr>
            <w:r>
              <w:rPr>
                <w:sz w:val="20"/>
                <w:szCs w:val="20"/>
              </w:rPr>
              <w:t>syngo MR B17</w:t>
            </w:r>
          </w:p>
        </w:tc>
      </w:tr>
      <w:tr>
        <w:trPr>
          <w:cantSplit w:val="true"/>
        </w:trPr>
        <w:tc>
          <w:tcPr>
            <w:tcW w:w="810" w:type="dxa"/>
            <w:vMerge w:val="continue"/>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r>
          </w:p>
        </w:tc>
        <w:tc>
          <w:tcPr>
            <w:tcW w:w="1420" w:type="dxa"/>
            <w:tcBorders>
              <w:start w:val="single" w:sz="4" w:space="0" w:color="000000"/>
              <w:bottom w:val="single" w:sz="4" w:space="0" w:color="000000"/>
            </w:tcBorders>
            <w:vAlign w:val="center"/>
          </w:tcPr>
          <w:p>
            <w:pPr>
              <w:pStyle w:val="TableContents"/>
              <w:widowControl w:val="false"/>
              <w:bidi w:val="0"/>
              <w:jc w:val="start"/>
              <w:rPr>
                <w:sz w:val="20"/>
                <w:szCs w:val="20"/>
              </w:rPr>
            </w:pPr>
            <w:r>
              <w:rPr>
                <w:b/>
                <w:bCs/>
                <w:sz w:val="20"/>
                <w:szCs w:val="20"/>
              </w:rPr>
              <w:t>SH</w:t>
            </w:r>
            <w:r>
              <w:rPr>
                <w:sz w:val="20"/>
                <w:szCs w:val="20"/>
              </w:rPr>
              <w:t>: Corewell Health/MSU - Grand Rapids</w:t>
            </w:r>
          </w:p>
        </w:tc>
        <w:tc>
          <w:tcPr>
            <w:tcW w:w="1415"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Siemens</w:t>
            </w:r>
          </w:p>
        </w:tc>
        <w:tc>
          <w:tcPr>
            <w:tcW w:w="1110"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Prisma</w:t>
            </w:r>
          </w:p>
        </w:tc>
        <w:tc>
          <w:tcPr>
            <w:tcW w:w="629"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60cm</w:t>
            </w:r>
          </w:p>
        </w:tc>
        <w:tc>
          <w:tcPr>
            <w:tcW w:w="1141" w:type="dxa"/>
            <w:tcBorders>
              <w:start w:val="single" w:sz="4" w:space="0" w:color="000000"/>
              <w:bottom w:val="single" w:sz="4" w:space="0" w:color="000000"/>
            </w:tcBorders>
            <w:vAlign w:val="center"/>
          </w:tcPr>
          <w:p>
            <w:pPr>
              <w:pStyle w:val="TableContents"/>
              <w:widowControl w:val="false"/>
              <w:bidi w:val="0"/>
              <w:jc w:val="start"/>
              <w:rPr>
                <w:sz w:val="20"/>
                <w:szCs w:val="20"/>
              </w:rPr>
            </w:pPr>
            <w:r>
              <w:rPr>
                <w:sz w:val="20"/>
                <w:szCs w:val="20"/>
              </w:rPr>
              <w:t>80/200</w:t>
            </w:r>
          </w:p>
        </w:tc>
        <w:tc>
          <w:tcPr>
            <w:tcW w:w="3464" w:type="dxa"/>
            <w:tcBorders>
              <w:start w:val="single" w:sz="4" w:space="0" w:color="000000"/>
              <w:bottom w:val="single" w:sz="4" w:space="0" w:color="000000"/>
              <w:end w:val="single" w:sz="4" w:space="0" w:color="000000"/>
            </w:tcBorders>
            <w:vAlign w:val="center"/>
          </w:tcPr>
          <w:p>
            <w:pPr>
              <w:pStyle w:val="TableContents"/>
              <w:widowControl w:val="false"/>
              <w:bidi w:val="0"/>
              <w:jc w:val="start"/>
              <w:rPr>
                <w:sz w:val="20"/>
                <w:szCs w:val="20"/>
              </w:rPr>
            </w:pPr>
            <w:r>
              <w:rPr>
                <w:sz w:val="20"/>
                <w:szCs w:val="20"/>
              </w:rPr>
              <w:t>MR E11 (VE11C) &amp; XA30</w:t>
            </w:r>
          </w:p>
        </w:tc>
      </w:tr>
    </w:tbl>
    <w:p>
      <w:pPr>
        <w:pStyle w:val="BodyText"/>
        <w:rPr/>
      </w:pPr>
      <w:r>
        <w:rPr/>
        <w:t>Gradients: Maximum mT/m amplitude and T/m/s slew rate</w:t>
      </w:r>
    </w:p>
    <w:p>
      <w:pPr>
        <w:pStyle w:val="BodyText"/>
        <w:bidi w:val="0"/>
        <w:jc w:val="start"/>
        <w:rPr/>
      </w:pPr>
      <w:r>
        <w:rPr/>
        <w:t>Corewell Health began the study as Spectrum Health, and thus has the designation “SH”.</w:t>
      </w:r>
    </w:p>
    <w:p>
      <w:pPr>
        <w:pStyle w:val="Caption"/>
        <w:rPr/>
      </w:pPr>
      <w:r>
        <w:rPr>
          <w:b/>
          <w:bCs/>
        </w:rPr>
        <w:t>Table 2</w:t>
      </w:r>
      <w:r>
        <w:rPr/>
        <w:t>: Headcoils and multiband implementations by site.</w:t>
      </w:r>
    </w:p>
    <w:tbl>
      <w:tblPr>
        <w:tblW w:w="7500" w:type="dxa"/>
        <w:jc w:val="start"/>
        <w:tblInd w:w="31" w:type="dxa"/>
        <w:tblLayout w:type="fixed"/>
        <w:tblCellMar>
          <w:top w:w="29" w:type="dxa"/>
          <w:start w:w="29" w:type="dxa"/>
          <w:bottom w:w="29" w:type="dxa"/>
          <w:end w:w="29" w:type="dxa"/>
        </w:tblCellMar>
      </w:tblPr>
      <w:tblGrid>
        <w:gridCol w:w="797"/>
        <w:gridCol w:w="943"/>
        <w:gridCol w:w="2610"/>
        <w:gridCol w:w="3149"/>
      </w:tblGrid>
      <w:tr>
        <w:trPr>
          <w:tblHeader w:val="true"/>
        </w:trPr>
        <w:tc>
          <w:tcPr>
            <w:tcW w:w="797" w:type="dxa"/>
            <w:tcBorders>
              <w:top w:val="single" w:sz="2" w:space="0" w:color="000000"/>
              <w:start w:val="single" w:sz="2" w:space="0" w:color="000000"/>
              <w:bottom w:val="single" w:sz="2" w:space="0" w:color="000000"/>
            </w:tcBorders>
            <w:vAlign w:val="center"/>
          </w:tcPr>
          <w:p>
            <w:pPr>
              <w:pStyle w:val="TableHeading"/>
              <w:widowControl w:val="false"/>
              <w:rPr>
                <w:sz w:val="20"/>
                <w:szCs w:val="20"/>
              </w:rPr>
            </w:pPr>
            <w:r>
              <w:rPr>
                <w:sz w:val="20"/>
                <w:szCs w:val="20"/>
              </w:rPr>
              <w:t>Group</w:t>
            </w:r>
          </w:p>
        </w:tc>
        <w:tc>
          <w:tcPr>
            <w:tcW w:w="943" w:type="dxa"/>
            <w:tcBorders>
              <w:top w:val="single" w:sz="2" w:space="0" w:color="000000"/>
              <w:start w:val="single" w:sz="2" w:space="0" w:color="000000"/>
              <w:bottom w:val="single" w:sz="2" w:space="0" w:color="000000"/>
            </w:tcBorders>
            <w:vAlign w:val="center"/>
          </w:tcPr>
          <w:p>
            <w:pPr>
              <w:pStyle w:val="TableHeading"/>
              <w:widowControl w:val="false"/>
              <w:rPr>
                <w:sz w:val="20"/>
                <w:szCs w:val="20"/>
              </w:rPr>
            </w:pPr>
            <w:r>
              <w:rPr>
                <w:sz w:val="20"/>
                <w:szCs w:val="20"/>
              </w:rPr>
              <w:t>Site</w:t>
            </w:r>
          </w:p>
        </w:tc>
        <w:tc>
          <w:tcPr>
            <w:tcW w:w="2610" w:type="dxa"/>
            <w:tcBorders>
              <w:top w:val="single" w:sz="2" w:space="0" w:color="000000"/>
              <w:start w:val="single" w:sz="2" w:space="0" w:color="000000"/>
              <w:bottom w:val="single" w:sz="2" w:space="0" w:color="000000"/>
            </w:tcBorders>
            <w:vAlign w:val="center"/>
          </w:tcPr>
          <w:p>
            <w:pPr>
              <w:pStyle w:val="TableHeading"/>
              <w:widowControl w:val="false"/>
              <w:rPr>
                <w:sz w:val="20"/>
                <w:szCs w:val="20"/>
              </w:rPr>
            </w:pPr>
            <w:r>
              <w:rPr>
                <w:sz w:val="20"/>
                <w:szCs w:val="20"/>
              </w:rPr>
              <w:t>Headcoil</w:t>
            </w:r>
          </w:p>
        </w:tc>
        <w:tc>
          <w:tcPr>
            <w:tcW w:w="3149" w:type="dxa"/>
            <w:tcBorders>
              <w:top w:val="single" w:sz="2" w:space="0" w:color="000000"/>
              <w:start w:val="single" w:sz="2" w:space="0" w:color="000000"/>
              <w:bottom w:val="single" w:sz="2" w:space="0" w:color="000000"/>
              <w:end w:val="single" w:sz="2" w:space="0" w:color="000000"/>
            </w:tcBorders>
            <w:vAlign w:val="center"/>
          </w:tcPr>
          <w:p>
            <w:pPr>
              <w:pStyle w:val="TableHeading"/>
              <w:widowControl w:val="false"/>
              <w:rPr>
                <w:sz w:val="20"/>
                <w:szCs w:val="20"/>
              </w:rPr>
            </w:pPr>
            <w:r>
              <w:rPr>
                <w:sz w:val="20"/>
                <w:szCs w:val="20"/>
              </w:rPr>
              <w:t>Multiband</w:t>
            </w:r>
          </w:p>
        </w:tc>
      </w:tr>
      <w:tr>
        <w:trPr/>
        <w:tc>
          <w:tcPr>
            <w:tcW w:w="797" w:type="dxa"/>
            <w:vMerge w:val="restart"/>
            <w:tcBorders>
              <w:start w:val="single" w:sz="2" w:space="0" w:color="000000"/>
              <w:bottom w:val="single" w:sz="2" w:space="0" w:color="000000"/>
            </w:tcBorders>
            <w:vAlign w:val="center"/>
          </w:tcPr>
          <w:p>
            <w:pPr>
              <w:pStyle w:val="TableContents"/>
              <w:widowControl w:val="false"/>
              <w:rPr>
                <w:b/>
                <w:bCs/>
                <w:sz w:val="20"/>
                <w:szCs w:val="20"/>
              </w:rPr>
            </w:pPr>
            <w:r>
              <w:rPr>
                <w:b/>
                <w:bCs/>
                <w:sz w:val="20"/>
                <w:szCs w:val="20"/>
              </w:rPr>
              <w:t>MCC1</w:t>
            </w:r>
          </w:p>
        </w:tc>
        <w:tc>
          <w:tcPr>
            <w:tcW w:w="943"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UI</w:t>
            </w:r>
          </w:p>
        </w:tc>
        <w:tc>
          <w:tcPr>
            <w:tcW w:w="2610"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Nova Medical 32ch</w:t>
            </w:r>
          </w:p>
        </w:tc>
        <w:tc>
          <w:tcPr>
            <w:tcW w:w="3149" w:type="dxa"/>
            <w:tcBorders>
              <w:start w:val="single" w:sz="2" w:space="0" w:color="000000"/>
              <w:bottom w:val="single" w:sz="2" w:space="0" w:color="000000"/>
              <w:end w:val="single" w:sz="2" w:space="0" w:color="000000"/>
            </w:tcBorders>
            <w:vAlign w:val="center"/>
          </w:tcPr>
          <w:p>
            <w:pPr>
              <w:pStyle w:val="TableContents"/>
              <w:widowControl w:val="false"/>
              <w:rPr>
                <w:sz w:val="20"/>
                <w:szCs w:val="20"/>
              </w:rPr>
            </w:pPr>
            <w:r>
              <w:rPr>
                <w:sz w:val="20"/>
                <w:szCs w:val="20"/>
              </w:rPr>
              <w:t>ABCD</w:t>
            </w:r>
          </w:p>
        </w:tc>
      </w:tr>
      <w:tr>
        <w:trPr/>
        <w:tc>
          <w:tcPr>
            <w:tcW w:w="797" w:type="dxa"/>
            <w:vMerge w:val="continue"/>
            <w:tcBorders>
              <w:start w:val="single" w:sz="2" w:space="0" w:color="000000"/>
              <w:bottom w:val="single" w:sz="2" w:space="0" w:color="000000"/>
            </w:tcBorders>
            <w:vAlign w:val="center"/>
          </w:tcPr>
          <w:p>
            <w:pPr>
              <w:pStyle w:val="TableContents"/>
              <w:widowControl w:val="false"/>
              <w:rPr>
                <w:sz w:val="20"/>
                <w:szCs w:val="20"/>
              </w:rPr>
            </w:pPr>
            <w:r>
              <w:rPr>
                <w:sz w:val="20"/>
                <w:szCs w:val="20"/>
              </w:rPr>
            </w:r>
          </w:p>
        </w:tc>
        <w:tc>
          <w:tcPr>
            <w:tcW w:w="943"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NS</w:t>
            </w:r>
          </w:p>
        </w:tc>
        <w:tc>
          <w:tcPr>
            <w:tcW w:w="2610"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64ch</w:t>
            </w:r>
          </w:p>
        </w:tc>
        <w:tc>
          <w:tcPr>
            <w:tcW w:w="3149" w:type="dxa"/>
            <w:tcBorders>
              <w:start w:val="single" w:sz="2" w:space="0" w:color="000000"/>
              <w:bottom w:val="single" w:sz="2" w:space="0" w:color="000000"/>
              <w:end w:val="single" w:sz="2" w:space="0" w:color="000000"/>
            </w:tcBorders>
            <w:vAlign w:val="center"/>
          </w:tcPr>
          <w:p>
            <w:pPr>
              <w:pStyle w:val="TableContents"/>
              <w:widowControl w:val="false"/>
              <w:rPr>
                <w:sz w:val="20"/>
                <w:szCs w:val="20"/>
              </w:rPr>
            </w:pPr>
            <w:r>
              <w:rPr>
                <w:sz w:val="20"/>
                <w:szCs w:val="20"/>
              </w:rPr>
              <w:t>MGH</w:t>
            </w:r>
          </w:p>
        </w:tc>
      </w:tr>
      <w:tr>
        <w:trPr/>
        <w:tc>
          <w:tcPr>
            <w:tcW w:w="797" w:type="dxa"/>
            <w:vMerge w:val="continue"/>
            <w:tcBorders>
              <w:start w:val="single" w:sz="2" w:space="0" w:color="000000"/>
              <w:bottom w:val="single" w:sz="2" w:space="0" w:color="000000"/>
            </w:tcBorders>
            <w:vAlign w:val="center"/>
          </w:tcPr>
          <w:p>
            <w:pPr>
              <w:pStyle w:val="TableContents"/>
              <w:widowControl w:val="false"/>
              <w:rPr>
                <w:sz w:val="20"/>
                <w:szCs w:val="20"/>
              </w:rPr>
            </w:pPr>
            <w:r>
              <w:rPr>
                <w:sz w:val="20"/>
                <w:szCs w:val="20"/>
              </w:rPr>
            </w:r>
          </w:p>
        </w:tc>
        <w:tc>
          <w:tcPr>
            <w:tcW w:w="943"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UC</w:t>
            </w:r>
          </w:p>
        </w:tc>
        <w:tc>
          <w:tcPr>
            <w:tcW w:w="2610" w:type="dxa"/>
            <w:tcBorders>
              <w:start w:val="single" w:sz="2" w:space="0" w:color="000000"/>
              <w:bottom w:val="single" w:sz="2" w:space="0" w:color="000000"/>
            </w:tcBorders>
            <w:vAlign w:val="center"/>
          </w:tcPr>
          <w:p>
            <w:pPr>
              <w:pStyle w:val="TableContents"/>
              <w:widowControl w:val="false"/>
              <w:rPr>
                <w:color w:val="auto"/>
                <w:sz w:val="20"/>
                <w:szCs w:val="20"/>
              </w:rPr>
            </w:pPr>
            <w:r>
              <w:rPr>
                <w:color w:val="auto"/>
                <w:sz w:val="20"/>
                <w:szCs w:val="20"/>
              </w:rPr>
              <w:t>Philips 32ch dStream</w:t>
            </w:r>
          </w:p>
        </w:tc>
        <w:tc>
          <w:tcPr>
            <w:tcW w:w="3149" w:type="dxa"/>
            <w:tcBorders>
              <w:start w:val="single" w:sz="2" w:space="0" w:color="000000"/>
              <w:bottom w:val="single" w:sz="2" w:space="0" w:color="000000"/>
              <w:end w:val="single" w:sz="2" w:space="0" w:color="000000"/>
            </w:tcBorders>
            <w:vAlign w:val="center"/>
          </w:tcPr>
          <w:p>
            <w:pPr>
              <w:pStyle w:val="TableContents"/>
              <w:widowControl w:val="false"/>
              <w:rPr>
                <w:sz w:val="20"/>
                <w:szCs w:val="20"/>
              </w:rPr>
            </w:pPr>
            <w:r>
              <w:rPr>
                <w:sz w:val="20"/>
                <w:szCs w:val="20"/>
              </w:rPr>
              <w:t>Philips product sequence</w:t>
            </w:r>
          </w:p>
        </w:tc>
      </w:tr>
      <w:tr>
        <w:trPr/>
        <w:tc>
          <w:tcPr>
            <w:tcW w:w="797" w:type="dxa"/>
            <w:vMerge w:val="restart"/>
            <w:tcBorders>
              <w:start w:val="single" w:sz="2" w:space="0" w:color="000000"/>
              <w:bottom w:val="single" w:sz="2" w:space="0" w:color="000000"/>
            </w:tcBorders>
            <w:vAlign w:val="center"/>
          </w:tcPr>
          <w:p>
            <w:pPr>
              <w:pStyle w:val="TableContents"/>
              <w:widowControl w:val="false"/>
              <w:rPr>
                <w:b/>
                <w:bCs/>
                <w:sz w:val="20"/>
                <w:szCs w:val="20"/>
              </w:rPr>
            </w:pPr>
            <w:r>
              <w:rPr>
                <w:b/>
                <w:bCs/>
                <w:sz w:val="20"/>
                <w:szCs w:val="20"/>
              </w:rPr>
              <w:t>MCC2</w:t>
            </w:r>
          </w:p>
        </w:tc>
        <w:tc>
          <w:tcPr>
            <w:tcW w:w="943"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UM</w:t>
            </w:r>
          </w:p>
        </w:tc>
        <w:tc>
          <w:tcPr>
            <w:tcW w:w="2610"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32ch</w:t>
            </w:r>
          </w:p>
        </w:tc>
        <w:tc>
          <w:tcPr>
            <w:tcW w:w="3149" w:type="dxa"/>
            <w:tcBorders>
              <w:start w:val="single" w:sz="2" w:space="0" w:color="000000"/>
              <w:bottom w:val="single" w:sz="2" w:space="0" w:color="000000"/>
              <w:end w:val="single" w:sz="2" w:space="0" w:color="000000"/>
            </w:tcBorders>
            <w:vAlign w:val="center"/>
          </w:tcPr>
          <w:p>
            <w:pPr>
              <w:pStyle w:val="TableContents"/>
              <w:widowControl w:val="false"/>
              <w:rPr>
                <w:sz w:val="20"/>
                <w:szCs w:val="20"/>
              </w:rPr>
            </w:pPr>
            <w:r>
              <w:rPr>
                <w:sz w:val="20"/>
                <w:szCs w:val="20"/>
              </w:rPr>
              <w:t>ABCD</w:t>
            </w:r>
          </w:p>
        </w:tc>
      </w:tr>
      <w:tr>
        <w:trPr/>
        <w:tc>
          <w:tcPr>
            <w:tcW w:w="797" w:type="dxa"/>
            <w:vMerge w:val="continue"/>
            <w:tcBorders>
              <w:start w:val="single" w:sz="2" w:space="0" w:color="000000"/>
              <w:bottom w:val="single" w:sz="2" w:space="0" w:color="000000"/>
            </w:tcBorders>
            <w:vAlign w:val="center"/>
          </w:tcPr>
          <w:p>
            <w:pPr>
              <w:pStyle w:val="TableContents"/>
              <w:widowControl w:val="false"/>
              <w:rPr>
                <w:sz w:val="20"/>
                <w:szCs w:val="20"/>
              </w:rPr>
            </w:pPr>
            <w:r>
              <w:rPr>
                <w:sz w:val="20"/>
                <w:szCs w:val="20"/>
              </w:rPr>
            </w:r>
          </w:p>
        </w:tc>
        <w:tc>
          <w:tcPr>
            <w:tcW w:w="943"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WS</w:t>
            </w:r>
          </w:p>
        </w:tc>
        <w:tc>
          <w:tcPr>
            <w:tcW w:w="2610"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32ch</w:t>
            </w:r>
          </w:p>
        </w:tc>
        <w:tc>
          <w:tcPr>
            <w:tcW w:w="3149" w:type="dxa"/>
            <w:tcBorders>
              <w:start w:val="single" w:sz="2" w:space="0" w:color="000000"/>
              <w:bottom w:val="single" w:sz="2" w:space="0" w:color="000000"/>
              <w:end w:val="single" w:sz="2" w:space="0" w:color="000000"/>
            </w:tcBorders>
            <w:vAlign w:val="center"/>
          </w:tcPr>
          <w:p>
            <w:pPr>
              <w:pStyle w:val="TableContents"/>
              <w:widowControl w:val="false"/>
              <w:rPr>
                <w:sz w:val="20"/>
                <w:szCs w:val="20"/>
              </w:rPr>
            </w:pPr>
            <w:r>
              <w:rPr>
                <w:sz w:val="20"/>
                <w:szCs w:val="20"/>
              </w:rPr>
              <w:t>CMRR</w:t>
            </w:r>
          </w:p>
        </w:tc>
      </w:tr>
      <w:tr>
        <w:trPr/>
        <w:tc>
          <w:tcPr>
            <w:tcW w:w="797" w:type="dxa"/>
            <w:vMerge w:val="continue"/>
            <w:tcBorders>
              <w:start w:val="single" w:sz="2" w:space="0" w:color="000000"/>
              <w:bottom w:val="single" w:sz="2" w:space="0" w:color="000000"/>
            </w:tcBorders>
            <w:vAlign w:val="center"/>
          </w:tcPr>
          <w:p>
            <w:pPr>
              <w:pStyle w:val="TableContents"/>
              <w:widowControl w:val="false"/>
              <w:rPr>
                <w:sz w:val="20"/>
                <w:szCs w:val="20"/>
              </w:rPr>
            </w:pPr>
            <w:r>
              <w:rPr>
                <w:sz w:val="20"/>
                <w:szCs w:val="20"/>
              </w:rPr>
            </w:r>
          </w:p>
        </w:tc>
        <w:tc>
          <w:tcPr>
            <w:tcW w:w="943"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SH</w:t>
            </w:r>
          </w:p>
        </w:tc>
        <w:tc>
          <w:tcPr>
            <w:tcW w:w="2610" w:type="dxa"/>
            <w:tcBorders>
              <w:start w:val="single" w:sz="2" w:space="0" w:color="000000"/>
              <w:bottom w:val="single" w:sz="2" w:space="0" w:color="000000"/>
            </w:tcBorders>
            <w:vAlign w:val="center"/>
          </w:tcPr>
          <w:p>
            <w:pPr>
              <w:pStyle w:val="TableContents"/>
              <w:widowControl w:val="false"/>
              <w:rPr>
                <w:sz w:val="20"/>
                <w:szCs w:val="20"/>
              </w:rPr>
            </w:pPr>
            <w:r>
              <w:rPr>
                <w:sz w:val="20"/>
                <w:szCs w:val="20"/>
              </w:rPr>
              <w:t>64ch</w:t>
            </w:r>
          </w:p>
        </w:tc>
        <w:tc>
          <w:tcPr>
            <w:tcW w:w="3149" w:type="dxa"/>
            <w:tcBorders>
              <w:start w:val="single" w:sz="2" w:space="0" w:color="000000"/>
              <w:bottom w:val="single" w:sz="2" w:space="0" w:color="000000"/>
              <w:end w:val="single" w:sz="2" w:space="0" w:color="000000"/>
            </w:tcBorders>
            <w:vAlign w:val="center"/>
          </w:tcPr>
          <w:p>
            <w:pPr>
              <w:pStyle w:val="TableContents"/>
              <w:widowControl w:val="false"/>
              <w:rPr>
                <w:sz w:val="20"/>
                <w:szCs w:val="20"/>
              </w:rPr>
            </w:pPr>
            <w:r>
              <w:rPr>
                <w:sz w:val="20"/>
                <w:szCs w:val="20"/>
              </w:rPr>
              <w:t>Siemens product sequence</w:t>
            </w:r>
          </w:p>
        </w:tc>
      </w:tr>
    </w:tbl>
    <w:p>
      <w:pPr>
        <w:pStyle w:val="BodyText"/>
        <w:bidi w:val="0"/>
        <w:jc w:val="start"/>
        <w:rPr/>
      </w:pPr>
      <w:r>
        <w:rPr/>
      </w:r>
    </w:p>
    <w:p>
      <w:pPr>
        <w:pStyle w:val="BodyText"/>
        <w:bidi w:val="0"/>
        <w:jc w:val="start"/>
        <w:rPr/>
      </w:pPr>
      <w:r>
        <w:rPr/>
        <w:t>Site specific imaging protocols were adapted from the ABCD study's published imaging protocol (</w:t>
      </w:r>
      <w:hyperlink r:id="rId3">
        <w:r>
          <w:rPr>
            <w:rStyle w:val="Hyperlink"/>
          </w:rPr>
          <w:t>https://abcdstudy.org/images/Protocol_Imaging_Sequences.pdf</w:t>
        </w:r>
      </w:hyperlink>
      <w:r>
        <w:rPr/>
        <w:t>) and at some sites ABCD sequences were available and used. Most sites follow ABCD’s T1w, DWI, and fMRI specification exactly, but fMRI and DWI protocols required alternate parameters on older scanners. Specific sequence parameter information is available in the BIDS .json files for each scan.</w:t>
      </w:r>
    </w:p>
    <w:p>
      <w:pPr>
        <w:pStyle w:val="Heading1"/>
        <w:numPr>
          <w:ilvl w:val="0"/>
          <w:numId w:val="1"/>
        </w:numPr>
        <w:rPr/>
      </w:pPr>
      <w:bookmarkStart w:id="6" w:name="__RefHeading___Toc1053_2524662722"/>
      <w:bookmarkEnd w:id="6"/>
      <w:r>
        <w:rPr/>
        <w:t>3. Assigned Quality Ratings</w:t>
      </w:r>
    </w:p>
    <w:p>
      <w:pPr>
        <w:pStyle w:val="BodyText"/>
        <w:rPr/>
      </w:pPr>
      <w:r>
        <w:rPr/>
        <w:t>To facilititate monitoring of the success of image acquisitions across sites and to aid in recording problematic cases we devised a simple “tri-band” rating scheme that is used to assign all images a color code:</w:t>
      </w:r>
    </w:p>
    <w:p>
      <w:pPr>
        <w:pStyle w:val="BodyText"/>
        <w:numPr>
          <w:ilvl w:val="0"/>
          <w:numId w:val="6"/>
        </w:numPr>
        <w:rPr/>
      </w:pPr>
      <w:r>
        <w:rPr/>
        <w:t>Green: no known issues</w:t>
      </w:r>
    </w:p>
    <w:p>
      <w:pPr>
        <w:pStyle w:val="BodyText"/>
        <w:numPr>
          <w:ilvl w:val="0"/>
          <w:numId w:val="6"/>
        </w:numPr>
        <w:rPr/>
      </w:pPr>
      <w:r>
        <w:rPr/>
        <w:t>Yellow: minor variations/issues; correctable</w:t>
      </w:r>
    </w:p>
    <w:p>
      <w:pPr>
        <w:pStyle w:val="BodyText"/>
        <w:numPr>
          <w:ilvl w:val="0"/>
          <w:numId w:val="6"/>
        </w:numPr>
        <w:rPr/>
      </w:pPr>
      <w:r>
        <w:rPr/>
        <w:t>Red: significant variations/issues; not expected to be comparable</w:t>
      </w:r>
    </w:p>
    <w:p>
      <w:pPr>
        <w:pStyle w:val="BodyText"/>
        <w:rPr/>
      </w:pPr>
      <w:r>
        <w:rPr/>
        <w:t xml:space="preserve">Note that a “red” rating does </w:t>
      </w:r>
      <w:r>
        <w:rPr>
          <w:i/>
          <w:iCs/>
        </w:rPr>
        <w:t>not</w:t>
      </w:r>
      <w:r>
        <w:rPr>
          <w:i w:val="false"/>
          <w:iCs w:val="false"/>
        </w:rPr>
        <w:t xml:space="preserve"> mean that data are unusable, but simply that a scan has been judged to be different from other scans of its type in a non-correctable way. We expect that a final decision on the  usability of scans will need to be made by experimenters using a more detailed assessment in comparison to the actual needs of a specific analysis, and we therefore caution not to take these quality assessments as final usability evaluations. </w:t>
      </w:r>
    </w:p>
    <w:p>
      <w:pPr>
        <w:pStyle w:val="BodyText"/>
        <w:rPr/>
      </w:pPr>
      <w:r>
        <w:rPr>
          <w:i w:val="false"/>
          <w:iCs w:val="false"/>
        </w:rPr>
        <w:t>In this release, quality ratings are limited to raw data, though in future releases we plan to provide similar ratings guidance on at least key aspects of derivative outputs (such as masks). No significant issues are known to affect the outputs of any of the A2CPS imaging derivative pipelines, and in the event of pipeline failures for any reason on individual cases, those results are omitted unless they can be corrected.</w:t>
      </w:r>
    </w:p>
    <w:p>
      <w:pPr>
        <w:pStyle w:val="Heading1"/>
        <w:numPr>
          <w:ilvl w:val="0"/>
          <w:numId w:val="1"/>
        </w:numPr>
        <w:rPr/>
      </w:pPr>
      <w:bookmarkStart w:id="7" w:name="__RefHeading___Toc1055_2524662722"/>
      <w:bookmarkEnd w:id="7"/>
      <w:r>
        <w:rPr/>
        <w:t>4. fMRI Protocol Issues</w:t>
      </w:r>
    </w:p>
    <w:p>
      <w:pPr>
        <w:pStyle w:val="BodyText"/>
        <w:bidi w:val="0"/>
        <w:jc w:val="start"/>
        <w:rPr/>
      </w:pPr>
      <w:r>
        <w:rPr/>
        <w:t>There were compromises needed to run the ABCD protocol successfully on some scanners.</w:t>
      </w:r>
    </w:p>
    <w:p>
      <w:pPr>
        <w:pStyle w:val="BodyText"/>
        <w:bidi w:val="0"/>
        <w:jc w:val="start"/>
        <w:rPr/>
      </w:pPr>
      <w:r>
        <w:rPr/>
        <w:t xml:space="preserve">MCC1/NS NorthShore fMRI scans have a TE of 32 ms, versus 30 ms in the ABCD protocol. </w:t>
      </w:r>
    </w:p>
    <w:p>
      <w:pPr>
        <w:pStyle w:val="BodyText"/>
        <w:bidi w:val="0"/>
        <w:jc w:val="start"/>
        <w:rPr/>
      </w:pPr>
      <w:r>
        <w:rPr/>
        <w:t>MCC1/UC fMRI scans use a reconstruction matrix of 96x96, versus 90x90 in the ABCD protocol, and an FOV of 213 instead of the 216 specified. This results in a voxel resolution of 2.22 x 2.22 x 2.4 mm instead of the target 2.4 mm isotropic resolution. The acquisition matrix is set to 88x89, which does result in a 2.4 mm isotropic acquisition voxel size, but Philips scanners cannot set arbitrary in-plane matrix size on reconstructed EPI images.</w:t>
      </w:r>
    </w:p>
    <w:p>
      <w:pPr>
        <w:pStyle w:val="BodyText"/>
        <w:bidi w:val="0"/>
        <w:jc w:val="start"/>
        <w:rPr/>
      </w:pPr>
      <w:r>
        <w:rPr/>
        <w:t xml:space="preserve">The number of slices for both MCC1/NS and MCC1/UC fMRI scans is 54 versus 60 in the ABCD protocol, which means that coverage is 10% less than in the ABCD protocol (54 x 2.4 = 129.6 mm versus 144 mm in ABCD).  </w:t>
      </w:r>
    </w:p>
    <w:p>
      <w:pPr>
        <w:pStyle w:val="Heading2"/>
        <w:numPr>
          <w:ilvl w:val="1"/>
          <w:numId w:val="1"/>
        </w:numPr>
        <w:bidi w:val="0"/>
        <w:jc w:val="start"/>
        <w:rPr/>
      </w:pPr>
      <w:bookmarkStart w:id="8" w:name="__RefHeading___Toc1057_2524662722"/>
      <w:bookmarkEnd w:id="8"/>
      <w:r>
        <w:rPr/>
        <w:t>fMRI Slice Packets</w:t>
      </w:r>
    </w:p>
    <w:p>
      <w:pPr>
        <w:pStyle w:val="BodyText"/>
        <w:rPr/>
      </w:pPr>
      <w:r>
        <w:rPr/>
        <w:t xml:space="preserve">In principle, when using a multiband acquisition with the most basic sequential ordering of slices care should be taken in choosing the number of slices in relation to the multiband acceleration factor, as some choices can result in spatially adjacent slices being excited in rapid succession, leading to slice cross talk (Barth et al. 2016). In practice, since this issue was highlighted, individual vendors have developed slice ordering strategies that avoid this issue, and although the ABCD fMRI sequence used in A2CPS is in theory susceptible to this issue, we have found no evidence of signal loss due in the slices identified as potentially vulnerable. See the document </w:t>
      </w:r>
      <w:r>
        <w:rPr>
          <w:i/>
          <w:iCs/>
        </w:rPr>
        <w:t>A2CPS fMRI Slice Packets</w:t>
      </w:r>
      <w:r>
        <w:rPr/>
        <w:t xml:space="preserve"> for further notes on this issue and how it applies to ABCD/A2CPS scans.</w:t>
      </w:r>
    </w:p>
    <w:p>
      <w:pPr>
        <w:pStyle w:val="Heading2"/>
        <w:numPr>
          <w:ilvl w:val="1"/>
          <w:numId w:val="1"/>
        </w:numPr>
        <w:bidi w:val="0"/>
        <w:jc w:val="start"/>
        <w:rPr/>
      </w:pPr>
      <w:bookmarkStart w:id="9" w:name="__RefHeading___Toc1059_2524662722"/>
      <w:bookmarkEnd w:id="9"/>
      <w:r>
        <w:rPr/>
        <w:t>B0 Distortion Correction Scans</w:t>
      </w:r>
    </w:p>
    <w:p>
      <w:pPr>
        <w:pStyle w:val="BodyText"/>
        <w:bidi w:val="0"/>
        <w:jc w:val="start"/>
        <w:rPr/>
      </w:pPr>
      <w:r>
        <w:rPr/>
        <w:t xml:space="preserve">The A2CPS project uses the (Holland et al. 2010) method of acquiring spin echo images with opposite phase encoding direction. These are used to construct fieldmaps for susceptibility distortion correction. </w:t>
      </w:r>
    </w:p>
    <w:p>
      <w:pPr>
        <w:pStyle w:val="BodyText"/>
        <w:bidi w:val="0"/>
        <w:jc w:val="start"/>
        <w:rPr/>
      </w:pPr>
      <w:r>
        <w:rPr/>
        <w:t>The ABCD protocol followed by A2CPS does not specify what should be done for distortion correction, though it is possible that implementations of ABCD are following unpublished advice on this. The UIC (GE) site in particular reported that they were following the ABCD protocol.</w:t>
      </w:r>
    </w:p>
    <w:p>
      <w:pPr>
        <w:pStyle w:val="BodyText"/>
        <w:bidi w:val="0"/>
        <w:jc w:val="start"/>
        <w:rPr/>
      </w:pPr>
      <w:r>
        <w:rPr/>
        <w:t>In common practice, B0 scans for constructing fieldmaps match the geometry of the target scans (the ones to be distortion corrected). In some cases in A2CPS, the geometry will be slightly different.</w:t>
      </w:r>
    </w:p>
    <w:p>
      <w:pPr>
        <w:pStyle w:val="BodyText"/>
        <w:bidi w:val="0"/>
        <w:jc w:val="start"/>
        <w:rPr/>
      </w:pPr>
      <w:r>
        <w:rPr/>
        <w:t>The target ABCD FMRI protocol specifies the following: 90x90, 2.4x2.4x2.4, FOV 216x216.</w:t>
      </w:r>
    </w:p>
    <w:p>
      <w:pPr>
        <w:pStyle w:val="BodyText"/>
        <w:numPr>
          <w:ilvl w:val="0"/>
          <w:numId w:val="2"/>
        </w:numPr>
        <w:bidi w:val="0"/>
        <w:jc w:val="start"/>
        <w:rPr/>
      </w:pPr>
      <w:r>
        <w:rPr/>
        <w:t>The NorthShore Siemens fMRI B0 (“GE_EPI_B0”) matches this, as does its fMRI, except that the number of slices is different (60 for AP/PA GE_EPI_B0, vs. 54 for fMRI). The number of fMRI slices was reduced to allow the scanner to match the other details of the ABCD protocol, and this had the side effect of mitigating slice packet issues (see fMRI Slice Packets section).</w:t>
      </w:r>
    </w:p>
    <w:p>
      <w:pPr>
        <w:pStyle w:val="BodyText"/>
        <w:numPr>
          <w:ilvl w:val="0"/>
          <w:numId w:val="2"/>
        </w:numPr>
        <w:bidi w:val="0"/>
        <w:jc w:val="start"/>
        <w:rPr/>
      </w:pPr>
      <w:r>
        <w:rPr/>
        <w:t>The UC Philips fMRI B0 has a different setup for both fMRi and B0: 96x96, 2.2x2.2x2.4, implying FOV of 213x213.</w:t>
      </w:r>
    </w:p>
    <w:p>
      <w:pPr>
        <w:pStyle w:val="BodyText"/>
        <w:numPr>
          <w:ilvl w:val="0"/>
          <w:numId w:val="2"/>
        </w:numPr>
        <w:bidi w:val="0"/>
        <w:jc w:val="start"/>
        <w:rPr/>
      </w:pPr>
      <w:r>
        <w:rPr/>
        <w:t>The UIC GE fMRI B0 is different from fMRI: 128x128, 1.69x1.69x2.4, implying FOV of 216x216. This setup also has other differences, as explained in the next section.</w:t>
      </w:r>
    </w:p>
    <w:p>
      <w:pPr>
        <w:pStyle w:val="Heading3"/>
        <w:numPr>
          <w:ilvl w:val="2"/>
          <w:numId w:val="1"/>
        </w:numPr>
        <w:bidi w:val="0"/>
        <w:jc w:val="start"/>
        <w:rPr/>
      </w:pPr>
      <w:r>
        <w:rPr/>
        <w:t>GE B0 Scans</w:t>
      </w:r>
    </w:p>
    <w:p>
      <w:pPr>
        <w:pStyle w:val="BodyText"/>
        <w:bidi w:val="0"/>
        <w:jc w:val="start"/>
        <w:rPr/>
      </w:pPr>
      <w:r>
        <w:rPr/>
        <w:t xml:space="preserve">The GE setup is different from other sites in that AP and PA are not separate acquisitions. The single "FMRI_B0" scan packs AP and PA spin echo scans together with a front-back flip on alternate brains with order AP-PA-AP-PA. The GE "DWI_B0", in contrast, has 8 images in the same orientation (no front/back flip), of which only the first two have the desired b=0 (the other six have b=3000). This is because a 6 direction DWI with one phase encoding direction had to be used as it was not possible to collect unweighted images only with opposite phase encoding. </w:t>
      </w:r>
    </w:p>
    <w:p>
      <w:pPr>
        <w:pStyle w:val="BodyText"/>
        <w:bidi w:val="0"/>
        <w:jc w:val="start"/>
        <w:rPr/>
      </w:pPr>
      <w:r>
        <w:rPr/>
        <w:t>The intention is that the two b=0 images (phase encoding PA) should be combined with the b=0 images from the A2CPS DWI (phase encoding AP) to create a fieldmap. Accordingly, we build "DWI_B0_PA" and "DWI_B0_AP" images to match the other scanners:</w:t>
      </w:r>
    </w:p>
    <w:p>
      <w:pPr>
        <w:pStyle w:val="BodyText"/>
        <w:bidi w:val="0"/>
        <w:jc w:val="start"/>
        <w:rPr/>
      </w:pPr>
      <w:r>
        <w:rPr/>
        <w:t xml:space="preserve">    </w:t>
      </w:r>
      <w:r>
        <w:rPr/>
        <w:t>DWI_B0_PA is the first 2 volumes (determined from the bvals) of the acquired DWI_B0 image</w:t>
      </w:r>
    </w:p>
    <w:p>
      <w:pPr>
        <w:pStyle w:val="BodyText"/>
        <w:bidi w:val="0"/>
        <w:jc w:val="start"/>
        <w:rPr/>
      </w:pPr>
      <w:r>
        <w:rPr/>
        <w:t xml:space="preserve">    </w:t>
      </w:r>
      <w:r>
        <w:rPr/>
        <w:t>DWI_B0_AP is a copy of the first 2 volumes (determined from the bvals) of the acquired dwi image</w:t>
      </w:r>
    </w:p>
    <w:p>
      <w:pPr>
        <w:pStyle w:val="BodyText"/>
        <w:bidi w:val="0"/>
        <w:jc w:val="start"/>
        <w:rPr/>
      </w:pPr>
      <w:r>
        <w:rPr/>
        <w:t>For both the UIC FMRI_B0 and the UIC DWI_B0, the BIDS JSON files are adjusted to ensure opposite phase encoding directions are recorded properly.</w:t>
      </w:r>
    </w:p>
    <w:p>
      <w:pPr>
        <w:pStyle w:val="BodyText"/>
        <w:bidi w:val="0"/>
        <w:jc w:val="start"/>
        <w:rPr/>
      </w:pPr>
      <w:r>
        <w:rPr/>
        <w:t>When GE v. 28 and v. 29 acquisitions were acquired for the UM site, a slightly different setup from UIC was used that resulted in the same output data. Specifically, an opposite phase DWI is acquired as part of the DWI acquisition and exported as a DWI derived series, matching the DWI_B0 for UIC GE scans.</w:t>
      </w:r>
    </w:p>
    <w:p>
      <w:pPr>
        <w:pStyle w:val="Heading1"/>
        <w:numPr>
          <w:ilvl w:val="0"/>
          <w:numId w:val="1"/>
        </w:numPr>
        <w:bidi w:val="0"/>
        <w:jc w:val="start"/>
        <w:rPr/>
      </w:pPr>
      <w:bookmarkStart w:id="10" w:name="__RefHeading___Toc1061_2524662722"/>
      <w:bookmarkEnd w:id="10"/>
      <w:r>
        <w:rPr/>
        <w:t>5. DWI Protocol Issues</w:t>
      </w:r>
    </w:p>
    <w:p>
      <w:pPr>
        <w:pStyle w:val="Heading2"/>
        <w:numPr>
          <w:ilvl w:val="1"/>
          <w:numId w:val="1"/>
        </w:numPr>
        <w:bidi w:val="0"/>
        <w:jc w:val="start"/>
        <w:rPr/>
      </w:pPr>
      <w:bookmarkStart w:id="11" w:name="__RefHeading___Toc1063_2524662722"/>
      <w:bookmarkEnd w:id="11"/>
      <w:r>
        <w:rPr/>
        <w:t>DWI Protocol Variations</w:t>
      </w:r>
    </w:p>
    <w:p>
      <w:pPr>
        <w:pStyle w:val="BodyText"/>
        <w:bidi w:val="0"/>
        <w:jc w:val="start"/>
        <w:rPr/>
      </w:pPr>
      <w:r>
        <w:rPr/>
        <w:t>The DWI matrix dimensions per the ABCD protocol that A2CPS adopted are 140x140, with FOV of 240x240 and resulting 1.7 mm isotropic voxel dimensions. In practice the Philips setup (UChicago) has a matrix of 144x144 and all sites deviate slightly on voxel dimensions (1.67x1.67x1.70 for Philips, 1.71x1.71.x1.70 for GE/Siemens).</w:t>
      </w:r>
    </w:p>
    <w:p>
      <w:pPr>
        <w:pStyle w:val="BodyText"/>
        <w:bidi w:val="0"/>
        <w:jc w:val="start"/>
        <w:rPr/>
      </w:pPr>
      <w:r>
        <w:rPr/>
        <w:t>The number of b=0 volumes used for GE scanners was increased by two in the ABCD protocol in an update for scanner version DV26, resulting in 104 volumes total (versus 102 at other sites).</w:t>
      </w:r>
    </w:p>
    <w:p>
      <w:pPr>
        <w:pStyle w:val="BodyText"/>
        <w:bidi w:val="0"/>
        <w:jc w:val="start"/>
        <w:rPr/>
      </w:pPr>
      <w:r>
        <w:rPr/>
        <w:t>All scanners have DWI B0 scans with dimensions corresponding to the DWIs.</w:t>
      </w:r>
    </w:p>
    <w:p>
      <w:pPr>
        <w:pStyle w:val="Heading2"/>
        <w:numPr>
          <w:ilvl w:val="1"/>
          <w:numId w:val="1"/>
        </w:numPr>
        <w:bidi w:val="0"/>
        <w:jc w:val="start"/>
        <w:rPr/>
      </w:pPr>
      <w:bookmarkStart w:id="12" w:name="__RefHeading___Toc1065_2524662722"/>
      <w:bookmarkEnd w:id="12"/>
      <w:r>
        <w:rPr/>
        <w:t>GE Specific DICOM Problems</w:t>
      </w:r>
    </w:p>
    <w:p>
      <w:pPr>
        <w:pStyle w:val="BodyText"/>
        <w:bidi w:val="0"/>
        <w:jc w:val="start"/>
        <w:rPr/>
      </w:pPr>
      <w:r>
        <w:rPr/>
        <w:t>Incorrect DWI information was stored in DWI sequences in GE software versions up to DV26 (this seemingly was improved in DV27 and finally corrected in DV28). Thus we do not have the ability to automatically extract the right information from MCC1/UIC scans, and must rely on the assumption of correct b-values and b-vectors.</w:t>
      </w:r>
    </w:p>
    <w:p>
      <w:pPr>
        <w:pStyle w:val="BodyText"/>
        <w:bidi w:val="0"/>
        <w:jc w:val="start"/>
        <w:rPr/>
      </w:pPr>
      <w:r>
        <w:rPr/>
        <w:t>GE engineers worked with dcm2niix’s team to improve the dcm2niix handling of GE DWI DICOMs. The version of dcm2niix used for this data should be the Fall 2021 release or later to benefit from these improvements.</w:t>
      </w:r>
    </w:p>
    <w:p>
      <w:pPr>
        <w:pStyle w:val="Heading3"/>
        <w:numPr>
          <w:ilvl w:val="2"/>
          <w:numId w:val="1"/>
        </w:numPr>
        <w:bidi w:val="0"/>
        <w:jc w:val="start"/>
        <w:rPr/>
      </w:pPr>
      <w:r>
        <w:rPr/>
        <w:t>MCC1/UC b-Value Variations</w:t>
      </w:r>
    </w:p>
    <w:p>
      <w:pPr>
        <w:pStyle w:val="BodyText"/>
        <w:numPr>
          <w:ilvl w:val="2"/>
          <w:numId w:val="1"/>
        </w:numPr>
        <w:rPr/>
      </w:pPr>
      <w:r>
        <w:rPr/>
        <w:t xml:space="preserve"> </w:t>
      </w:r>
      <w:r>
        <w:rPr/>
        <w:t xml:space="preserve">UC DWI “b=0” images actually have very low but nonzero b-values (e.g. 0.01). This appears to be a Philips encoding decision to support custom gradient tables. Tools like QSIprep handle this kind of variation by treating everything below a given threshold as b=0 (by default </w:t>
      </w:r>
      <w:r>
        <w:rPr>
          <w:rFonts w:ascii="Consolas" w:hAnsi="Consolas"/>
          <w:sz w:val="22"/>
          <w:szCs w:val="22"/>
        </w:rPr>
        <w:t>--b0-threshold</w:t>
      </w:r>
      <w:r>
        <w:rPr/>
        <w:t xml:space="preserve"> is set to 100: see </w:t>
      </w:r>
      <w:r>
        <w:fldChar w:fldCharType="begin"/>
      </w:r>
      <w:r>
        <w:rPr>
          <w:rStyle w:val="Hyperlink"/>
        </w:rPr>
        <w:instrText xml:space="preserve"> HYPERLINK "https://qsiprep.readthedocs.io/en/latest/usage.html" \l "workflow-configuration"</w:instrText>
      </w:r>
      <w:r>
        <w:rPr>
          <w:rStyle w:val="Hyperlink"/>
        </w:rPr>
        <w:fldChar w:fldCharType="separate"/>
      </w:r>
      <w:r>
        <w:rPr>
          <w:rStyle w:val="Hyperlink"/>
        </w:rPr>
        <w:t>https://qsiprep.readthedocs.io/en/latest/usage.html#workflow-configuration</w:t>
      </w:r>
      <w:r>
        <w:rPr>
          <w:rStyle w:val="Hyperlink"/>
        </w:rPr>
        <w:fldChar w:fldCharType="end"/>
      </w:r>
      <w:r>
        <w:rPr/>
        <w:t>).</w:t>
      </w:r>
    </w:p>
    <w:p>
      <w:pPr>
        <w:pStyle w:val="Heading3"/>
        <w:numPr>
          <w:ilvl w:val="2"/>
          <w:numId w:val="1"/>
        </w:numPr>
        <w:bidi w:val="0"/>
        <w:jc w:val="start"/>
        <w:rPr/>
      </w:pPr>
      <w:r>
        <w:rPr/>
        <w:t>MCC2/WS b-Value Variations</w:t>
      </w:r>
    </w:p>
    <w:p>
      <w:pPr>
        <w:pStyle w:val="BodyText"/>
        <w:rPr/>
      </w:pPr>
      <w:r>
        <w:rPr/>
        <w:t>The b-values on the MCC2/WS Wayne State Siemens Verio scanner have an imprecision of about 0.5% in many of the values relative to the MCC1/NS NorthShore values, from which they were set using a Siemens b-matrix file. For example, the first ten NorthShore b-values are</w:t>
      </w:r>
    </w:p>
    <w:p>
      <w:pPr>
        <w:pStyle w:val="PreformattedText"/>
        <w:rPr/>
      </w:pPr>
      <w:r>
        <w:rPr/>
        <w:t xml:space="preserve">         </w:t>
      </w:r>
      <w:r>
        <w:rPr/>
        <w:t>0 3000 3000 2000 3000 1000 3000 3000 2000 3000</w:t>
      </w:r>
    </w:p>
    <w:p>
      <w:pPr>
        <w:pStyle w:val="BodyText"/>
        <w:rPr/>
      </w:pPr>
      <w:r>
        <w:rPr/>
        <w:t>and the corresponding values as recorded at Wayne State become</w:t>
      </w:r>
    </w:p>
    <w:p>
      <w:pPr>
        <w:pStyle w:val="PreformattedText"/>
        <w:rPr/>
      </w:pPr>
      <w:r>
        <w:rPr/>
        <w:t xml:space="preserve">         </w:t>
      </w:r>
      <w:r>
        <w:rPr/>
        <w:t>5 2995 3000 2000 2995 1000 2995 3005 1995 3000</w:t>
      </w:r>
    </w:p>
    <w:p>
      <w:pPr>
        <w:pStyle w:val="BodyText"/>
        <w:bidi w:val="0"/>
        <w:jc w:val="start"/>
        <w:rPr/>
      </w:pPr>
      <w:r>
        <w:rPr/>
        <w:t>This is believed to be a rounding issue – the Siemens b-matrix format encodes each bvec as a unit vector scaled according to b-value. This was judged to be an acceptable variation. Though the examples here have deviations of at most 5, the maximum deviation that has been seen is 15 on b=3000.</w:t>
      </w:r>
    </w:p>
    <w:p>
      <w:pPr>
        <w:pStyle w:val="Heading3"/>
        <w:numPr>
          <w:ilvl w:val="2"/>
          <w:numId w:val="1"/>
        </w:numPr>
        <w:bidi w:val="0"/>
        <w:jc w:val="start"/>
        <w:rPr/>
      </w:pPr>
      <w:r>
        <w:rPr/>
        <w:t>MCC2/SH b-Vector Variations</w:t>
      </w:r>
    </w:p>
    <w:p>
      <w:pPr>
        <w:pStyle w:val="BodyText"/>
        <w:numPr>
          <w:ilvl w:val="0"/>
          <w:numId w:val="1"/>
        </w:numPr>
        <w:bidi w:val="0"/>
        <w:jc w:val="start"/>
        <w:rPr/>
      </w:pPr>
      <w:r>
        <w:rPr/>
        <w:t xml:space="preserve">The b-vectors from MCC2/SH Corewell Health do not match the MCC1/NS NorthShore reference values. Also, the SH setup has 103 volumes vs. 102 at NS (SH has two b=0 volumes at the start vs. one at NS).  </w:t>
      </w:r>
    </w:p>
    <w:p>
      <w:pPr>
        <w:pStyle w:val="BodyText"/>
        <w:numPr>
          <w:ilvl w:val="0"/>
          <w:numId w:val="1"/>
        </w:numPr>
        <w:bidi w:val="0"/>
        <w:jc w:val="start"/>
        <w:rPr/>
      </w:pPr>
      <w:r>
        <w:rPr/>
        <w:t>First 5 bvecs (SH), including initial b=0 volumes:</w:t>
      </w:r>
    </w:p>
    <w:p>
      <w:pPr>
        <w:pStyle w:val="PreformattedText"/>
        <w:numPr>
          <w:ilvl w:val="0"/>
          <w:numId w:val="1"/>
        </w:numPr>
        <w:rPr/>
      </w:pPr>
      <w:r>
        <w:rPr/>
        <w:t xml:space="preserve">         </w:t>
      </w:r>
      <w:r>
        <w:rPr/>
        <w:t>0    0        -0.3563   -0.9345   -0.1869</w:t>
      </w:r>
    </w:p>
    <w:p>
      <w:pPr>
        <w:pStyle w:val="PreformattedText"/>
        <w:numPr>
          <w:ilvl w:val="0"/>
          <w:numId w:val="1"/>
        </w:numPr>
        <w:rPr/>
      </w:pPr>
      <w:r>
        <w:rPr/>
        <w:t xml:space="preserve">         </w:t>
      </w:r>
      <w:r>
        <w:rPr/>
        <w:t>0    0        -0.6561   -0.2721    0.9566</w:t>
      </w:r>
    </w:p>
    <w:p>
      <w:pPr>
        <w:pStyle w:val="PreformattedText"/>
        <w:numPr>
          <w:ilvl w:val="0"/>
          <w:numId w:val="1"/>
        </w:numPr>
        <w:rPr/>
      </w:pPr>
      <w:r>
        <w:rPr/>
        <w:t xml:space="preserve">         </w:t>
      </w:r>
      <w:r>
        <w:rPr/>
        <w:t>0    0         0.6653    0.2293   -0.2234</w:t>
      </w:r>
    </w:p>
    <w:p>
      <w:pPr>
        <w:pStyle w:val="BodyText"/>
        <w:numPr>
          <w:ilvl w:val="0"/>
          <w:numId w:val="1"/>
        </w:numPr>
        <w:bidi w:val="0"/>
        <w:jc w:val="start"/>
        <w:rPr/>
      </w:pPr>
      <w:r>
        <w:rPr/>
        <w:t>Corresponding first 5 bvecs from NS:</w:t>
      </w:r>
    </w:p>
    <w:p>
      <w:pPr>
        <w:pStyle w:val="PreformattedText"/>
        <w:numPr>
          <w:ilvl w:val="0"/>
          <w:numId w:val="1"/>
        </w:numPr>
        <w:rPr/>
      </w:pPr>
      <w:r>
        <w:rPr/>
        <w:t xml:space="preserve">         </w:t>
      </w:r>
      <w:r>
        <w:rPr/>
        <w:t>0    0.3563    0.9346    0.1869    0.1108</w:t>
      </w:r>
    </w:p>
    <w:p>
      <w:pPr>
        <w:pStyle w:val="PreformattedText"/>
        <w:numPr>
          <w:ilvl w:val="0"/>
          <w:numId w:val="1"/>
        </w:numPr>
        <w:rPr/>
      </w:pPr>
      <w:r>
        <w:rPr/>
        <w:t xml:space="preserve">         </w:t>
      </w:r>
      <w:r>
        <w:rPr/>
        <w:t>0    0.6563    0.2722   -0.9565   -0.1193</w:t>
      </w:r>
    </w:p>
    <w:p>
      <w:pPr>
        <w:pStyle w:val="PreformattedText"/>
        <w:numPr>
          <w:ilvl w:val="0"/>
          <w:numId w:val="1"/>
        </w:numPr>
        <w:rPr/>
      </w:pPr>
      <w:r>
        <w:rPr/>
        <w:t xml:space="preserve">         </w:t>
      </w:r>
      <w:r>
        <w:rPr/>
        <w:t>0    0.6651    0.2290   -0.2238    0.9867</w:t>
      </w:r>
    </w:p>
    <w:p>
      <w:pPr>
        <w:pStyle w:val="BodyText"/>
        <w:numPr>
          <w:ilvl w:val="2"/>
          <w:numId w:val="1"/>
        </w:numPr>
        <w:rPr/>
      </w:pPr>
      <w:r>
        <w:rPr/>
        <w:t>Both NS and SH use versions of the ABCD fMRI sequences, but they are believed to differ in version. The alternate vectors would be geometrically equivalent, and will not affect processing if as intended individual bvec/bval files are always used for each scan.</w:t>
      </w:r>
    </w:p>
    <w:p>
      <w:pPr>
        <w:pStyle w:val="Heading3"/>
        <w:numPr>
          <w:ilvl w:val="2"/>
          <w:numId w:val="1"/>
        </w:numPr>
        <w:bidi w:val="0"/>
        <w:jc w:val="start"/>
        <w:rPr/>
      </w:pPr>
      <w:r>
        <w:rPr/>
        <w:t>MCC2/WS b-Vector Variations</w:t>
      </w:r>
    </w:p>
    <w:p>
      <w:pPr>
        <w:pStyle w:val="BodyText"/>
        <w:bidi w:val="0"/>
        <w:jc w:val="start"/>
        <w:rPr/>
      </w:pPr>
      <w:r>
        <w:rPr/>
        <w:t>The b-vectors from the MCC2/WS Wayne State Siemens Verio scanner do not match the MCC1/NS NorthShore values, from which they were set using a Siemens b-matrix file. The first five vectors are as follows at Northshore,</w:t>
      </w:r>
    </w:p>
    <w:p>
      <w:pPr>
        <w:pStyle w:val="PreformattedText"/>
        <w:rPr/>
      </w:pPr>
      <w:r>
        <w:rPr/>
        <w:t xml:space="preserve">         </w:t>
      </w:r>
      <w:r>
        <w:rPr/>
        <w:t>0    0.3563   0.9346    0.1869   0.1108</w:t>
      </w:r>
    </w:p>
    <w:p>
      <w:pPr>
        <w:pStyle w:val="PreformattedText"/>
        <w:rPr/>
      </w:pPr>
      <w:r>
        <w:rPr/>
        <w:t xml:space="preserve">         </w:t>
      </w:r>
      <w:r>
        <w:rPr/>
        <w:t>0    0.6563   0.2722   -0.9565  -0.1193</w:t>
      </w:r>
    </w:p>
    <w:p>
      <w:pPr>
        <w:pStyle w:val="PreformattedText"/>
        <w:rPr/>
      </w:pPr>
      <w:r>
        <w:rPr/>
        <w:t xml:space="preserve">         </w:t>
      </w:r>
      <w:r>
        <w:rPr/>
        <w:t>0    0.6651   0.2290   -0.2238   0.9867</w:t>
      </w:r>
    </w:p>
    <w:p>
      <w:pPr>
        <w:pStyle w:val="BodyText"/>
        <w:bidi w:val="0"/>
        <w:jc w:val="start"/>
        <w:rPr/>
      </w:pPr>
      <w:r>
        <w:rPr/>
        <w:t>and at Wayne State,</w:t>
      </w:r>
    </w:p>
    <w:p>
      <w:pPr>
        <w:pStyle w:val="PreformattedText"/>
        <w:rPr/>
      </w:pPr>
      <w:r>
        <w:rPr/>
        <w:t xml:space="preserve">         </w:t>
      </w:r>
      <w:r>
        <w:rPr/>
        <w:t>0    0.6555   0.2720   -0.9571  -0.1188</w:t>
      </w:r>
    </w:p>
    <w:p>
      <w:pPr>
        <w:pStyle w:val="PreformattedText"/>
        <w:rPr/>
      </w:pPr>
      <w:r>
        <w:rPr/>
        <w:t xml:space="preserve">         </w:t>
      </w:r>
      <w:r>
        <w:rPr/>
        <w:t>0    0.3559   0.9342    0.1870   0.1107</w:t>
      </w:r>
    </w:p>
    <w:p>
      <w:pPr>
        <w:pStyle w:val="PreformattedText"/>
        <w:rPr/>
      </w:pPr>
      <w:r>
        <w:rPr/>
        <w:t xml:space="preserve">         </w:t>
      </w:r>
      <w:r>
        <w:rPr/>
        <w:t>0   -0.6661  -0.2306    0.2214  -0.9867</w:t>
      </w:r>
    </w:p>
    <w:p>
      <w:pPr>
        <w:pStyle w:val="BodyText"/>
        <w:bidi w:val="0"/>
        <w:jc w:val="start"/>
        <w:rPr/>
      </w:pPr>
      <w:r>
        <w:rPr/>
        <w:t>The Siemens vector input file is interpreted differently by the two scanners so that (x, y, z) at NorthShore becomes (y, x, -z) at WSU. The spatial coverage is identical. (Note that in the WSU case, there will be the appearance of 6 extra vectors because the "b=0" images, which have (0,0,0) vectors in the NorthShore case, are assigned actual vectors due to having b=5 in the WSU setup due to the previous issue above.)</w:t>
      </w:r>
    </w:p>
    <w:p>
      <w:pPr>
        <w:pStyle w:val="Heading1"/>
        <w:numPr>
          <w:ilvl w:val="0"/>
          <w:numId w:val="1"/>
        </w:numPr>
        <w:bidi w:val="0"/>
        <w:jc w:val="start"/>
        <w:rPr/>
      </w:pPr>
      <w:bookmarkStart w:id="13" w:name="__RefHeading___Toc1067_2524662722"/>
      <w:bookmarkEnd w:id="13"/>
      <w:r>
        <w:rPr/>
        <w:t>6. T1W Protocol Issues</w:t>
      </w:r>
    </w:p>
    <w:p>
      <w:pPr>
        <w:pStyle w:val="BodyText"/>
        <w:bidi w:val="0"/>
        <w:jc w:val="start"/>
        <w:rPr/>
      </w:pPr>
      <w:r>
        <w:rPr/>
        <w:t>The ABCD protocol document</w:t>
      </w:r>
      <w:r>
        <w:rPr>
          <w:rStyle w:val="FootnoteReference"/>
        </w:rPr>
        <w:footnoteReference w:id="2"/>
      </w:r>
      <w:r>
        <w:rPr/>
        <w:t xml:space="preserve"> specifies a TR of 2500 ms for the T1 scan on GE scanners. Despite this, and despite the fact that UIC reports they are running ABCD study sequences unmodified, the UIC TR = 6.952 ms for T1 scans.</w:t>
      </w:r>
    </w:p>
    <w:p>
      <w:pPr>
        <w:pStyle w:val="Heading1"/>
        <w:numPr>
          <w:ilvl w:val="0"/>
          <w:numId w:val="1"/>
        </w:numPr>
        <w:bidi w:val="0"/>
        <w:jc w:val="start"/>
        <w:rPr/>
      </w:pPr>
      <w:bookmarkStart w:id="14" w:name="__RefHeading___Toc1069_2524662722"/>
      <w:bookmarkEnd w:id="14"/>
      <w:r>
        <w:rPr/>
        <w:t>7. Acquisition Issues</w:t>
      </w:r>
    </w:p>
    <w:p>
      <w:pPr>
        <w:pStyle w:val="BodyText"/>
        <w:bidi w:val="0"/>
        <w:jc w:val="start"/>
        <w:rPr/>
      </w:pPr>
      <w:r>
        <w:rPr/>
        <w:t>In rare cases, individual runs can be affected by a variety of issues. For details of known issues and specific scans they affect, please see the A2CPS Confluence page on “Problem Cases” (</w:t>
      </w:r>
      <w:hyperlink r:id="rId4">
        <w:r>
          <w:rPr>
            <w:rStyle w:val="Hyperlink"/>
          </w:rPr>
          <w:t>https://a2cps.atlassian.net/wiki/spaces/DOC/pages/5406735/Imaging+Log+-+Problem+Cases</w:t>
        </w:r>
      </w:hyperlink>
      <w:r>
        <w:rPr/>
        <w:t>); currently version 98 as of this release.  Notable issues listed there included</w:t>
      </w:r>
    </w:p>
    <w:p>
      <w:pPr>
        <w:pStyle w:val="BodyText"/>
        <w:numPr>
          <w:ilvl w:val="0"/>
          <w:numId w:val="11"/>
        </w:numPr>
        <w:bidi w:val="0"/>
        <w:jc w:val="start"/>
        <w:rPr/>
      </w:pPr>
      <w:r>
        <w:rPr/>
        <w:t>Occasional mis-acquisition of PA scans on Siemens due to an interface issue.</w:t>
      </w:r>
    </w:p>
    <w:p>
      <w:pPr>
        <w:pStyle w:val="BodyText"/>
        <w:numPr>
          <w:ilvl w:val="0"/>
          <w:numId w:val="11"/>
        </w:numPr>
        <w:bidi w:val="0"/>
        <w:jc w:val="start"/>
        <w:rPr/>
      </w:pPr>
      <w:r>
        <w:rPr/>
        <w:t>Changes to the partial Fourier fraction (PFF) setting</w:t>
      </w:r>
    </w:p>
    <w:p>
      <w:pPr>
        <w:pStyle w:val="BodyText"/>
        <w:numPr>
          <w:ilvl w:val="0"/>
          <w:numId w:val="11"/>
        </w:numPr>
        <w:bidi w:val="0"/>
        <w:jc w:val="start"/>
        <w:rPr/>
      </w:pPr>
      <w:r>
        <w:rPr/>
        <w:t>Interruption of scan session, resulting in subject repositioning before resumption.</w:t>
      </w:r>
    </w:p>
    <w:p>
      <w:pPr>
        <w:pStyle w:val="BodyText"/>
        <w:numPr>
          <w:ilvl w:val="0"/>
          <w:numId w:val="11"/>
        </w:numPr>
        <w:bidi w:val="0"/>
        <w:jc w:val="start"/>
        <w:rPr/>
      </w:pPr>
      <w:r>
        <w:rPr/>
        <w:t>Truncated scans (these are also flagged with a Red quality rating).</w:t>
      </w:r>
    </w:p>
    <w:p>
      <w:pPr>
        <w:pStyle w:val="BodyText"/>
        <w:bidi w:val="0"/>
        <w:jc w:val="start"/>
        <w:rPr/>
      </w:pPr>
      <w:r>
        <w:rPr/>
        <w:t xml:space="preserve">There were also a few issues worth noting that occurred during the initial setup period (first 100 scans, through August 2021). </w:t>
      </w:r>
    </w:p>
    <w:p>
      <w:pPr>
        <w:pStyle w:val="BodyText"/>
        <w:numPr>
          <w:ilvl w:val="0"/>
          <w:numId w:val="12"/>
        </w:numPr>
        <w:bidi w:val="0"/>
        <w:jc w:val="start"/>
        <w:rPr/>
      </w:pPr>
      <w:r>
        <w:rPr/>
        <w:t>Face masking was not initially recorded on an individual basis (this begin in Fall 2021). Prior to that, in some cases the information on Confluence</w:t>
      </w:r>
      <w:r>
        <w:rPr>
          <w:rStyle w:val="FootnoteReference"/>
        </w:rPr>
        <w:footnoteReference w:id="3"/>
      </w:r>
      <w:r>
        <w:rPr/>
        <w:t xml:space="preserve"> on site policies during this period will provide sufficient information to infer mask use.</w:t>
      </w:r>
    </w:p>
    <w:p>
      <w:pPr>
        <w:pStyle w:val="BodyText"/>
        <w:numPr>
          <w:ilvl w:val="0"/>
          <w:numId w:val="12"/>
        </w:numPr>
        <w:bidi w:val="0"/>
        <w:jc w:val="start"/>
        <w:rPr/>
      </w:pPr>
      <w:r>
        <w:rPr/>
        <w:t xml:space="preserve">There are a small number of </w:t>
      </w:r>
      <w:r>
        <w:rPr/>
        <w:t xml:space="preserve">“pressureless cuff” scans. These are instances of the CUFF1 and CUFF2 scans with no inflation applied, and can be identified by checking the events.tsv files of Cuff scans for “applied_pressure” values of 0. </w:t>
      </w:r>
    </w:p>
    <w:p>
      <w:pPr>
        <w:pStyle w:val="BodyText"/>
        <w:numPr>
          <w:ilvl w:val="0"/>
          <w:numId w:val="12"/>
        </w:numPr>
        <w:bidi w:val="0"/>
        <w:jc w:val="start"/>
        <w:rPr/>
      </w:pPr>
      <w:r>
        <w:rPr/>
        <w:t>In very early scans, prior to protocol clarification there might have been instances in which “pressureless cuff” or “cuff contraindicated” subjects were run without the cuff deployed.</w:t>
      </w:r>
    </w:p>
    <w:p>
      <w:pPr>
        <w:pStyle w:val="Heading1"/>
        <w:numPr>
          <w:ilvl w:val="0"/>
          <w:numId w:val="1"/>
        </w:numPr>
        <w:bidi w:val="0"/>
        <w:jc w:val="start"/>
        <w:rPr/>
      </w:pPr>
      <w:bookmarkStart w:id="15" w:name="__RefHeading___Toc14274_2568790285"/>
      <w:bookmarkEnd w:id="15"/>
      <w:r>
        <w:rPr/>
        <w:t>8. Incomplete Scan Sessions</w:t>
      </w:r>
    </w:p>
    <w:p>
      <w:pPr>
        <w:pStyle w:val="BodyText"/>
        <w:bidi w:val="0"/>
        <w:jc w:val="start"/>
        <w:rPr/>
      </w:pPr>
      <w:r>
        <w:rPr/>
        <w:t>In some cases, scan sessions were terminated early, usually at the request of the research participant, resulting in an incomplete set of scans. In rare cases, technical issues such as scan reconstruction failure on the scanner also reduced scan availability.</w:t>
      </w:r>
    </w:p>
    <w:p>
      <w:pPr>
        <w:pStyle w:val="BodyText"/>
        <w:bidi w:val="0"/>
        <w:jc w:val="start"/>
        <w:rPr/>
      </w:pPr>
      <w:r>
        <w:rPr/>
        <w:t>The following are notes on specific cases of particular interest:</w:t>
      </w:r>
    </w:p>
    <w:p>
      <w:pPr>
        <w:pStyle w:val="BodyText"/>
        <w:numPr>
          <w:ilvl w:val="0"/>
          <w:numId w:val="4"/>
        </w:numPr>
        <w:bidi w:val="0"/>
        <w:jc w:val="start"/>
        <w:rPr/>
      </w:pPr>
      <w:r>
        <w:rPr/>
        <w:t xml:space="preserve">There are three cases in which only the T1w scan (the first in the session) is available: 10005, 10245, and 15001. </w:t>
      </w:r>
    </w:p>
    <w:p>
      <w:pPr>
        <w:pStyle w:val="BodyText"/>
        <w:numPr>
          <w:ilvl w:val="0"/>
          <w:numId w:val="4"/>
        </w:numPr>
        <w:bidi w:val="0"/>
        <w:jc w:val="start"/>
        <w:rPr/>
      </w:pPr>
      <w:r>
        <w:rPr/>
        <w:t xml:space="preserve"> </w:t>
      </w:r>
      <w:r>
        <w:rPr/>
        <w:t xml:space="preserve">There are two cases in which </w:t>
      </w:r>
      <w:r>
        <w:rPr>
          <w:i w:val="false"/>
          <w:iCs w:val="false"/>
        </w:rPr>
        <w:t>no T1w scan is available: 10205</w:t>
      </w:r>
      <w:r>
        <w:rPr/>
        <w:t>, a reconstruction failure on the scanner, and 25012, a case where severe dental artifact led to the T1w not being saved. These scans will appear in the BIDS dataset but not in the derivatives, since all derivative pipelines required T1w images.</w:t>
      </w:r>
    </w:p>
    <w:p>
      <w:pPr>
        <w:pStyle w:val="BodyText"/>
        <w:numPr>
          <w:ilvl w:val="0"/>
          <w:numId w:val="4"/>
        </w:numPr>
        <w:bidi w:val="0"/>
        <w:jc w:val="start"/>
        <w:rPr/>
      </w:pPr>
      <w:r>
        <w:rPr/>
        <w:t>There are a small number of cases with REST2 but no Cuff scans, violating the "pain bracketing" expectation for Rest scans. These have been flagged as “Red” quality to distinguish them as incomparable to other REST2 scans.</w:t>
      </w:r>
    </w:p>
    <w:p>
      <w:pPr>
        <w:pStyle w:val="BodyText"/>
        <w:bidi w:val="0"/>
        <w:jc w:val="start"/>
        <w:rPr/>
      </w:pPr>
      <w:r>
        <w:rPr/>
        <w:t>There are 595 cases with T1w imaging, including the three above with no other images. The following are the numbers for other images:</w:t>
      </w:r>
    </w:p>
    <w:p>
      <w:pPr>
        <w:pStyle w:val="BodyText"/>
        <w:numPr>
          <w:ilvl w:val="0"/>
          <w:numId w:val="5"/>
        </w:numPr>
        <w:bidi w:val="0"/>
        <w:jc w:val="start"/>
        <w:rPr/>
      </w:pPr>
      <w:r>
        <w:rPr/>
        <w:t>DWI: 589/595 (exceptions: 10005, 10245, 10327, 10553, 25047, 15001)</w:t>
      </w:r>
    </w:p>
    <w:p>
      <w:pPr>
        <w:pStyle w:val="BodyText"/>
        <w:numPr>
          <w:ilvl w:val="0"/>
          <w:numId w:val="5"/>
        </w:numPr>
        <w:bidi w:val="0"/>
        <w:jc w:val="start"/>
        <w:rPr/>
      </w:pPr>
      <w:r>
        <w:rPr/>
        <w:t>REST1: 586/595 (exceptions: 10005, 10147, 10245, 10329, 10423, 10538, 10553, 25050, 15001)</w:t>
      </w:r>
    </w:p>
    <w:p>
      <w:pPr>
        <w:pStyle w:val="BodyText"/>
        <w:numPr>
          <w:ilvl w:val="0"/>
          <w:numId w:val="5"/>
        </w:numPr>
        <w:bidi w:val="0"/>
        <w:jc w:val="start"/>
        <w:rPr/>
      </w:pPr>
      <w:r>
        <w:rPr/>
        <w:t>CUFF1: 458/595</w:t>
      </w:r>
    </w:p>
    <w:p>
      <w:pPr>
        <w:pStyle w:val="BodyText"/>
        <w:numPr>
          <w:ilvl w:val="0"/>
          <w:numId w:val="5"/>
        </w:numPr>
        <w:bidi w:val="0"/>
        <w:jc w:val="start"/>
        <w:rPr/>
      </w:pPr>
      <w:r>
        <w:rPr/>
        <w:t>CUFF2: 385/595</w:t>
      </w:r>
    </w:p>
    <w:p>
      <w:pPr>
        <w:pStyle w:val="BodyText"/>
        <w:numPr>
          <w:ilvl w:val="0"/>
          <w:numId w:val="5"/>
        </w:numPr>
        <w:bidi w:val="0"/>
        <w:jc w:val="start"/>
        <w:rPr/>
      </w:pPr>
      <w:r>
        <w:rPr/>
        <w:t>REST2: 477/595</w:t>
      </w:r>
    </w:p>
    <w:p>
      <w:pPr>
        <w:pStyle w:val="BodyText"/>
        <w:bidi w:val="0"/>
        <w:jc w:val="start"/>
        <w:rPr/>
      </w:pPr>
      <w:r>
        <w:rPr/>
        <w:t>As noted earlier, imaging products are included in this release only if the A2CPS pipeline completed successfully – thus, there will be cases for which BIDS data exists but no products are yet available. We plan to release a Release 1.1 Update with additional products for cases in this set.</w:t>
      </w:r>
    </w:p>
    <w:p>
      <w:pPr>
        <w:pStyle w:val="Heading1"/>
        <w:numPr>
          <w:ilvl w:val="0"/>
          <w:numId w:val="1"/>
        </w:numPr>
        <w:bidi w:val="0"/>
        <w:jc w:val="start"/>
        <w:rPr/>
      </w:pPr>
      <w:bookmarkStart w:id="16" w:name="__RefHeading___Toc1071_2524662722"/>
      <w:bookmarkEnd w:id="16"/>
      <w:r>
        <w:rPr/>
        <w:t>9. References</w:t>
      </w:r>
    </w:p>
    <w:p>
      <w:pPr>
        <w:pStyle w:val="HangingIndent"/>
        <w:rPr/>
      </w:pPr>
      <w:r>
        <w:rPr/>
        <w:t xml:space="preserve">[Barth et al. 2016] Barth M, Breuer F, Koopmans PJ, Norris DG, and Poser BA. Simultaneous multislice (SMS) techniques. </w:t>
      </w:r>
      <w:r>
        <w:rPr>
          <w:rStyle w:val="Emphasis"/>
        </w:rPr>
        <w:t>Magn Reson Med</w:t>
      </w:r>
      <w:r>
        <w:rPr/>
        <w:t xml:space="preserve"> 2016 Jan; 75(1):63-81. [doi: </w:t>
      </w:r>
      <w:hyperlink r:id="rId5">
        <w:r>
          <w:rPr>
            <w:rStyle w:val="Hyperlink"/>
            <w:u w:val="single"/>
            <w:lang w:val="zxx"/>
          </w:rPr>
          <w:t>10.1002/mrm.25897</w:t>
        </w:r>
      </w:hyperlink>
      <w:r>
        <w:rPr/>
        <w:t>]</w:t>
      </w:r>
    </w:p>
    <w:p>
      <w:pPr>
        <w:pStyle w:val="HangingIndent"/>
        <w:rPr/>
      </w:pPr>
      <w:r>
        <w:rPr/>
        <w:t xml:space="preserve">[Casey et al. 2018] B.J. Casey, Tariq Cannonier, May I. Conley, Alexandra O. Cohen, Deanna M. Barch, Mary M. Heitzeg, Mary E. Soules, Theresa Teslovich, Danielle V. Dellarco, Hugh Garavan, Catherine A. Orr, Tor D. Wager, Marie T. Banich, Nicole K. Speer, Matthew T. Sutherland, Michael C. Riedel, Anthony S. Dick, James M. Bjork, Kathleen M. Thomas, Bader Chaarani, Margie H. Mejia, Donald J. Hagler, M. Daniela Cornejo, Chelsea S. Sicat, Michael P. Harms, Nico U.F. Dosenbach, Monica Rosenberg, Eric Earl, Hauke Bartsch, Richard Watts, Jonathan R. Polimeni, Joshua M. Kuperman, Damien A. Fair, Anders M. Dale, The Adolescent Brain Cognitive Development (ABCD) study: Imaging acquisition across 21 sites, </w:t>
      </w:r>
      <w:r>
        <w:rPr>
          <w:rStyle w:val="Emphasis"/>
        </w:rPr>
        <w:t>Developmental Cognitive Neuroscience</w:t>
      </w:r>
      <w:r>
        <w:rPr/>
        <w:t xml:space="preserve">, Vol 32, 2018, pg 43-54, ISSN 1878-9293. </w:t>
      </w:r>
      <w:hyperlink r:id="rId6">
        <w:r>
          <w:rPr>
            <w:rStyle w:val="Hyperlink"/>
          </w:rPr>
          <w:t>https://doi.org/10.1016/j.dcn.2018.03.001</w:t>
        </w:r>
      </w:hyperlink>
      <w:r>
        <w:rPr/>
        <w:t>. (</w:t>
      </w:r>
      <w:hyperlink r:id="rId7">
        <w:r>
          <w:rPr>
            <w:rStyle w:val="Hyperlink"/>
          </w:rPr>
          <w:t>https://www.sciencedirect.com/science/article/pii/S1878929317301214</w:t>
        </w:r>
      </w:hyperlink>
      <w:r>
        <w:rPr/>
        <w:t xml:space="preserve">) </w:t>
      </w:r>
    </w:p>
    <w:p>
      <w:pPr>
        <w:pStyle w:val="HangingIndent"/>
        <w:rPr/>
      </w:pPr>
      <w:r>
        <w:rPr/>
        <w:t xml:space="preserve">[Holland et al. 2010] Dominic Holland, Joshua M. Kuperman, Anders M. Dale, Efficient correction of inhomogeneous static magnetic field-induced distortion in Echo Planar Imaging, </w:t>
      </w:r>
      <w:r>
        <w:rPr>
          <w:i/>
          <w:iCs/>
        </w:rPr>
        <w:t>NeuroImage</w:t>
      </w:r>
      <w:r>
        <w:rPr/>
        <w:t xml:space="preserve">, Vol 50, Issue 1, 2010, pg 175-183, ISSN 1053-8119, </w:t>
      </w:r>
      <w:hyperlink r:id="rId8">
        <w:r>
          <w:rPr>
            <w:rStyle w:val="Hyperlink"/>
          </w:rPr>
          <w:t>https://doi.org/10.1016/j.neuroimage.2009.11.044</w:t>
        </w:r>
      </w:hyperlink>
      <w:r>
        <w:rPr/>
        <w:t>. (https://www.sciencedirect.com/science/article/pii/S1053811909012294)</w:t>
      </w:r>
    </w:p>
    <w:p>
      <w:pPr>
        <w:pStyle w:val="HangingIndent"/>
        <w:rPr/>
      </w:pPr>
      <w:r>
        <w:rPr/>
        <w:t xml:space="preserve">[Setsompop et al. 2012] Setsompop K, Cohen‐Adad J, Gagoski BA, Raij T, Yendiki A, Keil B, Wedeen VJ, Wald LL. Improving diffusion MRI using simultaneous multi‐slice echo planar imaging. </w:t>
      </w:r>
      <w:r>
        <w:rPr>
          <w:rStyle w:val="Emphasis"/>
        </w:rPr>
        <w:t>Neuroimage</w:t>
      </w:r>
      <w:r>
        <w:rPr/>
        <w:t xml:space="preserve"> 2012;63:569–580. [</w:t>
      </w:r>
      <w:hyperlink r:id="rId9">
        <w:r>
          <w:rPr>
            <w:rStyle w:val="Hyperlink"/>
            <w:u w:val="single"/>
            <w:lang w:val="zxx"/>
          </w:rPr>
          <w:t>PMC free article</w:t>
        </w:r>
      </w:hyperlink>
      <w:r>
        <w:rPr/>
        <w:t>]</w:t>
      </w:r>
    </w:p>
    <w:p>
      <w:pPr>
        <w:pStyle w:val="Heading1"/>
        <w:numPr>
          <w:ilvl w:val="0"/>
          <w:numId w:val="1"/>
        </w:numPr>
        <w:rPr/>
      </w:pPr>
      <w:bookmarkStart w:id="17" w:name="__RefHeading___Toc1073_2524662722"/>
      <w:bookmarkEnd w:id="17"/>
      <w:r>
        <w:rPr/>
        <w:t>10. Frequently Asked Questions (FAQ)</w:t>
      </w:r>
    </w:p>
    <w:p>
      <w:pPr>
        <w:pStyle w:val="BodyText"/>
        <w:rPr/>
      </w:pPr>
      <w:r>
        <w:rPr/>
        <w:t>This section may duplicate other material – it exists to give simple, concise answers.</w:t>
      </w:r>
    </w:p>
    <w:p>
      <w:pPr>
        <w:pStyle w:val="BodyText"/>
        <w:rPr/>
      </w:pPr>
      <w:r>
        <w:rPr/>
      </w:r>
    </w:p>
    <w:p>
      <w:pPr>
        <w:pStyle w:val="BodyText"/>
        <w:keepNext w:val="true"/>
        <w:rPr/>
      </w:pPr>
      <w:r>
        <w:rPr>
          <w:b/>
          <w:bCs/>
        </w:rPr>
        <w:t xml:space="preserve">Q1. </w:t>
      </w:r>
      <w:r>
        <w:rPr/>
        <w:t xml:space="preserve">What is the plan for releases? </w:t>
      </w:r>
    </w:p>
    <w:p>
      <w:pPr>
        <w:pStyle w:val="BodyText"/>
        <w:rPr/>
      </w:pPr>
      <w:r>
        <w:rPr>
          <w:b/>
          <w:bCs/>
        </w:rPr>
        <w:t>A1.</w:t>
      </w:r>
      <w:r>
        <w:rPr/>
        <w:t xml:space="preserve"> Major releases (such as 1.0 and 2.0) define the pool of subjects for subsequent minor releases. Minor releases (such as 1.1) add to, or change, derivatives and documentation, and bug fix releases (e.g. 1.1.1), if they become necessary, will provide faster updates in the event issues requiring correction are detected. We anticipate yearly major releases.</w:t>
      </w:r>
    </w:p>
    <w:p>
      <w:pPr>
        <w:pStyle w:val="BodyText"/>
        <w:rPr/>
      </w:pPr>
      <w:r>
        <w:rPr/>
      </w:r>
    </w:p>
    <w:p>
      <w:pPr>
        <w:pStyle w:val="BodyText"/>
        <w:keepNext w:val="true"/>
        <w:rPr/>
      </w:pPr>
      <w:r>
        <w:rPr>
          <w:b/>
          <w:bCs/>
        </w:rPr>
        <w:t>Q2.</w:t>
      </w:r>
      <w:r>
        <w:rPr>
          <w:b w:val="false"/>
          <w:bCs w:val="false"/>
        </w:rPr>
        <w:t xml:space="preserve"> What </w:t>
      </w:r>
      <w:r>
        <w:rPr/>
        <w:t>other documentation of A2CPS imaging is available?</w:t>
      </w:r>
    </w:p>
    <w:p>
      <w:pPr>
        <w:pStyle w:val="BodyText"/>
        <w:rPr/>
      </w:pPr>
      <w:r>
        <w:rPr>
          <w:b/>
          <w:bCs/>
        </w:rPr>
        <w:t xml:space="preserve">A2. </w:t>
      </w:r>
      <w:r>
        <w:rPr>
          <w:b w:val="false"/>
          <w:bCs w:val="false"/>
        </w:rPr>
        <w:t>The ongoing documentation of the A2CPS project has been carried out on the A2CPS Confluence website (</w:t>
      </w:r>
      <w:hyperlink r:id="rId10">
        <w:r>
          <w:rPr>
            <w:rStyle w:val="Hyperlink"/>
            <w:b w:val="false"/>
            <w:bCs w:val="false"/>
          </w:rPr>
          <w:t>https://a2cps.atlassian.net/</w:t>
        </w:r>
      </w:hyperlink>
      <w:r>
        <w:rPr>
          <w:b w:val="false"/>
          <w:bCs w:val="false"/>
        </w:rPr>
        <w:t xml:space="preserve">), with imaging related information found specifically under the Imaging space. Please contact </w:t>
      </w:r>
      <w:hyperlink r:id="rId11">
        <w:r>
          <w:rPr>
            <w:rStyle w:val="Hyperlink"/>
            <w:b w:val="false"/>
            <w:bCs w:val="false"/>
          </w:rPr>
          <w:t>support@a2cps.org</w:t>
        </w:r>
      </w:hyperlink>
      <w:r>
        <w:rPr>
          <w:b w:val="false"/>
          <w:bCs w:val="false"/>
        </w:rPr>
        <w:t xml:space="preserve"> or your site PI to get access if you do not yet have it.</w:t>
      </w:r>
    </w:p>
    <w:p>
      <w:pPr>
        <w:pStyle w:val="BodyText"/>
        <w:rPr>
          <w:b/>
          <w:bCs/>
        </w:rPr>
      </w:pPr>
      <w:r>
        <w:rPr>
          <w:b/>
          <w:bCs/>
        </w:rPr>
      </w:r>
    </w:p>
    <w:p>
      <w:pPr>
        <w:pStyle w:val="BodyText"/>
        <w:rPr/>
      </w:pPr>
      <w:r>
        <w:rPr>
          <w:b/>
          <w:bCs/>
        </w:rPr>
        <w:t>Q3.</w:t>
      </w:r>
      <w:r>
        <w:rPr/>
        <w:t xml:space="preserve"> How can I determine surgery type/cohort for a scan?</w:t>
      </w:r>
    </w:p>
    <w:p>
      <w:pPr>
        <w:pStyle w:val="BodyText"/>
        <w:rPr/>
      </w:pPr>
      <w:r>
        <w:rPr>
          <w:b/>
          <w:bCs/>
        </w:rPr>
        <w:t xml:space="preserve">A3. </w:t>
      </w:r>
      <w:r>
        <w:rPr/>
        <w:t>The surgery type (knee or thoracic) is encoded in the second digit of the A2CPS ID, but must be interpreted in conjunction with the site group (MCC) where the scan occurred. See the BIDS README for more details.</w:t>
      </w:r>
    </w:p>
    <w:p>
      <w:pPr>
        <w:pStyle w:val="BodyText"/>
        <w:rPr/>
      </w:pPr>
      <w:r>
        <w:rPr/>
      </w:r>
    </w:p>
    <w:p>
      <w:pPr>
        <w:pStyle w:val="BodyText"/>
        <w:keepNext w:val="true"/>
        <w:rPr/>
      </w:pPr>
      <w:r>
        <w:rPr>
          <w:b/>
          <w:bCs/>
        </w:rPr>
        <w:t>Q4.</w:t>
      </w:r>
      <w:r>
        <w:rPr/>
        <w:t xml:space="preserve"> How do I download the data?</w:t>
      </w:r>
    </w:p>
    <w:p>
      <w:pPr>
        <w:pStyle w:val="BodyText"/>
        <w:rPr/>
      </w:pPr>
      <w:r>
        <w:rPr>
          <w:b/>
          <w:bCs/>
        </w:rPr>
        <w:t xml:space="preserve">A4. </w:t>
      </w:r>
      <w:r>
        <w:rPr/>
        <w:t xml:space="preserve">Several options exist. First, there are multiple access options. </w:t>
      </w:r>
    </w:p>
    <w:p>
      <w:pPr>
        <w:pStyle w:val="BodyText"/>
        <w:numPr>
          <w:ilvl w:val="0"/>
          <w:numId w:val="10"/>
        </w:numPr>
        <w:rPr/>
      </w:pPr>
      <w:r>
        <w:rPr/>
        <w:t>Access through the Data Portal (this is the easiest to try first unless you know you prefer one of the others, but may not be suited for large scale downloads) – see separate “How do I access the Data Portal” item</w:t>
      </w:r>
    </w:p>
    <w:p>
      <w:pPr>
        <w:pStyle w:val="BodyText"/>
        <w:numPr>
          <w:ilvl w:val="0"/>
          <w:numId w:val="10"/>
        </w:numPr>
        <w:rPr/>
      </w:pPr>
      <w:r>
        <w:rPr/>
        <w:t>Access through the secure.corral.tacc.utexas.edu server (this would allow SFTP type access, and is usually the best option for large scale downloads once you know what you want)</w:t>
      </w:r>
    </w:p>
    <w:p>
      <w:pPr>
        <w:pStyle w:val="BodyText"/>
        <w:numPr>
          <w:ilvl w:val="0"/>
          <w:numId w:val="10"/>
        </w:numPr>
        <w:rPr/>
      </w:pPr>
      <w:r>
        <w:rPr/>
        <w:t>Access via Frontera (this TACC server allows SSH access via login8.frontera.tacc.utexas.edu, and you can submit jobs via Slurm to run there, if you want to process within TACC)</w:t>
      </w:r>
    </w:p>
    <w:p>
      <w:pPr>
        <w:pStyle w:val="BodyText"/>
        <w:numPr>
          <w:ilvl w:val="0"/>
          <w:numId w:val="10"/>
        </w:numPr>
        <w:rPr/>
      </w:pPr>
      <w:r>
        <w:rPr/>
        <w:t>Access via Tapis (this would do processing on TACC, using apps controlled under the Tapis APIs; the DIRC runs processing this way, and can offer some setup help if you want this option)</w:t>
      </w:r>
    </w:p>
    <w:p>
      <w:pPr>
        <w:pStyle w:val="BodyText"/>
        <w:rPr/>
      </w:pPr>
      <w:r>
        <w:rPr/>
        <w:t>Second, there are several versions of the dataset, which are located at TACC below the /corral-secure/projects/A2CPS/products/ directory:</w:t>
      </w:r>
    </w:p>
    <w:p>
      <w:pPr>
        <w:pStyle w:val="BodyText"/>
        <w:numPr>
          <w:ilvl w:val="0"/>
          <w:numId w:val="9"/>
        </w:numPr>
        <w:rPr/>
      </w:pPr>
      <w:r>
        <w:rPr/>
        <w:t>The full dataset (consortium-data)</w:t>
      </w:r>
    </w:p>
    <w:p>
      <w:pPr>
        <w:pStyle w:val="BodyText"/>
        <w:numPr>
          <w:ilvl w:val="0"/>
          <w:numId w:val="9"/>
        </w:numPr>
        <w:rPr/>
      </w:pPr>
      <w:r>
        <w:rPr/>
        <w:t>The MRI dataset part (mri)</w:t>
      </w:r>
    </w:p>
    <w:p>
      <w:pPr>
        <w:pStyle w:val="BodyText"/>
        <w:numPr>
          <w:ilvl w:val="0"/>
          <w:numId w:val="9"/>
        </w:numPr>
        <w:rPr/>
      </w:pPr>
      <w:r>
        <w:rPr/>
        <w:t>The BIDS dataset (mri/bids)</w:t>
      </w:r>
    </w:p>
    <w:p>
      <w:pPr>
        <w:pStyle w:val="BodyText"/>
        <w:rPr/>
      </w:pPr>
      <w:r>
        <w:rPr/>
        <w:t>For most purposes, the mri/bids dataset is likely of interest to most imaging users – this is a "curated" version of the MRI data in the rawest available form, converted to NIfTI and formatted according to the BIDS specification.</w:t>
      </w:r>
    </w:p>
    <w:p>
      <w:pPr>
        <w:pStyle w:val="BodyText"/>
        <w:rPr/>
      </w:pPr>
      <w:r>
        <w:rPr/>
      </w:r>
    </w:p>
    <w:p>
      <w:pPr>
        <w:pStyle w:val="BodyText"/>
        <w:keepNext w:val="true"/>
        <w:rPr/>
      </w:pPr>
      <w:r>
        <w:rPr>
          <w:b/>
          <w:bCs/>
        </w:rPr>
        <w:t xml:space="preserve">Q5. </w:t>
      </w:r>
      <w:r>
        <w:rPr/>
        <w:t>How do I access the A2CPS Data Portal?</w:t>
      </w:r>
    </w:p>
    <w:p>
      <w:pPr>
        <w:pStyle w:val="BodyText"/>
        <w:rPr/>
      </w:pPr>
      <w:r>
        <w:rPr>
          <w:b/>
          <w:bCs/>
        </w:rPr>
        <w:t>A5.</w:t>
      </w:r>
      <w:r>
        <w:rPr/>
        <w:t xml:space="preserve"> You must first have a TACC account (see the A2CPS Confluence page </w:t>
      </w:r>
      <w:hyperlink r:id="rId12">
        <w:r>
          <w:rPr>
            <w:rStyle w:val="Hyperlink"/>
          </w:rPr>
          <w:t>https://a2cps.atlassian.net/wiki/spaces/DAS/pages/5080604/How+do+I+get+added+to+the+A2CPS+Intranet</w:t>
        </w:r>
      </w:hyperlink>
      <w:r>
        <w:rPr/>
        <w:t xml:space="preserve">). </w:t>
      </w:r>
    </w:p>
    <w:p>
      <w:pPr>
        <w:pStyle w:val="BodyText"/>
        <w:rPr/>
      </w:pPr>
      <w:r>
        <w:rPr/>
        <w:t xml:space="preserve">When this is completed, there is a one time requirement to “push keys” to enable portal access: you would log in to the portal, choose “push keys” to your “My Data” system and then to the “Community Data” system, in the process giving your MFA token when prompted on login and when pushing keys. </w:t>
      </w:r>
    </w:p>
    <w:p>
      <w:pPr>
        <w:pStyle w:val="BodyText"/>
        <w:rPr/>
      </w:pPr>
      <w:r>
        <w:rPr/>
      </w:r>
    </w:p>
    <w:p>
      <w:pPr>
        <w:pStyle w:val="BodyText"/>
        <w:rPr/>
      </w:pPr>
      <w:r>
        <w:rPr>
          <w:b/>
          <w:bCs/>
        </w:rPr>
        <w:t>Q6.</w:t>
      </w:r>
      <w:r>
        <w:rPr/>
        <w:t xml:space="preserve"> I have questions about the dataset, or feedback  (e.g. identified issues or requests for specific outputs). Is there a contact address?</w:t>
      </w:r>
    </w:p>
    <w:p>
      <w:pPr>
        <w:sectPr>
          <w:footnotePr>
            <w:numFmt w:val="decimal"/>
          </w:footnotePr>
          <w:type w:val="nextPage"/>
          <w:pgSz w:w="12240" w:h="15840"/>
          <w:pgMar w:left="1134" w:right="1134" w:gutter="0" w:header="0" w:top="1134" w:footer="0" w:bottom="1134"/>
          <w:pgNumType w:fmt="decimal"/>
          <w:formProt w:val="false"/>
          <w:textDirection w:val="lrTb"/>
          <w:docGrid w:type="default" w:linePitch="100" w:charSpace="0"/>
        </w:sectPr>
        <w:pStyle w:val="BodyText"/>
        <w:rPr/>
      </w:pPr>
      <w:r>
        <w:rPr>
          <w:b/>
          <w:bCs/>
        </w:rPr>
        <w:t xml:space="preserve">A6. </w:t>
      </w:r>
      <w:r>
        <w:rPr/>
        <w:t>All questions and feedback can be sent to the A2CPS DIRC imaging group, &lt;a2cps-dirc-report-imaging@a2cps.org&gt;</w:t>
      </w:r>
    </w:p>
    <w:p>
      <w:pPr>
        <w:pStyle w:val="BodyText"/>
        <w:bidi w:val="0"/>
        <w:spacing w:before="0" w:after="140"/>
        <w:jc w:val="start"/>
        <w:rPr/>
      </w:pPr>
      <w:r>
        <w:rPr>
          <w:rStyle w:val="Emphasis"/>
          <w:sz w:val="20"/>
          <w:szCs w:val="20"/>
        </w:rPr>
        <w:t>Siemens</w:t>
      </w:r>
      <w:r>
        <w:rPr>
          <w:rStyle w:val="Strong"/>
          <w:sz w:val="20"/>
          <w:szCs w:val="20"/>
        </w:rPr>
        <w:t xml:space="preserve"> </w:t>
      </w:r>
    </w:p>
    <w:p>
      <w:pPr>
        <w:pStyle w:val="BodyText"/>
        <w:rPr>
          <w:sz w:val="20"/>
          <w:szCs w:val="20"/>
        </w:rPr>
      </w:pPr>
      <w:r>
        <w:rPr>
          <w:sz w:val="20"/>
          <w:szCs w:val="20"/>
        </w:rPr>
        <w:t>Reference site: MCC1/Northshore, Alternate: MCC2/Wayne State</w:t>
      </w:r>
    </w:p>
    <w:tbl>
      <w:tblPr>
        <w:tblW w:w="10950" w:type="dxa"/>
        <w:jc w:val="start"/>
        <w:tblInd w:w="55" w:type="dxa"/>
        <w:tblLayout w:type="fixed"/>
        <w:tblCellMar>
          <w:top w:w="55" w:type="dxa"/>
          <w:start w:w="55" w:type="dxa"/>
          <w:bottom w:w="55" w:type="dxa"/>
          <w:end w:w="55" w:type="dxa"/>
        </w:tblCellMar>
      </w:tblPr>
      <w:tblGrid>
        <w:gridCol w:w="674"/>
        <w:gridCol w:w="577"/>
        <w:gridCol w:w="481"/>
        <w:gridCol w:w="569"/>
        <w:gridCol w:w="904"/>
        <w:gridCol w:w="1042"/>
        <w:gridCol w:w="576"/>
        <w:gridCol w:w="569"/>
        <w:gridCol w:w="534"/>
        <w:gridCol w:w="1003"/>
        <w:gridCol w:w="1041"/>
        <w:gridCol w:w="1445"/>
        <w:gridCol w:w="1534"/>
      </w:tblGrid>
      <w:tr>
        <w:trPr/>
        <w:tc>
          <w:tcPr>
            <w:tcW w:w="674" w:type="dxa"/>
            <w:tcBorders>
              <w:top w:val="single" w:sz="4" w:space="0" w:color="000000"/>
              <w:start w:val="single" w:sz="4" w:space="0" w:color="000000"/>
              <w:bottom w:val="single" w:sz="4" w:space="0" w:color="000000"/>
            </w:tcBorders>
            <w:vAlign w:val="center"/>
          </w:tcPr>
          <w:p>
            <w:pPr>
              <w:pStyle w:val="TableContents"/>
              <w:widowControl w:val="false"/>
              <w:rPr/>
            </w:pPr>
            <w:r>
              <w:rPr/>
            </w:r>
          </w:p>
        </w:tc>
        <w:tc>
          <w:tcPr>
            <w:tcW w:w="577"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Matrix</w:t>
            </w:r>
          </w:p>
        </w:tc>
        <w:tc>
          <w:tcPr>
            <w:tcW w:w="481"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Slices</w:t>
            </w:r>
          </w:p>
        </w:tc>
        <w:tc>
          <w:tcPr>
            <w:tcW w:w="569"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FOV</w:t>
            </w:r>
          </w:p>
        </w:tc>
        <w:tc>
          <w:tcPr>
            <w:tcW w:w="904"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 FOV phase</w:t>
            </w:r>
          </w:p>
        </w:tc>
        <w:tc>
          <w:tcPr>
            <w:tcW w:w="1042"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Resolution (mm)</w:t>
            </w:r>
          </w:p>
        </w:tc>
        <w:tc>
          <w:tcPr>
            <w:tcW w:w="576"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TR (ms)</w:t>
            </w:r>
          </w:p>
        </w:tc>
        <w:tc>
          <w:tcPr>
            <w:tcW w:w="569"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TE (ms)</w:t>
            </w:r>
          </w:p>
        </w:tc>
        <w:tc>
          <w:tcPr>
            <w:tcW w:w="534"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TI (ms)</w:t>
            </w:r>
          </w:p>
        </w:tc>
        <w:tc>
          <w:tcPr>
            <w:tcW w:w="1003"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Flip Angle (deg)</w:t>
            </w:r>
          </w:p>
        </w:tc>
        <w:tc>
          <w:tcPr>
            <w:tcW w:w="1041"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Parallel Imaging</w:t>
            </w:r>
          </w:p>
        </w:tc>
        <w:tc>
          <w:tcPr>
            <w:tcW w:w="1445"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MultiBand Acceleration</w:t>
            </w:r>
          </w:p>
        </w:tc>
        <w:tc>
          <w:tcPr>
            <w:tcW w:w="1534"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rPr/>
            </w:pPr>
            <w:r>
              <w:rPr>
                <w:rStyle w:val="Strong"/>
              </w:rPr>
              <w:t>Phase partial Fourier</w:t>
            </w:r>
          </w:p>
        </w:tc>
      </w:tr>
      <w:tr>
        <w:trPr/>
        <w:tc>
          <w:tcPr>
            <w:tcW w:w="674" w:type="dxa"/>
            <w:tcBorders>
              <w:start w:val="single" w:sz="4" w:space="0" w:color="000000"/>
              <w:bottom w:val="single" w:sz="4" w:space="0" w:color="000000"/>
            </w:tcBorders>
            <w:vAlign w:val="center"/>
          </w:tcPr>
          <w:p>
            <w:pPr>
              <w:pStyle w:val="TableContents"/>
              <w:widowControl w:val="false"/>
              <w:rPr/>
            </w:pPr>
            <w:r>
              <w:rPr>
                <w:rStyle w:val="Strong"/>
              </w:rPr>
              <w:t>T1</w:t>
            </w:r>
          </w:p>
        </w:tc>
        <w:tc>
          <w:tcPr>
            <w:tcW w:w="577" w:type="dxa"/>
            <w:tcBorders>
              <w:start w:val="single" w:sz="4" w:space="0" w:color="000000"/>
              <w:bottom w:val="single" w:sz="4" w:space="0" w:color="000000"/>
            </w:tcBorders>
            <w:vAlign w:val="center"/>
          </w:tcPr>
          <w:p>
            <w:pPr>
              <w:pStyle w:val="TableContents"/>
              <w:widowControl w:val="false"/>
              <w:rPr/>
            </w:pPr>
            <w:r>
              <w:rPr/>
              <w:t>256x256</w:t>
            </w:r>
          </w:p>
        </w:tc>
        <w:tc>
          <w:tcPr>
            <w:tcW w:w="481" w:type="dxa"/>
            <w:tcBorders>
              <w:start w:val="single" w:sz="4" w:space="0" w:color="000000"/>
              <w:bottom w:val="single" w:sz="4" w:space="0" w:color="000000"/>
            </w:tcBorders>
            <w:vAlign w:val="center"/>
          </w:tcPr>
          <w:p>
            <w:pPr>
              <w:pStyle w:val="TableContents"/>
              <w:widowControl w:val="false"/>
              <w:rPr/>
            </w:pPr>
            <w:r>
              <w:rPr/>
              <w:t>176</w:t>
            </w:r>
          </w:p>
        </w:tc>
        <w:tc>
          <w:tcPr>
            <w:tcW w:w="569" w:type="dxa"/>
            <w:tcBorders>
              <w:start w:val="single" w:sz="4" w:space="0" w:color="000000"/>
              <w:bottom w:val="single" w:sz="4" w:space="0" w:color="000000"/>
            </w:tcBorders>
            <w:vAlign w:val="center"/>
          </w:tcPr>
          <w:p>
            <w:pPr>
              <w:pStyle w:val="TableContents"/>
              <w:widowControl w:val="false"/>
              <w:rPr/>
            </w:pPr>
            <w:r>
              <w:rPr/>
              <w:t>256x256</w:t>
            </w:r>
          </w:p>
        </w:tc>
        <w:tc>
          <w:tcPr>
            <w:tcW w:w="904" w:type="dxa"/>
            <w:tcBorders>
              <w:start w:val="single" w:sz="4" w:space="0" w:color="000000"/>
              <w:bottom w:val="single" w:sz="4" w:space="0" w:color="000000"/>
            </w:tcBorders>
            <w:vAlign w:val="center"/>
          </w:tcPr>
          <w:p>
            <w:pPr>
              <w:pStyle w:val="TableContents"/>
              <w:widowControl w:val="false"/>
              <w:rPr/>
            </w:pPr>
            <w:r>
              <w:rPr/>
              <w:t>100%</w:t>
            </w:r>
          </w:p>
        </w:tc>
        <w:tc>
          <w:tcPr>
            <w:tcW w:w="1042" w:type="dxa"/>
            <w:tcBorders>
              <w:start w:val="single" w:sz="4" w:space="0" w:color="000000"/>
              <w:bottom w:val="single" w:sz="4" w:space="0" w:color="000000"/>
            </w:tcBorders>
            <w:vAlign w:val="center"/>
          </w:tcPr>
          <w:p>
            <w:pPr>
              <w:pStyle w:val="TableContents"/>
              <w:widowControl w:val="false"/>
              <w:rPr/>
            </w:pPr>
            <w:r>
              <w:rPr/>
              <w:t>1.0x1.0x1.0</w:t>
            </w:r>
          </w:p>
        </w:tc>
        <w:tc>
          <w:tcPr>
            <w:tcW w:w="576" w:type="dxa"/>
            <w:tcBorders>
              <w:start w:val="single" w:sz="4" w:space="0" w:color="000000"/>
              <w:bottom w:val="single" w:sz="4" w:space="0" w:color="000000"/>
            </w:tcBorders>
            <w:vAlign w:val="center"/>
          </w:tcPr>
          <w:p>
            <w:pPr>
              <w:pStyle w:val="TableContents"/>
              <w:widowControl w:val="false"/>
              <w:rPr/>
            </w:pPr>
            <w:r>
              <w:rPr/>
              <w:t>2500</w:t>
            </w:r>
          </w:p>
        </w:tc>
        <w:tc>
          <w:tcPr>
            <w:tcW w:w="569" w:type="dxa"/>
            <w:tcBorders>
              <w:start w:val="single" w:sz="4" w:space="0" w:color="000000"/>
              <w:bottom w:val="single" w:sz="4" w:space="0" w:color="000000"/>
            </w:tcBorders>
            <w:vAlign w:val="center"/>
          </w:tcPr>
          <w:p>
            <w:pPr>
              <w:pStyle w:val="TableContents"/>
              <w:widowControl w:val="false"/>
              <w:rPr/>
            </w:pPr>
            <w:r>
              <w:rPr/>
              <w:t>2.84</w:t>
            </w:r>
          </w:p>
        </w:tc>
        <w:tc>
          <w:tcPr>
            <w:tcW w:w="534" w:type="dxa"/>
            <w:tcBorders>
              <w:start w:val="single" w:sz="4" w:space="0" w:color="000000"/>
              <w:bottom w:val="single" w:sz="4" w:space="0" w:color="000000"/>
            </w:tcBorders>
            <w:vAlign w:val="center"/>
          </w:tcPr>
          <w:p>
            <w:pPr>
              <w:pStyle w:val="TableContents"/>
              <w:widowControl w:val="false"/>
              <w:rPr/>
            </w:pPr>
            <w:r>
              <w:rPr/>
              <w:t>1060</w:t>
            </w:r>
          </w:p>
        </w:tc>
        <w:tc>
          <w:tcPr>
            <w:tcW w:w="1003" w:type="dxa"/>
            <w:tcBorders>
              <w:start w:val="single" w:sz="4" w:space="0" w:color="000000"/>
              <w:bottom w:val="single" w:sz="4" w:space="0" w:color="000000"/>
            </w:tcBorders>
            <w:vAlign w:val="center"/>
          </w:tcPr>
          <w:p>
            <w:pPr>
              <w:pStyle w:val="TableContents"/>
              <w:widowControl w:val="false"/>
              <w:rPr/>
            </w:pPr>
            <w:r>
              <w:rPr/>
              <w:t>8</w:t>
            </w:r>
          </w:p>
        </w:tc>
        <w:tc>
          <w:tcPr>
            <w:tcW w:w="1041" w:type="dxa"/>
            <w:tcBorders>
              <w:start w:val="single" w:sz="4" w:space="0" w:color="000000"/>
              <w:bottom w:val="single" w:sz="4" w:space="0" w:color="000000"/>
            </w:tcBorders>
            <w:vAlign w:val="center"/>
          </w:tcPr>
          <w:p>
            <w:pPr>
              <w:pStyle w:val="TableContents"/>
              <w:widowControl w:val="false"/>
              <w:rPr/>
            </w:pPr>
            <w:r>
              <w:rPr/>
              <w:t>2x</w:t>
            </w:r>
          </w:p>
        </w:tc>
        <w:tc>
          <w:tcPr>
            <w:tcW w:w="1445" w:type="dxa"/>
            <w:tcBorders>
              <w:start w:val="single" w:sz="4" w:space="0" w:color="000000"/>
              <w:bottom w:val="single" w:sz="4" w:space="0" w:color="000000"/>
            </w:tcBorders>
            <w:vAlign w:val="center"/>
          </w:tcPr>
          <w:p>
            <w:pPr>
              <w:pStyle w:val="TableContents"/>
              <w:widowControl w:val="false"/>
              <w:rPr/>
            </w:pPr>
            <w:r>
              <w:rPr/>
              <w:t>Off</w:t>
            </w:r>
          </w:p>
        </w:tc>
        <w:tc>
          <w:tcPr>
            <w:tcW w:w="1534" w:type="dxa"/>
            <w:tcBorders>
              <w:start w:val="single" w:sz="4" w:space="0" w:color="000000"/>
              <w:bottom w:val="single" w:sz="4" w:space="0" w:color="000000"/>
              <w:end w:val="single" w:sz="4" w:space="0" w:color="000000"/>
            </w:tcBorders>
            <w:vAlign w:val="center"/>
          </w:tcPr>
          <w:p>
            <w:pPr>
              <w:pStyle w:val="TableContents"/>
              <w:widowControl w:val="false"/>
              <w:rPr/>
            </w:pPr>
            <w:r>
              <w:rPr/>
              <w:t>Off</w:t>
            </w:r>
          </w:p>
        </w:tc>
      </w:tr>
      <w:tr>
        <w:trPr/>
        <w:tc>
          <w:tcPr>
            <w:tcW w:w="674" w:type="dxa"/>
            <w:tcBorders>
              <w:start w:val="single" w:sz="4" w:space="0" w:color="000000"/>
              <w:bottom w:val="single" w:sz="4" w:space="0" w:color="000000"/>
            </w:tcBorders>
            <w:vAlign w:val="center"/>
          </w:tcPr>
          <w:p>
            <w:pPr>
              <w:pStyle w:val="TableContents"/>
              <w:widowControl w:val="false"/>
              <w:rPr/>
            </w:pPr>
            <w:r>
              <w:rPr>
                <w:rStyle w:val="Strong"/>
              </w:rPr>
              <w:t>Diffusion</w:t>
            </w:r>
          </w:p>
        </w:tc>
        <w:tc>
          <w:tcPr>
            <w:tcW w:w="577" w:type="dxa"/>
            <w:tcBorders>
              <w:start w:val="single" w:sz="4" w:space="0" w:color="000000"/>
              <w:bottom w:val="single" w:sz="4" w:space="0" w:color="000000"/>
            </w:tcBorders>
            <w:vAlign w:val="center"/>
          </w:tcPr>
          <w:p>
            <w:pPr>
              <w:pStyle w:val="TableContents"/>
              <w:widowControl w:val="false"/>
              <w:rPr/>
            </w:pPr>
            <w:r>
              <w:rPr/>
              <w:t>140x140</w:t>
            </w:r>
          </w:p>
        </w:tc>
        <w:tc>
          <w:tcPr>
            <w:tcW w:w="481" w:type="dxa"/>
            <w:tcBorders>
              <w:start w:val="single" w:sz="4" w:space="0" w:color="000000"/>
              <w:bottom w:val="single" w:sz="4" w:space="0" w:color="000000"/>
            </w:tcBorders>
            <w:vAlign w:val="center"/>
          </w:tcPr>
          <w:p>
            <w:pPr>
              <w:pStyle w:val="TableContents"/>
              <w:widowControl w:val="false"/>
              <w:rPr/>
            </w:pPr>
            <w:r>
              <w:rPr/>
              <w:t>81</w:t>
            </w:r>
          </w:p>
        </w:tc>
        <w:tc>
          <w:tcPr>
            <w:tcW w:w="569" w:type="dxa"/>
            <w:tcBorders>
              <w:start w:val="single" w:sz="4" w:space="0" w:color="000000"/>
              <w:bottom w:val="single" w:sz="4" w:space="0" w:color="000000"/>
            </w:tcBorders>
            <w:vAlign w:val="center"/>
          </w:tcPr>
          <w:p>
            <w:pPr>
              <w:pStyle w:val="TableContents"/>
              <w:widowControl w:val="false"/>
              <w:rPr/>
            </w:pPr>
            <w:r>
              <w:rPr/>
              <w:t>240x240</w:t>
            </w:r>
          </w:p>
        </w:tc>
        <w:tc>
          <w:tcPr>
            <w:tcW w:w="904" w:type="dxa"/>
            <w:tcBorders>
              <w:start w:val="single" w:sz="4" w:space="0" w:color="000000"/>
              <w:bottom w:val="single" w:sz="4" w:space="0" w:color="000000"/>
            </w:tcBorders>
            <w:vAlign w:val="center"/>
          </w:tcPr>
          <w:p>
            <w:pPr>
              <w:pStyle w:val="TableContents"/>
              <w:widowControl w:val="false"/>
              <w:rPr/>
            </w:pPr>
            <w:r>
              <w:rPr/>
              <w:t>100%</w:t>
            </w:r>
          </w:p>
        </w:tc>
        <w:tc>
          <w:tcPr>
            <w:tcW w:w="1042" w:type="dxa"/>
            <w:tcBorders>
              <w:start w:val="single" w:sz="4" w:space="0" w:color="000000"/>
              <w:bottom w:val="single" w:sz="4" w:space="0" w:color="000000"/>
            </w:tcBorders>
            <w:vAlign w:val="center"/>
          </w:tcPr>
          <w:p>
            <w:pPr>
              <w:pStyle w:val="TableContents"/>
              <w:widowControl w:val="false"/>
              <w:rPr/>
            </w:pPr>
            <w:r>
              <w:rPr/>
              <w:t>1.7x1.7x1.7</w:t>
            </w:r>
          </w:p>
        </w:tc>
        <w:tc>
          <w:tcPr>
            <w:tcW w:w="576" w:type="dxa"/>
            <w:tcBorders>
              <w:start w:val="single" w:sz="4" w:space="0" w:color="000000"/>
              <w:bottom w:val="single" w:sz="4" w:space="0" w:color="000000"/>
            </w:tcBorders>
            <w:vAlign w:val="center"/>
          </w:tcPr>
          <w:p>
            <w:pPr>
              <w:pStyle w:val="TableContents"/>
              <w:widowControl w:val="false"/>
              <w:rPr/>
            </w:pPr>
            <w:r>
              <w:rPr/>
              <w:t>8000/5500</w:t>
            </w:r>
          </w:p>
        </w:tc>
        <w:tc>
          <w:tcPr>
            <w:tcW w:w="569" w:type="dxa"/>
            <w:tcBorders>
              <w:start w:val="single" w:sz="4" w:space="0" w:color="000000"/>
              <w:bottom w:val="single" w:sz="4" w:space="0" w:color="000000"/>
            </w:tcBorders>
            <w:vAlign w:val="center"/>
          </w:tcPr>
          <w:p>
            <w:pPr>
              <w:pStyle w:val="TableContents"/>
              <w:widowControl w:val="false"/>
              <w:rPr/>
            </w:pPr>
            <w:r>
              <w:rPr/>
              <w:t>105/112</w:t>
            </w:r>
          </w:p>
        </w:tc>
        <w:tc>
          <w:tcPr>
            <w:tcW w:w="534" w:type="dxa"/>
            <w:tcBorders>
              <w:start w:val="single" w:sz="4" w:space="0" w:color="000000"/>
              <w:bottom w:val="single" w:sz="4" w:space="0" w:color="000000"/>
            </w:tcBorders>
            <w:vAlign w:val="center"/>
          </w:tcPr>
          <w:p>
            <w:pPr>
              <w:pStyle w:val="TableContents"/>
              <w:widowControl w:val="false"/>
              <w:rPr/>
            </w:pPr>
            <w:r>
              <w:rPr/>
              <w:t>N/A</w:t>
            </w:r>
          </w:p>
        </w:tc>
        <w:tc>
          <w:tcPr>
            <w:tcW w:w="1003" w:type="dxa"/>
            <w:tcBorders>
              <w:start w:val="single" w:sz="4" w:space="0" w:color="000000"/>
              <w:bottom w:val="single" w:sz="4" w:space="0" w:color="000000"/>
            </w:tcBorders>
            <w:vAlign w:val="center"/>
          </w:tcPr>
          <w:p>
            <w:pPr>
              <w:pStyle w:val="TableContents"/>
              <w:widowControl w:val="false"/>
              <w:rPr/>
            </w:pPr>
            <w:r>
              <w:rPr/>
              <w:t>90</w:t>
            </w:r>
          </w:p>
        </w:tc>
        <w:tc>
          <w:tcPr>
            <w:tcW w:w="1041" w:type="dxa"/>
            <w:tcBorders>
              <w:start w:val="single" w:sz="4" w:space="0" w:color="000000"/>
              <w:bottom w:val="single" w:sz="4" w:space="0" w:color="000000"/>
            </w:tcBorders>
            <w:vAlign w:val="center"/>
          </w:tcPr>
          <w:p>
            <w:pPr>
              <w:pStyle w:val="TableContents"/>
              <w:widowControl w:val="false"/>
              <w:rPr/>
            </w:pPr>
            <w:r>
              <w:rPr/>
              <w:t>Off</w:t>
            </w:r>
          </w:p>
        </w:tc>
        <w:tc>
          <w:tcPr>
            <w:tcW w:w="1445" w:type="dxa"/>
            <w:tcBorders>
              <w:start w:val="single" w:sz="4" w:space="0" w:color="000000"/>
              <w:bottom w:val="single" w:sz="4" w:space="0" w:color="000000"/>
            </w:tcBorders>
            <w:vAlign w:val="center"/>
          </w:tcPr>
          <w:p>
            <w:pPr>
              <w:pStyle w:val="TableContents"/>
              <w:widowControl w:val="false"/>
              <w:rPr/>
            </w:pPr>
            <w:r>
              <w:rPr/>
              <w:t>3</w:t>
            </w:r>
          </w:p>
        </w:tc>
        <w:tc>
          <w:tcPr>
            <w:tcW w:w="1534" w:type="dxa"/>
            <w:tcBorders>
              <w:start w:val="single" w:sz="4" w:space="0" w:color="000000"/>
              <w:bottom w:val="single" w:sz="4" w:space="0" w:color="000000"/>
              <w:end w:val="single" w:sz="4" w:space="0" w:color="000000"/>
            </w:tcBorders>
            <w:vAlign w:val="center"/>
          </w:tcPr>
          <w:p>
            <w:pPr>
              <w:pStyle w:val="TableContents"/>
              <w:widowControl w:val="false"/>
              <w:rPr/>
            </w:pPr>
            <w:r>
              <w:rPr/>
              <w:t>6/8 (both)</w:t>
            </w:r>
          </w:p>
        </w:tc>
      </w:tr>
      <w:tr>
        <w:trPr/>
        <w:tc>
          <w:tcPr>
            <w:tcW w:w="674" w:type="dxa"/>
            <w:tcBorders>
              <w:start w:val="single" w:sz="4" w:space="0" w:color="000000"/>
              <w:bottom w:val="single" w:sz="4" w:space="0" w:color="000000"/>
            </w:tcBorders>
            <w:vAlign w:val="center"/>
          </w:tcPr>
          <w:p>
            <w:pPr>
              <w:pStyle w:val="TableContents"/>
              <w:widowControl w:val="false"/>
              <w:rPr/>
            </w:pPr>
            <w:r>
              <w:rPr>
                <w:rStyle w:val="Strong"/>
              </w:rPr>
              <w:t>fMRI</w:t>
            </w:r>
          </w:p>
        </w:tc>
        <w:tc>
          <w:tcPr>
            <w:tcW w:w="577" w:type="dxa"/>
            <w:tcBorders>
              <w:start w:val="single" w:sz="4" w:space="0" w:color="000000"/>
              <w:bottom w:val="single" w:sz="4" w:space="0" w:color="000000"/>
            </w:tcBorders>
            <w:vAlign w:val="center"/>
          </w:tcPr>
          <w:p>
            <w:pPr>
              <w:pStyle w:val="TableContents"/>
              <w:widowControl w:val="false"/>
              <w:rPr/>
            </w:pPr>
            <w:r>
              <w:rPr/>
              <w:t>90x90</w:t>
            </w:r>
          </w:p>
        </w:tc>
        <w:tc>
          <w:tcPr>
            <w:tcW w:w="481" w:type="dxa"/>
            <w:tcBorders>
              <w:start w:val="single" w:sz="4" w:space="0" w:color="000000"/>
              <w:bottom w:val="single" w:sz="4" w:space="0" w:color="000000"/>
            </w:tcBorders>
            <w:vAlign w:val="center"/>
          </w:tcPr>
          <w:p>
            <w:pPr>
              <w:pStyle w:val="TableContents"/>
              <w:widowControl w:val="false"/>
              <w:rPr/>
            </w:pPr>
            <w:r>
              <w:rPr/>
              <w:t>54/60</w:t>
            </w:r>
          </w:p>
        </w:tc>
        <w:tc>
          <w:tcPr>
            <w:tcW w:w="569" w:type="dxa"/>
            <w:tcBorders>
              <w:start w:val="single" w:sz="4" w:space="0" w:color="000000"/>
              <w:bottom w:val="single" w:sz="4" w:space="0" w:color="000000"/>
            </w:tcBorders>
            <w:vAlign w:val="center"/>
          </w:tcPr>
          <w:p>
            <w:pPr>
              <w:pStyle w:val="TableContents"/>
              <w:widowControl w:val="false"/>
              <w:rPr/>
            </w:pPr>
            <w:r>
              <w:rPr/>
              <w:t>216x216</w:t>
            </w:r>
          </w:p>
        </w:tc>
        <w:tc>
          <w:tcPr>
            <w:tcW w:w="904" w:type="dxa"/>
            <w:tcBorders>
              <w:start w:val="single" w:sz="4" w:space="0" w:color="000000"/>
              <w:bottom w:val="single" w:sz="4" w:space="0" w:color="000000"/>
            </w:tcBorders>
            <w:vAlign w:val="center"/>
          </w:tcPr>
          <w:p>
            <w:pPr>
              <w:pStyle w:val="TableContents"/>
              <w:widowControl w:val="false"/>
              <w:rPr/>
            </w:pPr>
            <w:r>
              <w:rPr/>
              <w:t>100%</w:t>
            </w:r>
          </w:p>
        </w:tc>
        <w:tc>
          <w:tcPr>
            <w:tcW w:w="1042" w:type="dxa"/>
            <w:tcBorders>
              <w:start w:val="single" w:sz="4" w:space="0" w:color="000000"/>
              <w:bottom w:val="single" w:sz="4" w:space="0" w:color="000000"/>
            </w:tcBorders>
            <w:vAlign w:val="center"/>
          </w:tcPr>
          <w:p>
            <w:pPr>
              <w:pStyle w:val="TableContents"/>
              <w:widowControl w:val="false"/>
              <w:rPr/>
            </w:pPr>
            <w:r>
              <w:rPr/>
              <w:t>2.4x2.4x2.4</w:t>
            </w:r>
          </w:p>
        </w:tc>
        <w:tc>
          <w:tcPr>
            <w:tcW w:w="576" w:type="dxa"/>
            <w:tcBorders>
              <w:start w:val="single" w:sz="4" w:space="0" w:color="000000"/>
              <w:bottom w:val="single" w:sz="4" w:space="0" w:color="000000"/>
            </w:tcBorders>
            <w:vAlign w:val="center"/>
          </w:tcPr>
          <w:p>
            <w:pPr>
              <w:pStyle w:val="TableContents"/>
              <w:widowControl w:val="false"/>
              <w:rPr/>
            </w:pPr>
            <w:r>
              <w:rPr/>
              <w:t>800</w:t>
            </w:r>
          </w:p>
        </w:tc>
        <w:tc>
          <w:tcPr>
            <w:tcW w:w="569" w:type="dxa"/>
            <w:tcBorders>
              <w:start w:val="single" w:sz="4" w:space="0" w:color="000000"/>
              <w:bottom w:val="single" w:sz="4" w:space="0" w:color="000000"/>
            </w:tcBorders>
            <w:vAlign w:val="center"/>
          </w:tcPr>
          <w:p>
            <w:pPr>
              <w:pStyle w:val="TableContents"/>
              <w:widowControl w:val="false"/>
              <w:rPr/>
            </w:pPr>
            <w:r>
              <w:rPr/>
              <w:t>30/32</w:t>
            </w:r>
          </w:p>
        </w:tc>
        <w:tc>
          <w:tcPr>
            <w:tcW w:w="534" w:type="dxa"/>
            <w:tcBorders>
              <w:start w:val="single" w:sz="4" w:space="0" w:color="000000"/>
              <w:bottom w:val="single" w:sz="4" w:space="0" w:color="000000"/>
            </w:tcBorders>
            <w:vAlign w:val="center"/>
          </w:tcPr>
          <w:p>
            <w:pPr>
              <w:pStyle w:val="TableContents"/>
              <w:widowControl w:val="false"/>
              <w:rPr/>
            </w:pPr>
            <w:r>
              <w:rPr/>
              <w:t>N/A</w:t>
            </w:r>
          </w:p>
        </w:tc>
        <w:tc>
          <w:tcPr>
            <w:tcW w:w="1003" w:type="dxa"/>
            <w:tcBorders>
              <w:start w:val="single" w:sz="4" w:space="0" w:color="000000"/>
              <w:bottom w:val="single" w:sz="4" w:space="0" w:color="000000"/>
            </w:tcBorders>
            <w:vAlign w:val="center"/>
          </w:tcPr>
          <w:p>
            <w:pPr>
              <w:pStyle w:val="TableContents"/>
              <w:widowControl w:val="false"/>
              <w:rPr/>
            </w:pPr>
            <w:r>
              <w:rPr/>
              <w:t>52</w:t>
            </w:r>
          </w:p>
        </w:tc>
        <w:tc>
          <w:tcPr>
            <w:tcW w:w="1041" w:type="dxa"/>
            <w:tcBorders>
              <w:start w:val="single" w:sz="4" w:space="0" w:color="000000"/>
              <w:bottom w:val="single" w:sz="4" w:space="0" w:color="000000"/>
            </w:tcBorders>
            <w:vAlign w:val="center"/>
          </w:tcPr>
          <w:p>
            <w:pPr>
              <w:pStyle w:val="TableContents"/>
              <w:widowControl w:val="false"/>
              <w:rPr/>
            </w:pPr>
            <w:r>
              <w:rPr/>
              <w:t>Off</w:t>
            </w:r>
          </w:p>
        </w:tc>
        <w:tc>
          <w:tcPr>
            <w:tcW w:w="1445" w:type="dxa"/>
            <w:tcBorders>
              <w:start w:val="single" w:sz="4" w:space="0" w:color="000000"/>
              <w:bottom w:val="single" w:sz="4" w:space="0" w:color="000000"/>
            </w:tcBorders>
            <w:vAlign w:val="center"/>
          </w:tcPr>
          <w:p>
            <w:pPr>
              <w:pStyle w:val="TableContents"/>
              <w:widowControl w:val="false"/>
              <w:rPr/>
            </w:pPr>
            <w:r>
              <w:rPr/>
              <w:t>6</w:t>
            </w:r>
          </w:p>
        </w:tc>
        <w:tc>
          <w:tcPr>
            <w:tcW w:w="1534" w:type="dxa"/>
            <w:tcBorders>
              <w:start w:val="single" w:sz="4" w:space="0" w:color="000000"/>
              <w:bottom w:val="single" w:sz="4" w:space="0" w:color="000000"/>
              <w:end w:val="single" w:sz="4" w:space="0" w:color="000000"/>
            </w:tcBorders>
            <w:vAlign w:val="center"/>
          </w:tcPr>
          <w:p>
            <w:pPr>
              <w:pStyle w:val="TableContents"/>
              <w:widowControl w:val="false"/>
              <w:rPr/>
            </w:pPr>
            <w:r>
              <w:rPr/>
              <w:t>Off</w:t>
            </w:r>
          </w:p>
        </w:tc>
      </w:tr>
    </w:tbl>
    <w:p>
      <w:pPr>
        <w:pStyle w:val="BodyText"/>
        <w:rPr>
          <w:rStyle w:val="Emphasis"/>
        </w:rPr>
      </w:pPr>
      <w:r>
        <w:rPr/>
      </w:r>
    </w:p>
    <w:p>
      <w:pPr>
        <w:pStyle w:val="BodyText"/>
        <w:rPr/>
      </w:pPr>
      <w:r>
        <w:rPr>
          <w:rStyle w:val="Emphasis"/>
          <w:sz w:val="20"/>
          <w:szCs w:val="20"/>
        </w:rPr>
        <w:t>Philips</w:t>
      </w:r>
    </w:p>
    <w:p>
      <w:pPr>
        <w:pStyle w:val="BodyText"/>
        <w:rPr>
          <w:sz w:val="20"/>
          <w:szCs w:val="20"/>
        </w:rPr>
      </w:pPr>
      <w:r>
        <w:rPr>
          <w:sz w:val="20"/>
          <w:szCs w:val="20"/>
        </w:rPr>
        <w:t xml:space="preserve">Reference site: U of Chicago </w:t>
      </w:r>
    </w:p>
    <w:tbl>
      <w:tblPr>
        <w:tblW w:w="11400" w:type="dxa"/>
        <w:jc w:val="start"/>
        <w:tblInd w:w="55" w:type="dxa"/>
        <w:tblLayout w:type="fixed"/>
        <w:tblCellMar>
          <w:top w:w="55" w:type="dxa"/>
          <w:start w:w="55" w:type="dxa"/>
          <w:bottom w:w="55" w:type="dxa"/>
          <w:end w:w="55" w:type="dxa"/>
        </w:tblCellMar>
      </w:tblPr>
      <w:tblGrid>
        <w:gridCol w:w="688"/>
        <w:gridCol w:w="1621"/>
        <w:gridCol w:w="449"/>
        <w:gridCol w:w="601"/>
        <w:gridCol w:w="750"/>
        <w:gridCol w:w="991"/>
        <w:gridCol w:w="629"/>
        <w:gridCol w:w="390"/>
        <w:gridCol w:w="524"/>
        <w:gridCol w:w="990"/>
        <w:gridCol w:w="1026"/>
        <w:gridCol w:w="1425"/>
        <w:gridCol w:w="1315"/>
      </w:tblGrid>
      <w:tr>
        <w:trPr/>
        <w:tc>
          <w:tcPr>
            <w:tcW w:w="688" w:type="dxa"/>
            <w:tcBorders>
              <w:top w:val="single" w:sz="4" w:space="0" w:color="000000"/>
              <w:start w:val="single" w:sz="4" w:space="0" w:color="000000"/>
              <w:bottom w:val="single" w:sz="4" w:space="0" w:color="000000"/>
            </w:tcBorders>
            <w:vAlign w:val="center"/>
          </w:tcPr>
          <w:p>
            <w:pPr>
              <w:pStyle w:val="TableContents"/>
              <w:widowControl w:val="false"/>
              <w:rPr/>
            </w:pPr>
            <w:r>
              <w:rPr/>
            </w:r>
          </w:p>
        </w:tc>
        <w:tc>
          <w:tcPr>
            <w:tcW w:w="1621" w:type="dxa"/>
            <w:tcBorders>
              <w:top w:val="single" w:sz="4" w:space="0" w:color="000000"/>
              <w:start w:val="single" w:sz="4" w:space="0" w:color="000000"/>
              <w:bottom w:val="single" w:sz="4" w:space="0" w:color="000000"/>
            </w:tcBorders>
          </w:tcPr>
          <w:p>
            <w:pPr>
              <w:pStyle w:val="TableContents"/>
              <w:widowControl w:val="false"/>
              <w:rPr/>
            </w:pPr>
            <w:r>
              <w:rPr>
                <w:rStyle w:val="Strong"/>
              </w:rPr>
              <w:t>Matrix</w:t>
            </w:r>
          </w:p>
        </w:tc>
        <w:tc>
          <w:tcPr>
            <w:tcW w:w="449" w:type="dxa"/>
            <w:tcBorders>
              <w:top w:val="single" w:sz="4" w:space="0" w:color="000000"/>
              <w:start w:val="single" w:sz="4" w:space="0" w:color="000000"/>
              <w:bottom w:val="single" w:sz="4" w:space="0" w:color="000000"/>
            </w:tcBorders>
          </w:tcPr>
          <w:p>
            <w:pPr>
              <w:pStyle w:val="TableContents"/>
              <w:widowControl w:val="false"/>
              <w:rPr/>
            </w:pPr>
            <w:r>
              <w:rPr>
                <w:rStyle w:val="Strong"/>
              </w:rPr>
              <w:t>Slices</w:t>
            </w:r>
          </w:p>
        </w:tc>
        <w:tc>
          <w:tcPr>
            <w:tcW w:w="601" w:type="dxa"/>
            <w:tcBorders>
              <w:top w:val="single" w:sz="4" w:space="0" w:color="000000"/>
              <w:start w:val="single" w:sz="4" w:space="0" w:color="000000"/>
              <w:bottom w:val="single" w:sz="4" w:space="0" w:color="000000"/>
            </w:tcBorders>
          </w:tcPr>
          <w:p>
            <w:pPr>
              <w:pStyle w:val="TableContents"/>
              <w:widowControl w:val="false"/>
              <w:rPr/>
            </w:pPr>
            <w:r>
              <w:rPr>
                <w:rStyle w:val="Strong"/>
              </w:rPr>
              <w:t>FOV</w:t>
            </w:r>
          </w:p>
        </w:tc>
        <w:tc>
          <w:tcPr>
            <w:tcW w:w="750" w:type="dxa"/>
            <w:tcBorders>
              <w:top w:val="single" w:sz="4" w:space="0" w:color="000000"/>
              <w:start w:val="single" w:sz="4" w:space="0" w:color="000000"/>
              <w:bottom w:val="single" w:sz="4" w:space="0" w:color="000000"/>
            </w:tcBorders>
          </w:tcPr>
          <w:p>
            <w:pPr>
              <w:pStyle w:val="TableContents"/>
              <w:widowControl w:val="false"/>
              <w:rPr/>
            </w:pPr>
            <w:r>
              <w:rPr>
                <w:rStyle w:val="Strong"/>
              </w:rPr>
              <w:t>% FOV phase</w:t>
            </w:r>
          </w:p>
        </w:tc>
        <w:tc>
          <w:tcPr>
            <w:tcW w:w="991" w:type="dxa"/>
            <w:tcBorders>
              <w:top w:val="single" w:sz="4" w:space="0" w:color="000000"/>
              <w:start w:val="single" w:sz="4" w:space="0" w:color="000000"/>
              <w:bottom w:val="single" w:sz="4" w:space="0" w:color="000000"/>
            </w:tcBorders>
          </w:tcPr>
          <w:p>
            <w:pPr>
              <w:pStyle w:val="TableContents"/>
              <w:widowControl w:val="false"/>
              <w:rPr/>
            </w:pPr>
            <w:r>
              <w:rPr>
                <w:rStyle w:val="Strong"/>
              </w:rPr>
              <w:t>Resolution (mm)</w:t>
            </w:r>
          </w:p>
        </w:tc>
        <w:tc>
          <w:tcPr>
            <w:tcW w:w="629" w:type="dxa"/>
            <w:tcBorders>
              <w:top w:val="single" w:sz="4" w:space="0" w:color="000000"/>
              <w:start w:val="single" w:sz="4" w:space="0" w:color="000000"/>
              <w:bottom w:val="single" w:sz="4" w:space="0" w:color="000000"/>
            </w:tcBorders>
          </w:tcPr>
          <w:p>
            <w:pPr>
              <w:pStyle w:val="TableContents"/>
              <w:widowControl w:val="false"/>
              <w:rPr/>
            </w:pPr>
            <w:r>
              <w:rPr>
                <w:rStyle w:val="Strong"/>
              </w:rPr>
              <w:t>TR (ms)</w:t>
            </w:r>
          </w:p>
        </w:tc>
        <w:tc>
          <w:tcPr>
            <w:tcW w:w="390" w:type="dxa"/>
            <w:tcBorders>
              <w:top w:val="single" w:sz="4" w:space="0" w:color="000000"/>
              <w:start w:val="single" w:sz="4" w:space="0" w:color="000000"/>
              <w:bottom w:val="single" w:sz="4" w:space="0" w:color="000000"/>
            </w:tcBorders>
          </w:tcPr>
          <w:p>
            <w:pPr>
              <w:pStyle w:val="TableContents"/>
              <w:widowControl w:val="false"/>
              <w:rPr/>
            </w:pPr>
            <w:r>
              <w:rPr>
                <w:rStyle w:val="Strong"/>
              </w:rPr>
              <w:t>TE (ms)</w:t>
            </w:r>
          </w:p>
        </w:tc>
        <w:tc>
          <w:tcPr>
            <w:tcW w:w="524" w:type="dxa"/>
            <w:tcBorders>
              <w:top w:val="single" w:sz="4" w:space="0" w:color="000000"/>
              <w:start w:val="single" w:sz="4" w:space="0" w:color="000000"/>
              <w:bottom w:val="single" w:sz="4" w:space="0" w:color="000000"/>
            </w:tcBorders>
          </w:tcPr>
          <w:p>
            <w:pPr>
              <w:pStyle w:val="TableContents"/>
              <w:widowControl w:val="false"/>
              <w:rPr/>
            </w:pPr>
            <w:r>
              <w:rPr>
                <w:rStyle w:val="Strong"/>
              </w:rPr>
              <w:t>TI (ms)</w:t>
            </w:r>
          </w:p>
        </w:tc>
        <w:tc>
          <w:tcPr>
            <w:tcW w:w="990" w:type="dxa"/>
            <w:tcBorders>
              <w:top w:val="single" w:sz="4" w:space="0" w:color="000000"/>
              <w:start w:val="single" w:sz="4" w:space="0" w:color="000000"/>
              <w:bottom w:val="single" w:sz="4" w:space="0" w:color="000000"/>
            </w:tcBorders>
          </w:tcPr>
          <w:p>
            <w:pPr>
              <w:pStyle w:val="TableContents"/>
              <w:widowControl w:val="false"/>
              <w:rPr/>
            </w:pPr>
            <w:r>
              <w:rPr>
                <w:rStyle w:val="Strong"/>
              </w:rPr>
              <w:t>Flip Angle (deg)</w:t>
            </w:r>
          </w:p>
        </w:tc>
        <w:tc>
          <w:tcPr>
            <w:tcW w:w="1026" w:type="dxa"/>
            <w:tcBorders>
              <w:top w:val="single" w:sz="4" w:space="0" w:color="000000"/>
              <w:start w:val="single" w:sz="4" w:space="0" w:color="000000"/>
              <w:bottom w:val="single" w:sz="4" w:space="0" w:color="000000"/>
            </w:tcBorders>
          </w:tcPr>
          <w:p>
            <w:pPr>
              <w:pStyle w:val="TableContents"/>
              <w:widowControl w:val="false"/>
              <w:rPr/>
            </w:pPr>
            <w:r>
              <w:rPr>
                <w:rStyle w:val="Strong"/>
              </w:rPr>
              <w:t>Parallel Imaging</w:t>
            </w:r>
          </w:p>
        </w:tc>
        <w:tc>
          <w:tcPr>
            <w:tcW w:w="1425" w:type="dxa"/>
            <w:tcBorders>
              <w:top w:val="single" w:sz="4" w:space="0" w:color="000000"/>
              <w:start w:val="single" w:sz="4" w:space="0" w:color="000000"/>
              <w:bottom w:val="single" w:sz="4" w:space="0" w:color="000000"/>
            </w:tcBorders>
          </w:tcPr>
          <w:p>
            <w:pPr>
              <w:pStyle w:val="TableContents"/>
              <w:widowControl w:val="false"/>
              <w:rPr/>
            </w:pPr>
            <w:r>
              <w:rPr>
                <w:rStyle w:val="Strong"/>
              </w:rPr>
              <w:t>MultiBand Acceleration</w:t>
            </w:r>
          </w:p>
        </w:tc>
        <w:tc>
          <w:tcPr>
            <w:tcW w:w="1315" w:type="dxa"/>
            <w:tcBorders>
              <w:top w:val="single" w:sz="4" w:space="0" w:color="000000"/>
              <w:start w:val="single" w:sz="4" w:space="0" w:color="000000"/>
              <w:bottom w:val="single" w:sz="4" w:space="0" w:color="000000"/>
              <w:end w:val="single" w:sz="4" w:space="0" w:color="000000"/>
            </w:tcBorders>
          </w:tcPr>
          <w:p>
            <w:pPr>
              <w:pStyle w:val="TableContents"/>
              <w:widowControl w:val="false"/>
              <w:rPr/>
            </w:pPr>
            <w:r>
              <w:rPr>
                <w:rStyle w:val="Strong"/>
              </w:rPr>
              <w:t>Half Scan Factor</w:t>
            </w:r>
          </w:p>
        </w:tc>
      </w:tr>
      <w:tr>
        <w:trPr/>
        <w:tc>
          <w:tcPr>
            <w:tcW w:w="688" w:type="dxa"/>
            <w:tcBorders>
              <w:start w:val="single" w:sz="4" w:space="0" w:color="000000"/>
              <w:bottom w:val="single" w:sz="4" w:space="0" w:color="000000"/>
            </w:tcBorders>
            <w:vAlign w:val="center"/>
          </w:tcPr>
          <w:p>
            <w:pPr>
              <w:pStyle w:val="TableContents"/>
              <w:widowControl w:val="false"/>
              <w:rPr/>
            </w:pPr>
            <w:r>
              <w:rPr>
                <w:rStyle w:val="Strong"/>
              </w:rPr>
              <w:t>T1</w:t>
            </w:r>
          </w:p>
        </w:tc>
        <w:tc>
          <w:tcPr>
            <w:tcW w:w="1621" w:type="dxa"/>
            <w:tcBorders>
              <w:start w:val="single" w:sz="4" w:space="0" w:color="000000"/>
              <w:bottom w:val="single" w:sz="4" w:space="0" w:color="000000"/>
            </w:tcBorders>
            <w:vAlign w:val="center"/>
          </w:tcPr>
          <w:p>
            <w:pPr>
              <w:pStyle w:val="TableContents"/>
              <w:widowControl w:val="false"/>
              <w:rPr/>
            </w:pPr>
            <w:r>
              <w:rPr/>
              <w:t>256x240 acq, 256x256 rec</w:t>
            </w:r>
          </w:p>
        </w:tc>
        <w:tc>
          <w:tcPr>
            <w:tcW w:w="449" w:type="dxa"/>
            <w:tcBorders>
              <w:start w:val="single" w:sz="4" w:space="0" w:color="000000"/>
              <w:bottom w:val="single" w:sz="4" w:space="0" w:color="000000"/>
            </w:tcBorders>
            <w:vAlign w:val="center"/>
          </w:tcPr>
          <w:p>
            <w:pPr>
              <w:pStyle w:val="TableContents"/>
              <w:widowControl w:val="false"/>
              <w:rPr/>
            </w:pPr>
            <w:r>
              <w:rPr/>
              <w:t>225</w:t>
            </w:r>
          </w:p>
        </w:tc>
        <w:tc>
          <w:tcPr>
            <w:tcW w:w="601" w:type="dxa"/>
            <w:tcBorders>
              <w:start w:val="single" w:sz="4" w:space="0" w:color="000000"/>
              <w:bottom w:val="single" w:sz="4" w:space="0" w:color="000000"/>
            </w:tcBorders>
            <w:vAlign w:val="center"/>
          </w:tcPr>
          <w:p>
            <w:pPr>
              <w:pStyle w:val="TableContents"/>
              <w:widowControl w:val="false"/>
              <w:rPr/>
            </w:pPr>
            <w:r>
              <w:rPr/>
              <w:t>256x240</w:t>
            </w:r>
          </w:p>
        </w:tc>
        <w:tc>
          <w:tcPr>
            <w:tcW w:w="750" w:type="dxa"/>
            <w:tcBorders>
              <w:start w:val="single" w:sz="4" w:space="0" w:color="000000"/>
              <w:bottom w:val="single" w:sz="4" w:space="0" w:color="000000"/>
            </w:tcBorders>
            <w:vAlign w:val="center"/>
          </w:tcPr>
          <w:p>
            <w:pPr>
              <w:pStyle w:val="TableContents"/>
              <w:widowControl w:val="false"/>
              <w:rPr/>
            </w:pPr>
            <w:r>
              <w:rPr/>
              <w:t>93.75%</w:t>
            </w:r>
          </w:p>
        </w:tc>
        <w:tc>
          <w:tcPr>
            <w:tcW w:w="991" w:type="dxa"/>
            <w:tcBorders>
              <w:start w:val="single" w:sz="4" w:space="0" w:color="000000"/>
              <w:bottom w:val="single" w:sz="4" w:space="0" w:color="000000"/>
            </w:tcBorders>
            <w:vAlign w:val="center"/>
          </w:tcPr>
          <w:p>
            <w:pPr>
              <w:pStyle w:val="TableContents"/>
              <w:widowControl w:val="false"/>
              <w:rPr/>
            </w:pPr>
            <w:r>
              <w:rPr/>
              <w:t>1.0x1.0x1.0</w:t>
            </w:r>
          </w:p>
        </w:tc>
        <w:tc>
          <w:tcPr>
            <w:tcW w:w="629" w:type="dxa"/>
            <w:tcBorders>
              <w:start w:val="single" w:sz="4" w:space="0" w:color="000000"/>
              <w:bottom w:val="single" w:sz="4" w:space="0" w:color="000000"/>
            </w:tcBorders>
            <w:vAlign w:val="center"/>
          </w:tcPr>
          <w:p>
            <w:pPr>
              <w:pStyle w:val="TableContents"/>
              <w:widowControl w:val="false"/>
              <w:rPr/>
            </w:pPr>
            <w:r>
              <w:rPr/>
              <w:t>6.66</w:t>
            </w:r>
          </w:p>
        </w:tc>
        <w:tc>
          <w:tcPr>
            <w:tcW w:w="390" w:type="dxa"/>
            <w:tcBorders>
              <w:start w:val="single" w:sz="4" w:space="0" w:color="000000"/>
              <w:bottom w:val="single" w:sz="4" w:space="0" w:color="000000"/>
            </w:tcBorders>
            <w:vAlign w:val="center"/>
          </w:tcPr>
          <w:p>
            <w:pPr>
              <w:pStyle w:val="TableContents"/>
              <w:widowControl w:val="false"/>
              <w:rPr/>
            </w:pPr>
            <w:r>
              <w:rPr/>
              <w:t>3.0</w:t>
            </w:r>
          </w:p>
        </w:tc>
        <w:tc>
          <w:tcPr>
            <w:tcW w:w="524" w:type="dxa"/>
            <w:tcBorders>
              <w:start w:val="single" w:sz="4" w:space="0" w:color="000000"/>
              <w:bottom w:val="single" w:sz="4" w:space="0" w:color="000000"/>
            </w:tcBorders>
            <w:vAlign w:val="center"/>
          </w:tcPr>
          <w:p>
            <w:pPr>
              <w:pStyle w:val="TableContents"/>
              <w:widowControl w:val="false"/>
              <w:rPr/>
            </w:pPr>
            <w:r>
              <w:rPr/>
              <w:t>1060</w:t>
            </w:r>
          </w:p>
        </w:tc>
        <w:tc>
          <w:tcPr>
            <w:tcW w:w="990" w:type="dxa"/>
            <w:tcBorders>
              <w:start w:val="single" w:sz="4" w:space="0" w:color="000000"/>
              <w:bottom w:val="single" w:sz="4" w:space="0" w:color="000000"/>
            </w:tcBorders>
            <w:vAlign w:val="center"/>
          </w:tcPr>
          <w:p>
            <w:pPr>
              <w:pStyle w:val="TableContents"/>
              <w:widowControl w:val="false"/>
              <w:rPr/>
            </w:pPr>
            <w:r>
              <w:rPr/>
              <w:t>8</w:t>
            </w:r>
          </w:p>
        </w:tc>
        <w:tc>
          <w:tcPr>
            <w:tcW w:w="1026" w:type="dxa"/>
            <w:tcBorders>
              <w:start w:val="single" w:sz="4" w:space="0" w:color="000000"/>
              <w:bottom w:val="single" w:sz="4" w:space="0" w:color="000000"/>
            </w:tcBorders>
            <w:vAlign w:val="center"/>
          </w:tcPr>
          <w:p>
            <w:pPr>
              <w:pStyle w:val="TableContents"/>
              <w:widowControl w:val="false"/>
              <w:rPr/>
            </w:pPr>
            <w:r>
              <w:rPr/>
              <w:t>2x1</w:t>
            </w:r>
          </w:p>
        </w:tc>
        <w:tc>
          <w:tcPr>
            <w:tcW w:w="1425" w:type="dxa"/>
            <w:tcBorders>
              <w:start w:val="single" w:sz="4" w:space="0" w:color="000000"/>
              <w:bottom w:val="single" w:sz="4" w:space="0" w:color="000000"/>
            </w:tcBorders>
            <w:vAlign w:val="center"/>
          </w:tcPr>
          <w:p>
            <w:pPr>
              <w:pStyle w:val="TableContents"/>
              <w:widowControl w:val="false"/>
              <w:rPr/>
            </w:pPr>
            <w:r>
              <w:rPr/>
              <w:t>Off</w:t>
            </w:r>
          </w:p>
        </w:tc>
        <w:tc>
          <w:tcPr>
            <w:tcW w:w="1315" w:type="dxa"/>
            <w:tcBorders>
              <w:start w:val="single" w:sz="4" w:space="0" w:color="000000"/>
              <w:bottom w:val="single" w:sz="4" w:space="0" w:color="000000"/>
              <w:end w:val="single" w:sz="4" w:space="0" w:color="000000"/>
            </w:tcBorders>
            <w:vAlign w:val="center"/>
          </w:tcPr>
          <w:p>
            <w:pPr>
              <w:pStyle w:val="TableContents"/>
              <w:widowControl w:val="false"/>
              <w:rPr/>
            </w:pPr>
            <w:r>
              <w:rPr/>
              <w:t>N/A</w:t>
            </w:r>
          </w:p>
        </w:tc>
      </w:tr>
      <w:tr>
        <w:trPr/>
        <w:tc>
          <w:tcPr>
            <w:tcW w:w="688" w:type="dxa"/>
            <w:tcBorders>
              <w:start w:val="single" w:sz="4" w:space="0" w:color="000000"/>
              <w:bottom w:val="single" w:sz="4" w:space="0" w:color="000000"/>
            </w:tcBorders>
            <w:vAlign w:val="center"/>
          </w:tcPr>
          <w:p>
            <w:pPr>
              <w:pStyle w:val="TableContents"/>
              <w:widowControl w:val="false"/>
              <w:rPr/>
            </w:pPr>
            <w:r>
              <w:rPr>
                <w:rStyle w:val="Strong"/>
              </w:rPr>
              <w:t>Diffusion</w:t>
            </w:r>
          </w:p>
        </w:tc>
        <w:tc>
          <w:tcPr>
            <w:tcW w:w="1621" w:type="dxa"/>
            <w:tcBorders>
              <w:start w:val="single" w:sz="4" w:space="0" w:color="000000"/>
              <w:bottom w:val="single" w:sz="4" w:space="0" w:color="000000"/>
            </w:tcBorders>
            <w:vAlign w:val="center"/>
          </w:tcPr>
          <w:p>
            <w:pPr>
              <w:pStyle w:val="TableContents"/>
              <w:widowControl w:val="false"/>
              <w:rPr/>
            </w:pPr>
            <w:r>
              <w:rPr/>
              <w:t>140x141 acq, 144x144 rec</w:t>
            </w:r>
          </w:p>
        </w:tc>
        <w:tc>
          <w:tcPr>
            <w:tcW w:w="449" w:type="dxa"/>
            <w:tcBorders>
              <w:start w:val="single" w:sz="4" w:space="0" w:color="000000"/>
              <w:bottom w:val="single" w:sz="4" w:space="0" w:color="000000"/>
            </w:tcBorders>
            <w:vAlign w:val="center"/>
          </w:tcPr>
          <w:p>
            <w:pPr>
              <w:pStyle w:val="TableContents"/>
              <w:widowControl w:val="false"/>
              <w:rPr/>
            </w:pPr>
            <w:r>
              <w:rPr/>
              <w:t>81</w:t>
            </w:r>
          </w:p>
        </w:tc>
        <w:tc>
          <w:tcPr>
            <w:tcW w:w="601" w:type="dxa"/>
            <w:tcBorders>
              <w:start w:val="single" w:sz="4" w:space="0" w:color="000000"/>
              <w:bottom w:val="single" w:sz="4" w:space="0" w:color="000000"/>
            </w:tcBorders>
            <w:vAlign w:val="center"/>
          </w:tcPr>
          <w:p>
            <w:pPr>
              <w:pStyle w:val="TableContents"/>
              <w:widowControl w:val="false"/>
              <w:rPr/>
            </w:pPr>
            <w:r>
              <w:rPr/>
              <w:t>240x240</w:t>
            </w:r>
          </w:p>
        </w:tc>
        <w:tc>
          <w:tcPr>
            <w:tcW w:w="750" w:type="dxa"/>
            <w:tcBorders>
              <w:start w:val="single" w:sz="4" w:space="0" w:color="000000"/>
              <w:bottom w:val="single" w:sz="4" w:space="0" w:color="000000"/>
            </w:tcBorders>
            <w:vAlign w:val="center"/>
          </w:tcPr>
          <w:p>
            <w:pPr>
              <w:pStyle w:val="TableContents"/>
              <w:widowControl w:val="false"/>
              <w:rPr/>
            </w:pPr>
            <w:r>
              <w:rPr/>
              <w:t>100%</w:t>
            </w:r>
          </w:p>
        </w:tc>
        <w:tc>
          <w:tcPr>
            <w:tcW w:w="991" w:type="dxa"/>
            <w:tcBorders>
              <w:start w:val="single" w:sz="4" w:space="0" w:color="000000"/>
              <w:bottom w:val="single" w:sz="4" w:space="0" w:color="000000"/>
            </w:tcBorders>
            <w:vAlign w:val="center"/>
          </w:tcPr>
          <w:p>
            <w:pPr>
              <w:pStyle w:val="TableContents"/>
              <w:widowControl w:val="false"/>
              <w:rPr/>
            </w:pPr>
            <w:r>
              <w:rPr/>
              <w:t>1.67x1.67x1.7</w:t>
            </w:r>
          </w:p>
        </w:tc>
        <w:tc>
          <w:tcPr>
            <w:tcW w:w="629" w:type="dxa"/>
            <w:tcBorders>
              <w:start w:val="single" w:sz="4" w:space="0" w:color="000000"/>
              <w:bottom w:val="single" w:sz="4" w:space="0" w:color="000000"/>
            </w:tcBorders>
            <w:vAlign w:val="center"/>
          </w:tcPr>
          <w:p>
            <w:pPr>
              <w:pStyle w:val="TableContents"/>
              <w:widowControl w:val="false"/>
              <w:rPr/>
            </w:pPr>
            <w:r>
              <w:rPr/>
              <w:t>8093.6</w:t>
            </w:r>
          </w:p>
        </w:tc>
        <w:tc>
          <w:tcPr>
            <w:tcW w:w="390" w:type="dxa"/>
            <w:tcBorders>
              <w:start w:val="single" w:sz="4" w:space="0" w:color="000000"/>
              <w:bottom w:val="single" w:sz="4" w:space="0" w:color="000000"/>
            </w:tcBorders>
            <w:vAlign w:val="center"/>
          </w:tcPr>
          <w:p>
            <w:pPr>
              <w:pStyle w:val="TableContents"/>
              <w:widowControl w:val="false"/>
              <w:rPr/>
            </w:pPr>
            <w:r>
              <w:rPr/>
              <w:t>103</w:t>
            </w:r>
          </w:p>
        </w:tc>
        <w:tc>
          <w:tcPr>
            <w:tcW w:w="524" w:type="dxa"/>
            <w:tcBorders>
              <w:start w:val="single" w:sz="4" w:space="0" w:color="000000"/>
              <w:bottom w:val="single" w:sz="4" w:space="0" w:color="000000"/>
            </w:tcBorders>
            <w:vAlign w:val="center"/>
          </w:tcPr>
          <w:p>
            <w:pPr>
              <w:pStyle w:val="TableContents"/>
              <w:widowControl w:val="false"/>
              <w:rPr/>
            </w:pPr>
            <w:r>
              <w:rPr/>
              <w:t>N/A</w:t>
            </w:r>
          </w:p>
        </w:tc>
        <w:tc>
          <w:tcPr>
            <w:tcW w:w="990" w:type="dxa"/>
            <w:tcBorders>
              <w:start w:val="single" w:sz="4" w:space="0" w:color="000000"/>
              <w:bottom w:val="single" w:sz="4" w:space="0" w:color="000000"/>
            </w:tcBorders>
            <w:vAlign w:val="center"/>
          </w:tcPr>
          <w:p>
            <w:pPr>
              <w:pStyle w:val="TableContents"/>
              <w:widowControl w:val="false"/>
              <w:rPr/>
            </w:pPr>
            <w:r>
              <w:rPr/>
              <w:t>78</w:t>
            </w:r>
          </w:p>
        </w:tc>
        <w:tc>
          <w:tcPr>
            <w:tcW w:w="1026" w:type="dxa"/>
            <w:tcBorders>
              <w:start w:val="single" w:sz="4" w:space="0" w:color="000000"/>
              <w:bottom w:val="single" w:sz="4" w:space="0" w:color="000000"/>
            </w:tcBorders>
            <w:vAlign w:val="center"/>
          </w:tcPr>
          <w:p>
            <w:pPr>
              <w:pStyle w:val="TableContents"/>
              <w:widowControl w:val="false"/>
              <w:rPr/>
            </w:pPr>
            <w:r>
              <w:rPr/>
              <w:t>Off</w:t>
            </w:r>
          </w:p>
        </w:tc>
        <w:tc>
          <w:tcPr>
            <w:tcW w:w="1425" w:type="dxa"/>
            <w:tcBorders>
              <w:start w:val="single" w:sz="4" w:space="0" w:color="000000"/>
              <w:bottom w:val="single" w:sz="4" w:space="0" w:color="000000"/>
            </w:tcBorders>
            <w:vAlign w:val="center"/>
          </w:tcPr>
          <w:p>
            <w:pPr>
              <w:pStyle w:val="TableContents"/>
              <w:widowControl w:val="false"/>
              <w:rPr/>
            </w:pPr>
            <w:r>
              <w:rPr/>
              <w:t>3</w:t>
            </w:r>
          </w:p>
        </w:tc>
        <w:tc>
          <w:tcPr>
            <w:tcW w:w="1315" w:type="dxa"/>
            <w:tcBorders>
              <w:start w:val="single" w:sz="4" w:space="0" w:color="000000"/>
              <w:bottom w:val="single" w:sz="4" w:space="0" w:color="000000"/>
              <w:end w:val="single" w:sz="4" w:space="0" w:color="000000"/>
            </w:tcBorders>
            <w:vAlign w:val="center"/>
          </w:tcPr>
          <w:p>
            <w:pPr>
              <w:pStyle w:val="TableContents"/>
              <w:widowControl w:val="false"/>
              <w:rPr/>
            </w:pPr>
            <w:r>
              <w:rPr/>
              <w:t>0.6</w:t>
            </w:r>
          </w:p>
        </w:tc>
      </w:tr>
      <w:tr>
        <w:trPr/>
        <w:tc>
          <w:tcPr>
            <w:tcW w:w="688" w:type="dxa"/>
            <w:tcBorders>
              <w:start w:val="single" w:sz="4" w:space="0" w:color="000000"/>
              <w:bottom w:val="single" w:sz="4" w:space="0" w:color="000000"/>
            </w:tcBorders>
            <w:vAlign w:val="center"/>
          </w:tcPr>
          <w:p>
            <w:pPr>
              <w:pStyle w:val="TableContents"/>
              <w:widowControl w:val="false"/>
              <w:rPr/>
            </w:pPr>
            <w:r>
              <w:rPr>
                <w:rStyle w:val="Strong"/>
              </w:rPr>
              <w:t>fMRI</w:t>
            </w:r>
          </w:p>
        </w:tc>
        <w:tc>
          <w:tcPr>
            <w:tcW w:w="1621" w:type="dxa"/>
            <w:tcBorders>
              <w:start w:val="single" w:sz="4" w:space="0" w:color="000000"/>
              <w:bottom w:val="single" w:sz="4" w:space="0" w:color="000000"/>
            </w:tcBorders>
            <w:vAlign w:val="center"/>
          </w:tcPr>
          <w:p>
            <w:pPr>
              <w:pStyle w:val="TableContents"/>
              <w:widowControl w:val="false"/>
              <w:rPr/>
            </w:pPr>
            <w:r>
              <w:rPr/>
              <w:t>88x89</w:t>
            </w:r>
          </w:p>
        </w:tc>
        <w:tc>
          <w:tcPr>
            <w:tcW w:w="449" w:type="dxa"/>
            <w:tcBorders>
              <w:start w:val="single" w:sz="4" w:space="0" w:color="000000"/>
              <w:bottom w:val="single" w:sz="4" w:space="0" w:color="000000"/>
            </w:tcBorders>
            <w:vAlign w:val="center"/>
          </w:tcPr>
          <w:p>
            <w:pPr>
              <w:pStyle w:val="TableContents"/>
              <w:widowControl w:val="false"/>
              <w:rPr/>
            </w:pPr>
            <w:r>
              <w:rPr/>
              <w:t>54*</w:t>
            </w:r>
          </w:p>
        </w:tc>
        <w:tc>
          <w:tcPr>
            <w:tcW w:w="601" w:type="dxa"/>
            <w:tcBorders>
              <w:start w:val="single" w:sz="4" w:space="0" w:color="000000"/>
              <w:bottom w:val="single" w:sz="4" w:space="0" w:color="000000"/>
            </w:tcBorders>
            <w:vAlign w:val="center"/>
          </w:tcPr>
          <w:p>
            <w:pPr>
              <w:pStyle w:val="TableContents"/>
              <w:widowControl w:val="false"/>
              <w:rPr/>
            </w:pPr>
            <w:r>
              <w:rPr/>
              <w:t>216x216</w:t>
            </w:r>
          </w:p>
        </w:tc>
        <w:tc>
          <w:tcPr>
            <w:tcW w:w="750" w:type="dxa"/>
            <w:tcBorders>
              <w:start w:val="single" w:sz="4" w:space="0" w:color="000000"/>
              <w:bottom w:val="single" w:sz="4" w:space="0" w:color="000000"/>
            </w:tcBorders>
            <w:vAlign w:val="center"/>
          </w:tcPr>
          <w:p>
            <w:pPr>
              <w:pStyle w:val="TableContents"/>
              <w:widowControl w:val="false"/>
              <w:rPr/>
            </w:pPr>
            <w:r>
              <w:rPr/>
              <w:t>100%</w:t>
            </w:r>
          </w:p>
        </w:tc>
        <w:tc>
          <w:tcPr>
            <w:tcW w:w="991" w:type="dxa"/>
            <w:tcBorders>
              <w:start w:val="single" w:sz="4" w:space="0" w:color="000000"/>
              <w:bottom w:val="single" w:sz="4" w:space="0" w:color="000000"/>
            </w:tcBorders>
            <w:vAlign w:val="center"/>
          </w:tcPr>
          <w:p>
            <w:pPr>
              <w:pStyle w:val="TableContents"/>
              <w:widowControl w:val="false"/>
              <w:rPr/>
            </w:pPr>
            <w:r>
              <w:rPr/>
              <w:t>2.22x2.22x2.4</w:t>
            </w:r>
          </w:p>
        </w:tc>
        <w:tc>
          <w:tcPr>
            <w:tcW w:w="629" w:type="dxa"/>
            <w:tcBorders>
              <w:start w:val="single" w:sz="4" w:space="0" w:color="000000"/>
              <w:bottom w:val="single" w:sz="4" w:space="0" w:color="000000"/>
            </w:tcBorders>
            <w:vAlign w:val="center"/>
          </w:tcPr>
          <w:p>
            <w:pPr>
              <w:pStyle w:val="TableContents"/>
              <w:widowControl w:val="false"/>
              <w:rPr/>
            </w:pPr>
            <w:r>
              <w:rPr/>
              <w:t>800</w:t>
            </w:r>
          </w:p>
        </w:tc>
        <w:tc>
          <w:tcPr>
            <w:tcW w:w="390" w:type="dxa"/>
            <w:tcBorders>
              <w:start w:val="single" w:sz="4" w:space="0" w:color="000000"/>
              <w:bottom w:val="single" w:sz="4" w:space="0" w:color="000000"/>
            </w:tcBorders>
            <w:vAlign w:val="center"/>
          </w:tcPr>
          <w:p>
            <w:pPr>
              <w:pStyle w:val="TableContents"/>
              <w:widowControl w:val="false"/>
              <w:rPr/>
            </w:pPr>
            <w:r>
              <w:rPr/>
              <w:t>30</w:t>
            </w:r>
          </w:p>
        </w:tc>
        <w:tc>
          <w:tcPr>
            <w:tcW w:w="524" w:type="dxa"/>
            <w:tcBorders>
              <w:start w:val="single" w:sz="4" w:space="0" w:color="000000"/>
              <w:bottom w:val="single" w:sz="4" w:space="0" w:color="000000"/>
            </w:tcBorders>
            <w:vAlign w:val="center"/>
          </w:tcPr>
          <w:p>
            <w:pPr>
              <w:pStyle w:val="TableContents"/>
              <w:widowControl w:val="false"/>
              <w:rPr/>
            </w:pPr>
            <w:r>
              <w:rPr/>
              <w:t>N/A</w:t>
            </w:r>
          </w:p>
        </w:tc>
        <w:tc>
          <w:tcPr>
            <w:tcW w:w="990" w:type="dxa"/>
            <w:tcBorders>
              <w:start w:val="single" w:sz="4" w:space="0" w:color="000000"/>
              <w:bottom w:val="single" w:sz="4" w:space="0" w:color="000000"/>
            </w:tcBorders>
            <w:vAlign w:val="center"/>
          </w:tcPr>
          <w:p>
            <w:pPr>
              <w:pStyle w:val="TableContents"/>
              <w:widowControl w:val="false"/>
              <w:rPr/>
            </w:pPr>
            <w:r>
              <w:rPr/>
              <w:t>52</w:t>
            </w:r>
          </w:p>
        </w:tc>
        <w:tc>
          <w:tcPr>
            <w:tcW w:w="1026" w:type="dxa"/>
            <w:tcBorders>
              <w:start w:val="single" w:sz="4" w:space="0" w:color="000000"/>
              <w:bottom w:val="single" w:sz="4" w:space="0" w:color="000000"/>
            </w:tcBorders>
            <w:vAlign w:val="center"/>
          </w:tcPr>
          <w:p>
            <w:pPr>
              <w:pStyle w:val="TableContents"/>
              <w:widowControl w:val="false"/>
              <w:rPr/>
            </w:pPr>
            <w:r>
              <w:rPr/>
              <w:t>Off</w:t>
            </w:r>
          </w:p>
        </w:tc>
        <w:tc>
          <w:tcPr>
            <w:tcW w:w="1425" w:type="dxa"/>
            <w:tcBorders>
              <w:start w:val="single" w:sz="4" w:space="0" w:color="000000"/>
              <w:bottom w:val="single" w:sz="4" w:space="0" w:color="000000"/>
            </w:tcBorders>
            <w:vAlign w:val="center"/>
          </w:tcPr>
          <w:p>
            <w:pPr>
              <w:pStyle w:val="TableContents"/>
              <w:widowControl w:val="false"/>
              <w:rPr/>
            </w:pPr>
            <w:r>
              <w:rPr/>
              <w:t>6</w:t>
            </w:r>
          </w:p>
        </w:tc>
        <w:tc>
          <w:tcPr>
            <w:tcW w:w="1315" w:type="dxa"/>
            <w:tcBorders>
              <w:start w:val="single" w:sz="4" w:space="0" w:color="000000"/>
              <w:bottom w:val="single" w:sz="4" w:space="0" w:color="000000"/>
              <w:end w:val="single" w:sz="4" w:space="0" w:color="000000"/>
            </w:tcBorders>
            <w:vAlign w:val="center"/>
          </w:tcPr>
          <w:p>
            <w:pPr>
              <w:pStyle w:val="TableContents"/>
              <w:widowControl w:val="false"/>
              <w:rPr/>
            </w:pPr>
            <w:r>
              <w:rPr/>
              <w:t>0.9</w:t>
            </w:r>
          </w:p>
        </w:tc>
      </w:tr>
    </w:tbl>
    <w:p>
      <w:pPr>
        <w:pStyle w:val="BodyText"/>
        <w:rPr>
          <w:sz w:val="14"/>
          <w:szCs w:val="14"/>
        </w:rPr>
      </w:pPr>
      <w:r>
        <w:rPr>
          <w:sz w:val="14"/>
          <w:szCs w:val="14"/>
        </w:rPr>
      </w:r>
    </w:p>
    <w:p>
      <w:pPr>
        <w:pStyle w:val="BodyText"/>
        <w:rPr/>
      </w:pPr>
      <w:r>
        <w:rPr>
          <w:rStyle w:val="Emphasis"/>
          <w:sz w:val="20"/>
          <w:szCs w:val="20"/>
        </w:rPr>
        <w:t>GE</w:t>
      </w:r>
    </w:p>
    <w:p>
      <w:pPr>
        <w:pStyle w:val="BodyText"/>
        <w:rPr>
          <w:sz w:val="20"/>
          <w:szCs w:val="20"/>
        </w:rPr>
      </w:pPr>
      <w:r>
        <w:rPr>
          <w:sz w:val="20"/>
          <w:szCs w:val="20"/>
        </w:rPr>
        <w:t>Reference site: UIC</w:t>
      </w:r>
    </w:p>
    <w:tbl>
      <w:tblPr>
        <w:tblW w:w="10860" w:type="dxa"/>
        <w:jc w:val="start"/>
        <w:tblInd w:w="55" w:type="dxa"/>
        <w:tblLayout w:type="fixed"/>
        <w:tblCellMar>
          <w:top w:w="55" w:type="dxa"/>
          <w:start w:w="55" w:type="dxa"/>
          <w:bottom w:w="55" w:type="dxa"/>
          <w:end w:w="55" w:type="dxa"/>
        </w:tblCellMar>
      </w:tblPr>
      <w:tblGrid>
        <w:gridCol w:w="720"/>
        <w:gridCol w:w="626"/>
        <w:gridCol w:w="453"/>
        <w:gridCol w:w="631"/>
        <w:gridCol w:w="670"/>
        <w:gridCol w:w="1043"/>
        <w:gridCol w:w="575"/>
        <w:gridCol w:w="568"/>
        <w:gridCol w:w="533"/>
        <w:gridCol w:w="1004"/>
        <w:gridCol w:w="1039"/>
        <w:gridCol w:w="1449"/>
        <w:gridCol w:w="1548"/>
      </w:tblGrid>
      <w:tr>
        <w:trPr>
          <w:trHeight w:val="510" w:hRule="atLeast"/>
        </w:trPr>
        <w:tc>
          <w:tcPr>
            <w:tcW w:w="720" w:type="dxa"/>
            <w:tcBorders>
              <w:top w:val="single" w:sz="4" w:space="0" w:color="000000"/>
              <w:start w:val="single" w:sz="4" w:space="0" w:color="000000"/>
              <w:bottom w:val="single" w:sz="4" w:space="0" w:color="000000"/>
            </w:tcBorders>
            <w:vAlign w:val="center"/>
          </w:tcPr>
          <w:p>
            <w:pPr>
              <w:pStyle w:val="TableContents"/>
              <w:widowControl w:val="false"/>
              <w:rPr/>
            </w:pPr>
            <w:r>
              <w:rPr/>
            </w:r>
          </w:p>
        </w:tc>
        <w:tc>
          <w:tcPr>
            <w:tcW w:w="626"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Matrix</w:t>
            </w:r>
          </w:p>
        </w:tc>
        <w:tc>
          <w:tcPr>
            <w:tcW w:w="453"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Slices</w:t>
            </w:r>
          </w:p>
        </w:tc>
        <w:tc>
          <w:tcPr>
            <w:tcW w:w="631"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FOV</w:t>
            </w:r>
          </w:p>
        </w:tc>
        <w:tc>
          <w:tcPr>
            <w:tcW w:w="670"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 FOV phase</w:t>
            </w:r>
          </w:p>
        </w:tc>
        <w:tc>
          <w:tcPr>
            <w:tcW w:w="1043"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Resolution (mm)</w:t>
            </w:r>
          </w:p>
        </w:tc>
        <w:tc>
          <w:tcPr>
            <w:tcW w:w="575"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TR (ms)</w:t>
            </w:r>
          </w:p>
        </w:tc>
        <w:tc>
          <w:tcPr>
            <w:tcW w:w="568"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TE (ms)</w:t>
            </w:r>
          </w:p>
        </w:tc>
        <w:tc>
          <w:tcPr>
            <w:tcW w:w="533"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TI (ms)</w:t>
            </w:r>
          </w:p>
        </w:tc>
        <w:tc>
          <w:tcPr>
            <w:tcW w:w="1004"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Flip Angle (deg)</w:t>
            </w:r>
          </w:p>
        </w:tc>
        <w:tc>
          <w:tcPr>
            <w:tcW w:w="1039"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Parallel Imaging</w:t>
            </w:r>
          </w:p>
        </w:tc>
        <w:tc>
          <w:tcPr>
            <w:tcW w:w="1449" w:type="dxa"/>
            <w:tcBorders>
              <w:top w:val="single" w:sz="4" w:space="0" w:color="000000"/>
              <w:start w:val="single" w:sz="4" w:space="0" w:color="000000"/>
              <w:bottom w:val="single" w:sz="4" w:space="0" w:color="000000"/>
            </w:tcBorders>
            <w:vAlign w:val="center"/>
          </w:tcPr>
          <w:p>
            <w:pPr>
              <w:pStyle w:val="TableContents"/>
              <w:widowControl w:val="false"/>
              <w:rPr/>
            </w:pPr>
            <w:r>
              <w:rPr>
                <w:rStyle w:val="Strong"/>
              </w:rPr>
              <w:t>MultiBand Acceleration</w:t>
            </w:r>
          </w:p>
        </w:tc>
        <w:tc>
          <w:tcPr>
            <w:tcW w:w="1548" w:type="dxa"/>
            <w:tcBorders>
              <w:top w:val="single" w:sz="4" w:space="0" w:color="000000"/>
              <w:start w:val="single" w:sz="4" w:space="0" w:color="000000"/>
              <w:bottom w:val="single" w:sz="4" w:space="0" w:color="000000"/>
              <w:end w:val="single" w:sz="4" w:space="0" w:color="000000"/>
            </w:tcBorders>
            <w:vAlign w:val="center"/>
          </w:tcPr>
          <w:p>
            <w:pPr>
              <w:pStyle w:val="TableContents"/>
              <w:widowControl w:val="false"/>
              <w:rPr/>
            </w:pPr>
            <w:r>
              <w:rPr>
                <w:rStyle w:val="Strong"/>
              </w:rPr>
              <w:t>Phase partial Fourier</w:t>
            </w:r>
          </w:p>
        </w:tc>
      </w:tr>
      <w:tr>
        <w:trPr>
          <w:trHeight w:val="486" w:hRule="atLeast"/>
        </w:trPr>
        <w:tc>
          <w:tcPr>
            <w:tcW w:w="720" w:type="dxa"/>
            <w:tcBorders>
              <w:start w:val="single" w:sz="4" w:space="0" w:color="000000"/>
              <w:bottom w:val="single" w:sz="4" w:space="0" w:color="000000"/>
            </w:tcBorders>
            <w:vAlign w:val="center"/>
          </w:tcPr>
          <w:p>
            <w:pPr>
              <w:pStyle w:val="TableContents"/>
              <w:widowControl w:val="false"/>
              <w:rPr/>
            </w:pPr>
            <w:r>
              <w:rPr>
                <w:rStyle w:val="Strong"/>
              </w:rPr>
              <w:t>T1</w:t>
            </w:r>
          </w:p>
        </w:tc>
        <w:tc>
          <w:tcPr>
            <w:tcW w:w="626" w:type="dxa"/>
            <w:tcBorders>
              <w:start w:val="single" w:sz="4" w:space="0" w:color="000000"/>
              <w:bottom w:val="single" w:sz="4" w:space="0" w:color="000000"/>
            </w:tcBorders>
            <w:vAlign w:val="center"/>
          </w:tcPr>
          <w:p>
            <w:pPr>
              <w:pStyle w:val="TableContents"/>
              <w:widowControl w:val="false"/>
              <w:rPr/>
            </w:pPr>
            <w:r>
              <w:rPr/>
              <w:t>256x256</w:t>
            </w:r>
          </w:p>
        </w:tc>
        <w:tc>
          <w:tcPr>
            <w:tcW w:w="453" w:type="dxa"/>
            <w:tcBorders>
              <w:start w:val="single" w:sz="4" w:space="0" w:color="000000"/>
              <w:bottom w:val="single" w:sz="4" w:space="0" w:color="000000"/>
            </w:tcBorders>
            <w:vAlign w:val="center"/>
          </w:tcPr>
          <w:p>
            <w:pPr>
              <w:pStyle w:val="TableContents"/>
              <w:widowControl w:val="false"/>
              <w:rPr/>
            </w:pPr>
            <w:r>
              <w:rPr/>
              <w:t>208</w:t>
            </w:r>
          </w:p>
        </w:tc>
        <w:tc>
          <w:tcPr>
            <w:tcW w:w="631" w:type="dxa"/>
            <w:tcBorders>
              <w:start w:val="single" w:sz="4" w:space="0" w:color="000000"/>
              <w:bottom w:val="single" w:sz="4" w:space="0" w:color="000000"/>
            </w:tcBorders>
            <w:vAlign w:val="center"/>
          </w:tcPr>
          <w:p>
            <w:pPr>
              <w:pStyle w:val="TableContents"/>
              <w:widowControl w:val="false"/>
              <w:rPr/>
            </w:pPr>
            <w:r>
              <w:rPr/>
              <w:t>256x256</w:t>
            </w:r>
          </w:p>
        </w:tc>
        <w:tc>
          <w:tcPr>
            <w:tcW w:w="670" w:type="dxa"/>
            <w:tcBorders>
              <w:start w:val="single" w:sz="4" w:space="0" w:color="000000"/>
              <w:bottom w:val="single" w:sz="4" w:space="0" w:color="000000"/>
            </w:tcBorders>
            <w:vAlign w:val="center"/>
          </w:tcPr>
          <w:p>
            <w:pPr>
              <w:pStyle w:val="TableContents"/>
              <w:widowControl w:val="false"/>
              <w:rPr/>
            </w:pPr>
            <w:r>
              <w:rPr/>
              <w:t>100%</w:t>
            </w:r>
          </w:p>
        </w:tc>
        <w:tc>
          <w:tcPr>
            <w:tcW w:w="1043" w:type="dxa"/>
            <w:tcBorders>
              <w:start w:val="single" w:sz="4" w:space="0" w:color="000000"/>
              <w:bottom w:val="single" w:sz="4" w:space="0" w:color="000000"/>
            </w:tcBorders>
            <w:vAlign w:val="center"/>
          </w:tcPr>
          <w:p>
            <w:pPr>
              <w:pStyle w:val="TableContents"/>
              <w:widowControl w:val="false"/>
              <w:rPr/>
            </w:pPr>
            <w:r>
              <w:rPr/>
              <w:t>1.0x1.0x1.0</w:t>
            </w:r>
          </w:p>
        </w:tc>
        <w:tc>
          <w:tcPr>
            <w:tcW w:w="575" w:type="dxa"/>
            <w:tcBorders>
              <w:start w:val="single" w:sz="4" w:space="0" w:color="000000"/>
              <w:bottom w:val="single" w:sz="4" w:space="0" w:color="000000"/>
            </w:tcBorders>
            <w:vAlign w:val="center"/>
          </w:tcPr>
          <w:p>
            <w:pPr>
              <w:pStyle w:val="TableContents"/>
              <w:widowControl w:val="false"/>
              <w:rPr/>
            </w:pPr>
            <w:r>
              <w:rPr/>
              <w:t>6.952</w:t>
            </w:r>
          </w:p>
        </w:tc>
        <w:tc>
          <w:tcPr>
            <w:tcW w:w="568" w:type="dxa"/>
            <w:tcBorders>
              <w:start w:val="single" w:sz="4" w:space="0" w:color="000000"/>
              <w:bottom w:val="single" w:sz="4" w:space="0" w:color="000000"/>
            </w:tcBorders>
            <w:vAlign w:val="center"/>
          </w:tcPr>
          <w:p>
            <w:pPr>
              <w:pStyle w:val="TableContents"/>
              <w:widowControl w:val="false"/>
              <w:rPr/>
            </w:pPr>
            <w:r>
              <w:rPr/>
              <w:t>2.92</w:t>
            </w:r>
          </w:p>
        </w:tc>
        <w:tc>
          <w:tcPr>
            <w:tcW w:w="533" w:type="dxa"/>
            <w:tcBorders>
              <w:start w:val="single" w:sz="4" w:space="0" w:color="000000"/>
              <w:bottom w:val="single" w:sz="4" w:space="0" w:color="000000"/>
            </w:tcBorders>
            <w:vAlign w:val="center"/>
          </w:tcPr>
          <w:p>
            <w:pPr>
              <w:pStyle w:val="TableContents"/>
              <w:widowControl w:val="false"/>
              <w:rPr/>
            </w:pPr>
            <w:r>
              <w:rPr/>
              <w:t>1060</w:t>
            </w:r>
          </w:p>
        </w:tc>
        <w:tc>
          <w:tcPr>
            <w:tcW w:w="1004" w:type="dxa"/>
            <w:tcBorders>
              <w:start w:val="single" w:sz="4" w:space="0" w:color="000000"/>
              <w:bottom w:val="single" w:sz="4" w:space="0" w:color="000000"/>
            </w:tcBorders>
            <w:vAlign w:val="center"/>
          </w:tcPr>
          <w:p>
            <w:pPr>
              <w:pStyle w:val="TableContents"/>
              <w:widowControl w:val="false"/>
              <w:rPr/>
            </w:pPr>
            <w:r>
              <w:rPr/>
              <w:t>8</w:t>
            </w:r>
          </w:p>
        </w:tc>
        <w:tc>
          <w:tcPr>
            <w:tcW w:w="1039" w:type="dxa"/>
            <w:tcBorders>
              <w:start w:val="single" w:sz="4" w:space="0" w:color="000000"/>
              <w:bottom w:val="single" w:sz="4" w:space="0" w:color="000000"/>
            </w:tcBorders>
            <w:vAlign w:val="center"/>
          </w:tcPr>
          <w:p>
            <w:pPr>
              <w:pStyle w:val="TableContents"/>
              <w:widowControl w:val="false"/>
              <w:rPr/>
            </w:pPr>
            <w:r>
              <w:rPr/>
              <w:t>2x</w:t>
            </w:r>
          </w:p>
        </w:tc>
        <w:tc>
          <w:tcPr>
            <w:tcW w:w="1449" w:type="dxa"/>
            <w:tcBorders>
              <w:start w:val="single" w:sz="4" w:space="0" w:color="000000"/>
              <w:bottom w:val="single" w:sz="4" w:space="0" w:color="000000"/>
            </w:tcBorders>
            <w:vAlign w:val="center"/>
          </w:tcPr>
          <w:p>
            <w:pPr>
              <w:pStyle w:val="TableContents"/>
              <w:widowControl w:val="false"/>
              <w:rPr/>
            </w:pPr>
            <w:r>
              <w:rPr/>
              <w:t>Off</w:t>
            </w:r>
          </w:p>
        </w:tc>
        <w:tc>
          <w:tcPr>
            <w:tcW w:w="1548" w:type="dxa"/>
            <w:tcBorders>
              <w:start w:val="single" w:sz="4" w:space="0" w:color="000000"/>
              <w:bottom w:val="single" w:sz="4" w:space="0" w:color="000000"/>
              <w:end w:val="single" w:sz="4" w:space="0" w:color="000000"/>
            </w:tcBorders>
            <w:vAlign w:val="center"/>
          </w:tcPr>
          <w:p>
            <w:pPr>
              <w:pStyle w:val="TableContents"/>
              <w:widowControl w:val="false"/>
              <w:rPr/>
            </w:pPr>
            <w:r>
              <w:rPr/>
              <w:t>Off</w:t>
            </w:r>
          </w:p>
        </w:tc>
      </w:tr>
      <w:tr>
        <w:trPr>
          <w:trHeight w:val="391" w:hRule="atLeast"/>
        </w:trPr>
        <w:tc>
          <w:tcPr>
            <w:tcW w:w="720" w:type="dxa"/>
            <w:tcBorders>
              <w:start w:val="single" w:sz="4" w:space="0" w:color="000000"/>
              <w:bottom w:val="single" w:sz="4" w:space="0" w:color="000000"/>
            </w:tcBorders>
            <w:vAlign w:val="center"/>
          </w:tcPr>
          <w:p>
            <w:pPr>
              <w:pStyle w:val="TableContents"/>
              <w:widowControl w:val="false"/>
              <w:rPr/>
            </w:pPr>
            <w:r>
              <w:rPr>
                <w:rStyle w:val="Strong"/>
              </w:rPr>
              <w:t>Diffusion</w:t>
            </w:r>
          </w:p>
        </w:tc>
        <w:tc>
          <w:tcPr>
            <w:tcW w:w="626" w:type="dxa"/>
            <w:tcBorders>
              <w:start w:val="single" w:sz="4" w:space="0" w:color="000000"/>
              <w:bottom w:val="single" w:sz="4" w:space="0" w:color="000000"/>
            </w:tcBorders>
            <w:vAlign w:val="center"/>
          </w:tcPr>
          <w:p>
            <w:pPr>
              <w:pStyle w:val="TableContents"/>
              <w:widowControl w:val="false"/>
              <w:rPr/>
            </w:pPr>
            <w:r>
              <w:rPr/>
              <w:t>140x140</w:t>
            </w:r>
          </w:p>
        </w:tc>
        <w:tc>
          <w:tcPr>
            <w:tcW w:w="453" w:type="dxa"/>
            <w:tcBorders>
              <w:start w:val="single" w:sz="4" w:space="0" w:color="000000"/>
              <w:bottom w:val="single" w:sz="4" w:space="0" w:color="000000"/>
            </w:tcBorders>
            <w:vAlign w:val="center"/>
          </w:tcPr>
          <w:p>
            <w:pPr>
              <w:pStyle w:val="TableContents"/>
              <w:widowControl w:val="false"/>
              <w:rPr/>
            </w:pPr>
            <w:r>
              <w:rPr/>
              <w:t>81</w:t>
            </w:r>
          </w:p>
        </w:tc>
        <w:tc>
          <w:tcPr>
            <w:tcW w:w="631" w:type="dxa"/>
            <w:tcBorders>
              <w:start w:val="single" w:sz="4" w:space="0" w:color="000000"/>
              <w:bottom w:val="single" w:sz="4" w:space="0" w:color="000000"/>
            </w:tcBorders>
            <w:vAlign w:val="center"/>
          </w:tcPr>
          <w:p>
            <w:pPr>
              <w:pStyle w:val="TableContents"/>
              <w:widowControl w:val="false"/>
              <w:rPr/>
            </w:pPr>
            <w:r>
              <w:rPr/>
              <w:t>240x240</w:t>
            </w:r>
          </w:p>
        </w:tc>
        <w:tc>
          <w:tcPr>
            <w:tcW w:w="670" w:type="dxa"/>
            <w:tcBorders>
              <w:start w:val="single" w:sz="4" w:space="0" w:color="000000"/>
              <w:bottom w:val="single" w:sz="4" w:space="0" w:color="000000"/>
            </w:tcBorders>
            <w:vAlign w:val="center"/>
          </w:tcPr>
          <w:p>
            <w:pPr>
              <w:pStyle w:val="TableContents"/>
              <w:widowControl w:val="false"/>
              <w:rPr/>
            </w:pPr>
            <w:r>
              <w:rPr/>
              <w:t>100%</w:t>
            </w:r>
          </w:p>
        </w:tc>
        <w:tc>
          <w:tcPr>
            <w:tcW w:w="1043" w:type="dxa"/>
            <w:tcBorders>
              <w:start w:val="single" w:sz="4" w:space="0" w:color="000000"/>
              <w:bottom w:val="single" w:sz="4" w:space="0" w:color="000000"/>
            </w:tcBorders>
            <w:vAlign w:val="center"/>
          </w:tcPr>
          <w:p>
            <w:pPr>
              <w:pStyle w:val="TableContents"/>
              <w:widowControl w:val="false"/>
              <w:rPr/>
            </w:pPr>
            <w:r>
              <w:rPr/>
              <w:t>1.7x1.7x1.7</w:t>
            </w:r>
          </w:p>
        </w:tc>
        <w:tc>
          <w:tcPr>
            <w:tcW w:w="575" w:type="dxa"/>
            <w:tcBorders>
              <w:start w:val="single" w:sz="4" w:space="0" w:color="000000"/>
              <w:bottom w:val="single" w:sz="4" w:space="0" w:color="000000"/>
            </w:tcBorders>
            <w:vAlign w:val="center"/>
          </w:tcPr>
          <w:p>
            <w:pPr>
              <w:pStyle w:val="TableContents"/>
              <w:widowControl w:val="false"/>
              <w:rPr/>
            </w:pPr>
            <w:r>
              <w:rPr/>
              <w:t>4100</w:t>
            </w:r>
          </w:p>
        </w:tc>
        <w:tc>
          <w:tcPr>
            <w:tcW w:w="568" w:type="dxa"/>
            <w:tcBorders>
              <w:start w:val="single" w:sz="4" w:space="0" w:color="000000"/>
              <w:bottom w:val="single" w:sz="4" w:space="0" w:color="000000"/>
            </w:tcBorders>
            <w:vAlign w:val="center"/>
          </w:tcPr>
          <w:p>
            <w:pPr>
              <w:pStyle w:val="TableContents"/>
              <w:widowControl w:val="false"/>
              <w:rPr/>
            </w:pPr>
            <w:r>
              <w:rPr/>
              <w:t>81.7</w:t>
            </w:r>
          </w:p>
        </w:tc>
        <w:tc>
          <w:tcPr>
            <w:tcW w:w="533" w:type="dxa"/>
            <w:tcBorders>
              <w:start w:val="single" w:sz="4" w:space="0" w:color="000000"/>
              <w:bottom w:val="single" w:sz="4" w:space="0" w:color="000000"/>
            </w:tcBorders>
            <w:vAlign w:val="center"/>
          </w:tcPr>
          <w:p>
            <w:pPr>
              <w:pStyle w:val="TableContents"/>
              <w:widowControl w:val="false"/>
              <w:rPr/>
            </w:pPr>
            <w:r>
              <w:rPr/>
              <w:t>N/A</w:t>
            </w:r>
          </w:p>
        </w:tc>
        <w:tc>
          <w:tcPr>
            <w:tcW w:w="1004" w:type="dxa"/>
            <w:tcBorders>
              <w:start w:val="single" w:sz="4" w:space="0" w:color="000000"/>
              <w:bottom w:val="single" w:sz="4" w:space="0" w:color="000000"/>
            </w:tcBorders>
            <w:vAlign w:val="center"/>
          </w:tcPr>
          <w:p>
            <w:pPr>
              <w:pStyle w:val="TableContents"/>
              <w:widowControl w:val="false"/>
              <w:rPr/>
            </w:pPr>
            <w:r>
              <w:rPr/>
              <w:t>90</w:t>
            </w:r>
          </w:p>
        </w:tc>
        <w:tc>
          <w:tcPr>
            <w:tcW w:w="1039" w:type="dxa"/>
            <w:tcBorders>
              <w:start w:val="single" w:sz="4" w:space="0" w:color="000000"/>
              <w:bottom w:val="single" w:sz="4" w:space="0" w:color="000000"/>
            </w:tcBorders>
            <w:vAlign w:val="center"/>
          </w:tcPr>
          <w:p>
            <w:pPr>
              <w:pStyle w:val="TableContents"/>
              <w:widowControl w:val="false"/>
              <w:rPr/>
            </w:pPr>
            <w:r>
              <w:rPr/>
              <w:t>Off</w:t>
            </w:r>
          </w:p>
        </w:tc>
        <w:tc>
          <w:tcPr>
            <w:tcW w:w="1449" w:type="dxa"/>
            <w:tcBorders>
              <w:start w:val="single" w:sz="4" w:space="0" w:color="000000"/>
              <w:bottom w:val="single" w:sz="4" w:space="0" w:color="000000"/>
            </w:tcBorders>
            <w:vAlign w:val="center"/>
          </w:tcPr>
          <w:p>
            <w:pPr>
              <w:pStyle w:val="TableContents"/>
              <w:widowControl w:val="false"/>
              <w:rPr/>
            </w:pPr>
            <w:r>
              <w:rPr/>
              <w:t>3</w:t>
            </w:r>
          </w:p>
        </w:tc>
        <w:tc>
          <w:tcPr>
            <w:tcW w:w="1548" w:type="dxa"/>
            <w:tcBorders>
              <w:start w:val="single" w:sz="4" w:space="0" w:color="000000"/>
              <w:bottom w:val="single" w:sz="4" w:space="0" w:color="000000"/>
              <w:end w:val="single" w:sz="4" w:space="0" w:color="000000"/>
            </w:tcBorders>
            <w:vAlign w:val="center"/>
          </w:tcPr>
          <w:p>
            <w:pPr>
              <w:pStyle w:val="TableContents"/>
              <w:widowControl w:val="false"/>
              <w:rPr/>
            </w:pPr>
            <w:r>
              <w:rPr/>
              <w:t>5.5/8</w:t>
            </w:r>
          </w:p>
        </w:tc>
      </w:tr>
      <w:tr>
        <w:trPr/>
        <w:tc>
          <w:tcPr>
            <w:tcW w:w="720" w:type="dxa"/>
            <w:tcBorders>
              <w:start w:val="single" w:sz="4" w:space="0" w:color="000000"/>
              <w:bottom w:val="single" w:sz="4" w:space="0" w:color="000000"/>
            </w:tcBorders>
            <w:vAlign w:val="center"/>
          </w:tcPr>
          <w:p>
            <w:pPr>
              <w:pStyle w:val="TableContents"/>
              <w:widowControl w:val="false"/>
              <w:rPr/>
            </w:pPr>
            <w:r>
              <w:rPr>
                <w:rStyle w:val="Strong"/>
              </w:rPr>
              <w:t>fMRI</w:t>
            </w:r>
          </w:p>
        </w:tc>
        <w:tc>
          <w:tcPr>
            <w:tcW w:w="626" w:type="dxa"/>
            <w:tcBorders>
              <w:start w:val="single" w:sz="4" w:space="0" w:color="000000"/>
              <w:bottom w:val="single" w:sz="4" w:space="0" w:color="000000"/>
            </w:tcBorders>
            <w:vAlign w:val="center"/>
          </w:tcPr>
          <w:p>
            <w:pPr>
              <w:pStyle w:val="TableContents"/>
              <w:widowControl w:val="false"/>
              <w:rPr/>
            </w:pPr>
            <w:r>
              <w:rPr/>
              <w:t>90x90</w:t>
            </w:r>
          </w:p>
        </w:tc>
        <w:tc>
          <w:tcPr>
            <w:tcW w:w="453" w:type="dxa"/>
            <w:tcBorders>
              <w:start w:val="single" w:sz="4" w:space="0" w:color="000000"/>
              <w:bottom w:val="single" w:sz="4" w:space="0" w:color="000000"/>
            </w:tcBorders>
            <w:vAlign w:val="center"/>
          </w:tcPr>
          <w:p>
            <w:pPr>
              <w:pStyle w:val="TableContents"/>
              <w:widowControl w:val="false"/>
              <w:rPr/>
            </w:pPr>
            <w:r>
              <w:rPr/>
              <w:t>60</w:t>
            </w:r>
          </w:p>
        </w:tc>
        <w:tc>
          <w:tcPr>
            <w:tcW w:w="631" w:type="dxa"/>
            <w:tcBorders>
              <w:start w:val="single" w:sz="4" w:space="0" w:color="000000"/>
              <w:bottom w:val="single" w:sz="4" w:space="0" w:color="000000"/>
            </w:tcBorders>
            <w:vAlign w:val="center"/>
          </w:tcPr>
          <w:p>
            <w:pPr>
              <w:pStyle w:val="TableContents"/>
              <w:widowControl w:val="false"/>
              <w:rPr/>
            </w:pPr>
            <w:r>
              <w:rPr/>
              <w:t>216x216</w:t>
            </w:r>
          </w:p>
        </w:tc>
        <w:tc>
          <w:tcPr>
            <w:tcW w:w="670" w:type="dxa"/>
            <w:tcBorders>
              <w:start w:val="single" w:sz="4" w:space="0" w:color="000000"/>
              <w:bottom w:val="single" w:sz="4" w:space="0" w:color="000000"/>
            </w:tcBorders>
            <w:vAlign w:val="center"/>
          </w:tcPr>
          <w:p>
            <w:pPr>
              <w:pStyle w:val="TableContents"/>
              <w:widowControl w:val="false"/>
              <w:rPr/>
            </w:pPr>
            <w:r>
              <w:rPr/>
              <w:t>100%</w:t>
            </w:r>
          </w:p>
        </w:tc>
        <w:tc>
          <w:tcPr>
            <w:tcW w:w="1043" w:type="dxa"/>
            <w:tcBorders>
              <w:start w:val="single" w:sz="4" w:space="0" w:color="000000"/>
              <w:bottom w:val="single" w:sz="4" w:space="0" w:color="000000"/>
            </w:tcBorders>
            <w:vAlign w:val="center"/>
          </w:tcPr>
          <w:p>
            <w:pPr>
              <w:pStyle w:val="TableContents"/>
              <w:widowControl w:val="false"/>
              <w:rPr/>
            </w:pPr>
            <w:r>
              <w:rPr/>
              <w:t>2.4x2.4x2.4</w:t>
            </w:r>
          </w:p>
        </w:tc>
        <w:tc>
          <w:tcPr>
            <w:tcW w:w="575" w:type="dxa"/>
            <w:tcBorders>
              <w:start w:val="single" w:sz="4" w:space="0" w:color="000000"/>
              <w:bottom w:val="single" w:sz="4" w:space="0" w:color="000000"/>
            </w:tcBorders>
            <w:vAlign w:val="center"/>
          </w:tcPr>
          <w:p>
            <w:pPr>
              <w:pStyle w:val="TableContents"/>
              <w:widowControl w:val="false"/>
              <w:rPr/>
            </w:pPr>
            <w:r>
              <w:rPr/>
              <w:t>800</w:t>
            </w:r>
          </w:p>
        </w:tc>
        <w:tc>
          <w:tcPr>
            <w:tcW w:w="568" w:type="dxa"/>
            <w:tcBorders>
              <w:start w:val="single" w:sz="4" w:space="0" w:color="000000"/>
              <w:bottom w:val="single" w:sz="4" w:space="0" w:color="000000"/>
            </w:tcBorders>
            <w:vAlign w:val="center"/>
          </w:tcPr>
          <w:p>
            <w:pPr>
              <w:pStyle w:val="TableContents"/>
              <w:widowControl w:val="false"/>
              <w:rPr/>
            </w:pPr>
            <w:r>
              <w:rPr/>
              <w:t>30</w:t>
            </w:r>
          </w:p>
        </w:tc>
        <w:tc>
          <w:tcPr>
            <w:tcW w:w="533" w:type="dxa"/>
            <w:tcBorders>
              <w:start w:val="single" w:sz="4" w:space="0" w:color="000000"/>
              <w:bottom w:val="single" w:sz="4" w:space="0" w:color="000000"/>
            </w:tcBorders>
            <w:vAlign w:val="center"/>
          </w:tcPr>
          <w:p>
            <w:pPr>
              <w:pStyle w:val="TableContents"/>
              <w:widowControl w:val="false"/>
              <w:rPr/>
            </w:pPr>
            <w:r>
              <w:rPr/>
              <w:t>N/A</w:t>
            </w:r>
          </w:p>
        </w:tc>
        <w:tc>
          <w:tcPr>
            <w:tcW w:w="1004" w:type="dxa"/>
            <w:tcBorders>
              <w:start w:val="single" w:sz="4" w:space="0" w:color="000000"/>
              <w:bottom w:val="single" w:sz="4" w:space="0" w:color="000000"/>
            </w:tcBorders>
            <w:vAlign w:val="center"/>
          </w:tcPr>
          <w:p>
            <w:pPr>
              <w:pStyle w:val="TableContents"/>
              <w:widowControl w:val="false"/>
              <w:rPr/>
            </w:pPr>
            <w:r>
              <w:rPr/>
              <w:t>52</w:t>
            </w:r>
          </w:p>
        </w:tc>
        <w:tc>
          <w:tcPr>
            <w:tcW w:w="1039" w:type="dxa"/>
            <w:tcBorders>
              <w:start w:val="single" w:sz="4" w:space="0" w:color="000000"/>
              <w:bottom w:val="single" w:sz="4" w:space="0" w:color="000000"/>
            </w:tcBorders>
            <w:vAlign w:val="center"/>
          </w:tcPr>
          <w:p>
            <w:pPr>
              <w:pStyle w:val="TableContents"/>
              <w:widowControl w:val="false"/>
              <w:rPr/>
            </w:pPr>
            <w:r>
              <w:rPr/>
              <w:t>Off</w:t>
            </w:r>
          </w:p>
        </w:tc>
        <w:tc>
          <w:tcPr>
            <w:tcW w:w="1449" w:type="dxa"/>
            <w:tcBorders>
              <w:start w:val="single" w:sz="4" w:space="0" w:color="000000"/>
              <w:bottom w:val="single" w:sz="4" w:space="0" w:color="000000"/>
            </w:tcBorders>
            <w:vAlign w:val="center"/>
          </w:tcPr>
          <w:p>
            <w:pPr>
              <w:pStyle w:val="TableContents"/>
              <w:widowControl w:val="false"/>
              <w:rPr/>
            </w:pPr>
            <w:r>
              <w:rPr/>
              <w:t>6</w:t>
            </w:r>
          </w:p>
        </w:tc>
        <w:tc>
          <w:tcPr>
            <w:tcW w:w="1548" w:type="dxa"/>
            <w:tcBorders>
              <w:start w:val="single" w:sz="4" w:space="0" w:color="000000"/>
              <w:bottom w:val="single" w:sz="4" w:space="0" w:color="000000"/>
              <w:end w:val="single" w:sz="4" w:space="0" w:color="000000"/>
            </w:tcBorders>
            <w:vAlign w:val="center"/>
          </w:tcPr>
          <w:p>
            <w:pPr>
              <w:pStyle w:val="TableContents"/>
              <w:widowControl w:val="false"/>
              <w:rPr/>
            </w:pPr>
            <w:r>
              <w:rPr/>
              <w:t>Off</w:t>
            </w:r>
          </w:p>
        </w:tc>
      </w:tr>
    </w:tbl>
    <w:p>
      <w:pPr>
        <w:pStyle w:val="Normal"/>
        <w:rPr>
          <w:sz w:val="14"/>
          <w:szCs w:val="14"/>
        </w:rPr>
      </w:pPr>
      <w:r>
        <w:rPr>
          <w:sz w:val="14"/>
          <w:szCs w:val="14"/>
        </w:rPr>
      </w:r>
    </w:p>
    <w:p>
      <w:pPr>
        <w:pStyle w:val="Normal"/>
        <w:rPr>
          <w:sz w:val="20"/>
          <w:szCs w:val="20"/>
        </w:rPr>
      </w:pPr>
      <w:r>
        <w:rPr>
          <w:sz w:val="20"/>
          <w:szCs w:val="20"/>
        </w:rPr>
      </w:r>
    </w:p>
    <w:p>
      <w:pPr>
        <w:pStyle w:val="Normal"/>
        <w:rPr>
          <w:i/>
          <w:i/>
          <w:iCs/>
          <w:sz w:val="20"/>
          <w:szCs w:val="20"/>
        </w:rPr>
      </w:pPr>
      <w:r>
        <w:rPr>
          <w:i/>
          <w:iCs/>
          <w:sz w:val="20"/>
          <w:szCs w:val="20"/>
        </w:rPr>
        <w:t>Diffusion Weight Imaging (all platforms)</w:t>
      </w:r>
    </w:p>
    <w:p>
      <w:pPr>
        <w:pStyle w:val="Normal"/>
        <w:rPr>
          <w:sz w:val="20"/>
          <w:szCs w:val="20"/>
        </w:rPr>
      </w:pPr>
      <w:r>
        <w:rPr>
          <w:sz w:val="20"/>
          <w:szCs w:val="20"/>
        </w:rPr>
      </w:r>
    </w:p>
    <w:p>
      <w:pPr>
        <w:pStyle w:val="Normal"/>
        <w:rPr>
          <w:sz w:val="18"/>
          <w:szCs w:val="18"/>
        </w:rPr>
      </w:pPr>
      <w:r>
        <w:rPr>
          <w:sz w:val="18"/>
          <w:szCs w:val="18"/>
        </w:rPr>
        <w:t>Diffusion directions: 96</w:t>
      </w:r>
    </w:p>
    <w:p>
      <w:pPr>
        <w:pStyle w:val="Normal"/>
        <w:rPr>
          <w:sz w:val="18"/>
          <w:szCs w:val="18"/>
        </w:rPr>
      </w:pPr>
      <w:r>
        <w:rPr>
          <w:sz w:val="18"/>
          <w:szCs w:val="18"/>
        </w:rPr>
        <w:t>b-values: 500 (6-dirs) 1000 (15-dirs) 2000 (15-dirs) 3000 (60-dirs)</w:t>
      </w:r>
    </w:p>
    <w:sectPr>
      <w:footnotePr>
        <w:numFmt w:val="decimal"/>
      </w:footnotePr>
      <w:type w:val="nextPage"/>
      <w:pgSz w:orient="landscape" w:w="15840" w:h="122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Sans">
    <w:altName w:val="Arial"/>
    <w:charset w:val="00" w:characterSet="windows-1252"/>
    <w:family w:val="roman"/>
    <w:pitch w:val="variable"/>
  </w:font>
  <w:font w:name="Liberation Mono">
    <w:altName w:val="Courier New"/>
    <w:charset w:val="00" w:characterSet="windows-1252"/>
    <w:family w:val="roman"/>
    <w:pitch w:val="variable"/>
  </w:font>
  <w:font w:name="Consolas">
    <w:charset w:val="00" w:characterSet="windows-1252"/>
    <w:family w:val="roman"/>
    <w:pitch w:val="variable"/>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BodyText"/>
        <w:bidi w:val="0"/>
        <w:spacing w:before="86" w:after="58"/>
        <w:jc w:val="start"/>
        <w:rPr/>
      </w:pPr>
      <w:r>
        <w:rPr>
          <w:rStyle w:val="FootnoteCharacters"/>
        </w:rPr>
        <w:footnoteRef/>
      </w:r>
      <w:r>
        <w:rPr/>
        <w:t xml:space="preserve"> </w:t>
      </w:r>
      <w:r>
        <w:rPr/>
        <w:t>https://abcdstudy.org/wp-content/uploads/2021/05/ABCD_Website_MRI_Acq.pdf</w:t>
      </w:r>
    </w:p>
  </w:footnote>
  <w:footnote w:id="3">
    <w:p>
      <w:pPr>
        <w:pStyle w:val="FootnoteText"/>
        <w:rPr/>
      </w:pPr>
      <w:r>
        <w:rPr>
          <w:rStyle w:val="FootnoteCharacters"/>
        </w:rPr>
        <w:footnoteRef/>
      </w:r>
      <w:r>
        <w:rPr/>
        <w:tab/>
        <w:t xml:space="preserve">See “Site Specific Information”, </w:t>
      </w:r>
      <w:hyperlink r:id="rId1">
        <w:r>
          <w:rPr>
            <w:rStyle w:val="Hyperlink"/>
          </w:rPr>
          <w:t>https://a2cps.atlassian.net/wiki/spaces/DOC/pages/5406782/Site+Specific+Information</w:t>
        </w:r>
      </w:hyperlink>
      <w:r>
        <w:rPr/>
        <w:t xml:space="preserve"> </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956"/>
        </w:tabs>
        <w:ind w:start="956" w:hanging="360"/>
      </w:pPr>
      <w:rPr>
        <w:rFonts w:ascii="Symbol" w:hAnsi="Symbol" w:cs="Symbol" w:hint="default"/>
      </w:rPr>
    </w:lvl>
    <w:lvl w:ilvl="1">
      <w:start w:val="1"/>
      <w:numFmt w:val="bullet"/>
      <w:lvlText w:val="◦"/>
      <w:lvlJc w:val="start"/>
      <w:pPr>
        <w:tabs>
          <w:tab w:val="num" w:pos="1316"/>
        </w:tabs>
        <w:ind w:start="1316" w:hanging="360"/>
      </w:pPr>
      <w:rPr>
        <w:rFonts w:ascii="OpenSymbol" w:hAnsi="OpenSymbol" w:cs="OpenSymbol" w:hint="default"/>
      </w:rPr>
    </w:lvl>
    <w:lvl w:ilvl="2">
      <w:start w:val="1"/>
      <w:numFmt w:val="bullet"/>
      <w:lvlText w:val="▪"/>
      <w:lvlJc w:val="start"/>
      <w:pPr>
        <w:tabs>
          <w:tab w:val="num" w:pos="1676"/>
        </w:tabs>
        <w:ind w:start="1676" w:hanging="360"/>
      </w:pPr>
      <w:rPr>
        <w:rFonts w:ascii="OpenSymbol" w:hAnsi="OpenSymbol" w:cs="OpenSymbol" w:hint="default"/>
      </w:rPr>
    </w:lvl>
    <w:lvl w:ilvl="3">
      <w:start w:val="1"/>
      <w:numFmt w:val="bullet"/>
      <w:lvlText w:val=""/>
      <w:lvlJc w:val="start"/>
      <w:pPr>
        <w:tabs>
          <w:tab w:val="num" w:pos="2036"/>
        </w:tabs>
        <w:ind w:start="2036" w:hanging="360"/>
      </w:pPr>
      <w:rPr>
        <w:rFonts w:ascii="Symbol" w:hAnsi="Symbol" w:cs="Symbol" w:hint="default"/>
      </w:rPr>
    </w:lvl>
    <w:lvl w:ilvl="4">
      <w:start w:val="1"/>
      <w:numFmt w:val="bullet"/>
      <w:lvlText w:val="◦"/>
      <w:lvlJc w:val="start"/>
      <w:pPr>
        <w:tabs>
          <w:tab w:val="num" w:pos="2396"/>
        </w:tabs>
        <w:ind w:start="2396" w:hanging="360"/>
      </w:pPr>
      <w:rPr>
        <w:rFonts w:ascii="OpenSymbol" w:hAnsi="OpenSymbol" w:cs="OpenSymbol" w:hint="default"/>
      </w:rPr>
    </w:lvl>
    <w:lvl w:ilvl="5">
      <w:start w:val="1"/>
      <w:numFmt w:val="bullet"/>
      <w:lvlText w:val="▪"/>
      <w:lvlJc w:val="start"/>
      <w:pPr>
        <w:tabs>
          <w:tab w:val="num" w:pos="2756"/>
        </w:tabs>
        <w:ind w:start="2756" w:hanging="360"/>
      </w:pPr>
      <w:rPr>
        <w:rFonts w:ascii="OpenSymbol" w:hAnsi="OpenSymbol" w:cs="OpenSymbol" w:hint="default"/>
      </w:rPr>
    </w:lvl>
    <w:lvl w:ilvl="6">
      <w:start w:val="1"/>
      <w:numFmt w:val="bullet"/>
      <w:lvlText w:val=""/>
      <w:lvlJc w:val="start"/>
      <w:pPr>
        <w:tabs>
          <w:tab w:val="num" w:pos="3116"/>
        </w:tabs>
        <w:ind w:start="3116" w:hanging="360"/>
      </w:pPr>
      <w:rPr>
        <w:rFonts w:ascii="Symbol" w:hAnsi="Symbol" w:cs="Symbol" w:hint="default"/>
      </w:rPr>
    </w:lvl>
    <w:lvl w:ilvl="7">
      <w:start w:val="1"/>
      <w:numFmt w:val="bullet"/>
      <w:lvlText w:val="◦"/>
      <w:lvlJc w:val="start"/>
      <w:pPr>
        <w:tabs>
          <w:tab w:val="num" w:pos="3476"/>
        </w:tabs>
        <w:ind w:start="3476" w:hanging="360"/>
      </w:pPr>
      <w:rPr>
        <w:rFonts w:ascii="OpenSymbol" w:hAnsi="OpenSymbol" w:cs="OpenSymbol" w:hint="default"/>
      </w:rPr>
    </w:lvl>
    <w:lvl w:ilvl="8">
      <w:start w:val="1"/>
      <w:numFmt w:val="bullet"/>
      <w:lvlText w:val="▪"/>
      <w:lvlJc w:val="start"/>
      <w:pPr>
        <w:tabs>
          <w:tab w:val="num" w:pos="3836"/>
        </w:tabs>
        <w:ind w:start="3836"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7">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9">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bullet"/>
      <w:lvlText w:val=""/>
      <w:lvlJc w:val="start"/>
      <w:pPr>
        <w:tabs>
          <w:tab w:val="num" w:pos="780"/>
        </w:tabs>
        <w:ind w:start="780" w:hanging="360"/>
      </w:pPr>
      <w:rPr>
        <w:rFonts w:ascii="Symbol" w:hAnsi="Symbol" w:cs="Symbol" w:hint="default"/>
      </w:rPr>
    </w:lvl>
    <w:lvl w:ilvl="1">
      <w:start w:val="1"/>
      <w:numFmt w:val="bullet"/>
      <w:lvlText w:val="◦"/>
      <w:lvlJc w:val="start"/>
      <w:pPr>
        <w:tabs>
          <w:tab w:val="num" w:pos="1140"/>
        </w:tabs>
        <w:ind w:start="1140" w:hanging="360"/>
      </w:pPr>
      <w:rPr>
        <w:rFonts w:ascii="OpenSymbol" w:hAnsi="OpenSymbol" w:cs="OpenSymbol" w:hint="default"/>
      </w:rPr>
    </w:lvl>
    <w:lvl w:ilvl="2">
      <w:start w:val="1"/>
      <w:numFmt w:val="bullet"/>
      <w:lvlText w:val="▪"/>
      <w:lvlJc w:val="start"/>
      <w:pPr>
        <w:tabs>
          <w:tab w:val="num" w:pos="1500"/>
        </w:tabs>
        <w:ind w:start="1500" w:hanging="360"/>
      </w:pPr>
      <w:rPr>
        <w:rFonts w:ascii="OpenSymbol" w:hAnsi="OpenSymbol" w:cs="OpenSymbol" w:hint="default"/>
      </w:rPr>
    </w:lvl>
    <w:lvl w:ilvl="3">
      <w:start w:val="1"/>
      <w:numFmt w:val="bullet"/>
      <w:lvlText w:val=""/>
      <w:lvlJc w:val="start"/>
      <w:pPr>
        <w:tabs>
          <w:tab w:val="num" w:pos="1860"/>
        </w:tabs>
        <w:ind w:start="1860" w:hanging="360"/>
      </w:pPr>
      <w:rPr>
        <w:rFonts w:ascii="Symbol" w:hAnsi="Symbol" w:cs="Symbol" w:hint="default"/>
      </w:rPr>
    </w:lvl>
    <w:lvl w:ilvl="4">
      <w:start w:val="1"/>
      <w:numFmt w:val="bullet"/>
      <w:lvlText w:val="◦"/>
      <w:lvlJc w:val="start"/>
      <w:pPr>
        <w:tabs>
          <w:tab w:val="num" w:pos="2220"/>
        </w:tabs>
        <w:ind w:start="2220" w:hanging="360"/>
      </w:pPr>
      <w:rPr>
        <w:rFonts w:ascii="OpenSymbol" w:hAnsi="OpenSymbol" w:cs="OpenSymbol" w:hint="default"/>
      </w:rPr>
    </w:lvl>
    <w:lvl w:ilvl="5">
      <w:start w:val="1"/>
      <w:numFmt w:val="bullet"/>
      <w:lvlText w:val="▪"/>
      <w:lvlJc w:val="start"/>
      <w:pPr>
        <w:tabs>
          <w:tab w:val="num" w:pos="2580"/>
        </w:tabs>
        <w:ind w:start="2580" w:hanging="360"/>
      </w:pPr>
      <w:rPr>
        <w:rFonts w:ascii="OpenSymbol" w:hAnsi="OpenSymbol" w:cs="OpenSymbol" w:hint="default"/>
      </w:rPr>
    </w:lvl>
    <w:lvl w:ilvl="6">
      <w:start w:val="1"/>
      <w:numFmt w:val="bullet"/>
      <w:lvlText w:val=""/>
      <w:lvlJc w:val="start"/>
      <w:pPr>
        <w:tabs>
          <w:tab w:val="num" w:pos="2940"/>
        </w:tabs>
        <w:ind w:start="2940" w:hanging="360"/>
      </w:pPr>
      <w:rPr>
        <w:rFonts w:ascii="Symbol" w:hAnsi="Symbol" w:cs="Symbol" w:hint="default"/>
      </w:rPr>
    </w:lvl>
    <w:lvl w:ilvl="7">
      <w:start w:val="1"/>
      <w:numFmt w:val="bullet"/>
      <w:lvlText w:val="◦"/>
      <w:lvlJc w:val="start"/>
      <w:pPr>
        <w:tabs>
          <w:tab w:val="num" w:pos="3300"/>
        </w:tabs>
        <w:ind w:start="3300" w:hanging="360"/>
      </w:pPr>
      <w:rPr>
        <w:rFonts w:ascii="OpenSymbol" w:hAnsi="OpenSymbol" w:cs="OpenSymbol" w:hint="default"/>
      </w:rPr>
    </w:lvl>
    <w:lvl w:ilvl="8">
      <w:start w:val="1"/>
      <w:numFmt w:val="bullet"/>
      <w:lvlText w:val="▪"/>
      <w:lvlJc w:val="start"/>
      <w:pPr>
        <w:tabs>
          <w:tab w:val="num" w:pos="3660"/>
        </w:tabs>
        <w:ind w:start="3660" w:hanging="360"/>
      </w:pPr>
      <w:rPr>
        <w:rFonts w:ascii="OpenSymbol" w:hAnsi="OpenSymbol" w:cs="OpenSymbol" w:hint="default"/>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00"/>
  <w:defaultTabStop w:val="1134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Emphasis">
    <w:name w:val="Emphasis"/>
    <w:qFormat/>
    <w:rPr>
      <w:i/>
      <w:iCs/>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NumberingSymbols">
    <w:name w:val="Numbering Symbols"/>
    <w:qForma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bidi w:val="0"/>
      <w:spacing w:lineRule="auto" w:line="276" w:before="86" w:after="58"/>
      <w:jc w:val="start"/>
    </w:pPr>
    <w:rPr/>
  </w:style>
  <w:style w:type="paragraph" w:styleId="List">
    <w:name w:val="List"/>
    <w:basedOn w:val="BodyText"/>
    <w:pPr/>
    <w:rPr>
      <w:rFonts w:cs="Lucida Sans"/>
    </w:rPr>
  </w:style>
  <w:style w:type="paragraph" w:styleId="Caption">
    <w:name w:val="Caption"/>
    <w:basedOn w:val="Normal"/>
    <w:qFormat/>
    <w:pPr>
      <w:keepNext w:val="true"/>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 w:type="paragraph" w:styleId="TableContents">
    <w:name w:val="Table Contents"/>
    <w:basedOn w:val="Normal"/>
    <w:qFormat/>
    <w:pPr>
      <w:widowControl w:val="false"/>
      <w:suppressLineNumbers/>
    </w:pPr>
    <w:rPr>
      <w:sz w:val="14"/>
      <w:szCs w:val="14"/>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HangingIndent">
    <w:name w:val="Hanging Indent"/>
    <w:basedOn w:val="BodyText"/>
    <w:qFormat/>
    <w:pPr>
      <w:tabs>
        <w:tab w:val="clear" w:pos="11340"/>
        <w:tab w:val="left" w:pos="0" w:leader="none"/>
      </w:tabs>
      <w:ind w:hanging="283" w:start="567"/>
    </w:pPr>
    <w:rPr/>
  </w:style>
  <w:style w:type="paragraph" w:styleId="FootnoteText">
    <w:name w:val="Footnote Text"/>
    <w:basedOn w:val="Normal"/>
    <w:pPr>
      <w:suppressLineNumbers/>
      <w:ind w:hanging="340" w:start="340"/>
    </w:pPr>
    <w:rPr>
      <w:sz w:val="20"/>
      <w:szCs w:val="20"/>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11340"/>
        <w:tab w:val="right" w:pos="9972" w:leader="dot"/>
      </w:tabs>
      <w:ind w:hanging="0" w:start="0"/>
    </w:pPr>
    <w:rPr/>
  </w:style>
  <w:style w:type="paragraph" w:styleId="TOC2">
    <w:name w:val="TOC 2"/>
    <w:basedOn w:val="Index"/>
    <w:pPr>
      <w:tabs>
        <w:tab w:val="clear" w:pos="11340"/>
        <w:tab w:val="right" w:pos="9689" w:leader="dot"/>
      </w:tabs>
      <w:ind w:hanging="0" w:start="283"/>
    </w:pPr>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abcdstudy.org/images/Protocol_Imaging_Sequences.pdf" TargetMode="External"/><Relationship Id="rId4" Type="http://schemas.openxmlformats.org/officeDocument/2006/relationships/hyperlink" Target="https://a2cps.atlassian.net/wiki/spaces/DOC/pages/5406735/Imaging+Log+-+Problem+Cases" TargetMode="External"/><Relationship Id="rId5" Type="http://schemas.openxmlformats.org/officeDocument/2006/relationships/hyperlink" Target="https://dx.doi.org/10.1002%2Fmrm.25897" TargetMode="External"/><Relationship Id="rId6" Type="http://schemas.openxmlformats.org/officeDocument/2006/relationships/hyperlink" Target="https://doi.org/10.1016/j.dcn.2018.03.001" TargetMode="External"/><Relationship Id="rId7" Type="http://schemas.openxmlformats.org/officeDocument/2006/relationships/hyperlink" Target="https://www.sciencedirect.com/science/article/pii/S1878929317301214" TargetMode="External"/><Relationship Id="rId8" Type="http://schemas.openxmlformats.org/officeDocument/2006/relationships/hyperlink" Target="https://doi.org/10.1016/j.neuroimage.2009.11.044" TargetMode="External"/><Relationship Id="rId9" Type="http://schemas.openxmlformats.org/officeDocument/2006/relationships/hyperlink" Target="https://www.ncbi.nlm.nih.gov/pmc/articles/PMC3429710/" TargetMode="External"/><Relationship Id="rId10" Type="http://schemas.openxmlformats.org/officeDocument/2006/relationships/hyperlink" Target="https://a2cps.atlassian.net/" TargetMode="External"/><Relationship Id="rId11" Type="http://schemas.openxmlformats.org/officeDocument/2006/relationships/hyperlink" Target="mailto:support@a2cps.org" TargetMode="External"/><Relationship Id="rId12" Type="http://schemas.openxmlformats.org/officeDocument/2006/relationships/hyperlink" Target="https://a2cps.atlassian.net/wiki/spaces/DAS/pages/5080604/How+do+I+get+added+to+the+A2CPS+Intranet" TargetMode="External"/><Relationship Id="rId13" Type="http://schemas.openxmlformats.org/officeDocument/2006/relationships/footnotes" Target="footnotes.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a2cps.atlassian.net/wiki/spaces/DOC/pages/5406782/Site+Specific+Information" TargetMode="Externa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507</TotalTime>
  <Application>LibreOffice/7.6.6.3$Windows_X86_64 LibreOffice_project/d97b2716a9a4a2ce1391dee1765565ea469b0ae7</Application>
  <AppVersion>15.0000</AppVersion>
  <Pages>12</Pages>
  <Words>3914</Words>
  <Characters>20497</Characters>
  <CharactersWithSpaces>24248</CharactersWithSpaces>
  <Paragraphs>415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2023-06-12T07:39:10Z</dcterms:created>
  <dc:creator>James Ford</dc:creator>
  <dc:description/>
  <dc:language>en-US</dc:language>
  <cp:lastModifiedBy>James Ford</cp:lastModifiedBy>
  <cp:lastPrinted>2024-06-05T14:15:44Z</cp:lastPrinted>
  <dcterms:modified xsi:type="dcterms:W3CDTF">2024-06-05T14:16:07Z</dcterms:modified>
  <cp:revision>173</cp:revision>
  <dc:subject/>
  <dc:title/>
</cp:coreProperties>
</file>

<file path=docProps/custom.xml><?xml version="1.0" encoding="utf-8"?>
<Properties xmlns="http://schemas.openxmlformats.org/officeDocument/2006/custom-properties" xmlns:vt="http://schemas.openxmlformats.org/officeDocument/2006/docPropsVTypes"/>
</file>