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t xml:space="preserve">Fitness Scribber</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Exercise pooling PRD review</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for the fitness department</w:t>
            </w:r>
          </w:p>
          <w:p w14:paraId="00000007">
            <w:pPr>
              <w:spacing w:after="0" w:line="240" w:lineRule="auto"/>
              <w:rPr>
                <w:color w:val="666666"/>
              </w:rPr>
            </w:pPr>
            <w:r>
              <w:rPr>
                <w:color w:val="666666"/>
                <w:rtl w:val="0"/>
              </w:rPr>
              <w:t xml:space="preserve">Draft v0.1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\f R \h \z </w:instrText>
            <w:fldChar w:fldCharType="separate"/>
          </w:r>
          <w:hyperlink w:anchor="review_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Review request</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review_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to review</w:t>
              <w:tab/>
              <w:t xml:space="preserve">2</w:t>
            </w:r>
          </w:hyperlink>
          <w:r>
            <w:rPr>
              <w:rtl w:val="0"/>
            </w:rPr>
          </w:r>
        </w:p>
        <w:p w14:paraId="0000000D">
          <w:pPr>
            <w:widowControl w:val="0"/>
            <w:tabs>
              <w:tab w:val="right" w:leader="dot" w:pos="9360"/>
            </w:tabs>
            <w:spacing w:after="0" w:before="60" w:line="240" w:lineRule="auto"/>
            <w:ind w:left="0" w:firstLine="0"/>
            <w:rPr>
              <w:color w:val="000000"/>
              <w:u w:val="none"/>
            </w:rPr>
          </w:pPr>
          <w:hyperlink w:anchor="review_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P01 Client Exercise Pooling master PRD</w:t>
              <w:tab/>
              <w:t xml:space="preserve">3</w:t>
            </w:r>
          </w:hyperlink>
          <w:r>
            <w:rPr>
              <w:rtl w:val="0"/>
            </w:rPr>
          </w:r>
        </w:p>
        <w:p w14:paraId="0000000E">
          <w:pPr>
            <w:widowControl w:val="0"/>
            <w:tabs>
              <w:tab w:val="right" w:leader="dot" w:pos="9360"/>
            </w:tabs>
            <w:spacing w:after="0" w:before="60" w:line="240" w:lineRule="auto"/>
            <w:rPr>
              <w:b w:val="1"/>
              <w:bCs w:val="1"/>
              <w:color w:val="000000"/>
              <w:u w:val="none"/>
            </w:rPr>
          </w:pPr>
          <w:hyperlink w:anchor="review_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Proposed operating model requiring review</w:t>
              <w:tab/>
              <w:t xml:space="preserve">3</w:t>
            </w:r>
          </w:hyperlink>
          <w:r>
            <w:rPr>
              <w:rtl w:val="0"/>
            </w:rPr>
          </w:r>
        </w:p>
        <w:p w14:paraId="0000000F">
          <w:pPr>
            <w:widowControl w:val="0"/>
            <w:tabs>
              <w:tab w:val="right" w:leader="dot" w:pos="9360"/>
            </w:tabs>
            <w:spacing w:after="0" w:before="60" w:line="240" w:lineRule="auto"/>
            <w:ind w:left="0" w:firstLine="0"/>
            <w:rPr>
              <w:color w:val="000000"/>
              <w:u w:val="none"/>
            </w:rPr>
          </w:pPr>
          <w:hyperlink w:anchor="review_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P02 assessment and client context PRD</w:t>
              <w:tab/>
              <w:t xml:space="preserve">8</w:t>
            </w:r>
          </w:hyperlink>
          <w:r>
            <w:rPr>
              <w:rtl w:val="0"/>
            </w:rPr>
          </w:r>
        </w:p>
        <w:p w14:paraId="00000010">
          <w:pPr>
            <w:widowControl w:val="0"/>
            <w:tabs>
              <w:tab w:val="right" w:leader="dot" w:pos="9360"/>
            </w:tabs>
            <w:spacing w:after="0" w:before="60" w:line="240" w:lineRule="auto"/>
            <w:ind w:left="360" w:firstLine="0"/>
            <w:rPr>
              <w:color w:val="000000"/>
              <w:u w:val="none"/>
            </w:rPr>
          </w:pPr>
          <w:hyperlink w:anchor="review_5">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Required journeys</w:t>
              <w:tab/>
              <w:t xml:space="preserve">8</w:t>
            </w:r>
          </w:hyperlink>
          <w:r>
            <w:rPr>
              <w:rtl w:val="0"/>
            </w:rPr>
          </w:r>
        </w:p>
        <w:p w14:paraId="00000011">
          <w:pPr>
            <w:widowControl w:val="0"/>
            <w:tabs>
              <w:tab w:val="right" w:leader="dot" w:pos="9360"/>
            </w:tabs>
            <w:spacing w:after="0" w:before="60" w:line="240" w:lineRule="auto"/>
            <w:ind w:left="0" w:firstLine="0"/>
            <w:rPr>
              <w:color w:val="000000"/>
              <w:u w:val="none"/>
            </w:rPr>
          </w:pPr>
          <w:hyperlink w:anchor="review_6">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P03 eligibility ranking and pool PRD</w:t>
              <w:tab/>
              <w:t xml:space="preserve">10</w:t>
            </w:r>
          </w:hyperlink>
          <w:r>
            <w:rPr>
              <w:rtl w:val="0"/>
            </w:rPr>
          </w:r>
        </w:p>
        <w:p w14:paraId="00000012">
          <w:pPr>
            <w:widowControl w:val="0"/>
            <w:tabs>
              <w:tab w:val="right" w:leader="dot" w:pos="9360"/>
            </w:tabs>
            <w:spacing w:after="0" w:before="60" w:line="240" w:lineRule="auto"/>
            <w:rPr>
              <w:b w:val="1"/>
              <w:bCs w:val="1"/>
              <w:color w:val="000000"/>
              <w:u w:val="none"/>
            </w:rPr>
          </w:pPr>
          <w:hyperlink w:anchor="review_7">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Proposed ranking contract</w:t>
              <w:tab/>
              <w:t xml:space="preserve">10</w:t>
            </w:r>
          </w:hyperlink>
          <w:r>
            <w:rPr>
              <w:rtl w:val="0"/>
            </w:rPr>
          </w:r>
        </w:p>
        <w:p w14:paraId="00000013">
          <w:pPr>
            <w:widowControl w:val="0"/>
            <w:tabs>
              <w:tab w:val="right" w:leader="dot" w:pos="9360"/>
            </w:tabs>
            <w:spacing w:after="0" w:before="60" w:line="240" w:lineRule="auto"/>
            <w:ind w:left="0" w:firstLine="0"/>
            <w:rPr>
              <w:color w:val="000000"/>
              <w:u w:val="none"/>
            </w:rPr>
          </w:pPr>
          <w:hyperlink w:anchor="review_8">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P04 session draft substitution and assignment PRD</w:t>
              <w:tab/>
              <w:t xml:space="preserve">13</w:t>
            </w:r>
          </w:hyperlink>
          <w:r>
            <w:rPr>
              <w:rtl w:val="0"/>
            </w:rPr>
          </w:r>
        </w:p>
        <w:p w14:paraId="00000014">
          <w:pPr>
            <w:widowControl w:val="0"/>
            <w:tabs>
              <w:tab w:val="right" w:leader="dot" w:pos="9360"/>
            </w:tabs>
            <w:spacing w:after="0" w:before="60" w:line="240" w:lineRule="auto"/>
            <w:rPr>
              <w:b w:val="1"/>
              <w:bCs w:val="1"/>
              <w:color w:val="000000"/>
              <w:u w:val="none"/>
            </w:rPr>
          </w:pPr>
          <w:hyperlink w:anchor="review_9">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Meaningful approval</w:t>
              <w:tab/>
              <w:t xml:space="preserve">15</w:t>
            </w:r>
          </w:hyperlink>
          <w:r>
            <w:rPr>
              <w:rtl w:val="0"/>
            </w:rPr>
          </w:r>
        </w:p>
        <w:p w14:paraId="00000015">
          <w:pPr>
            <w:widowControl w:val="0"/>
            <w:tabs>
              <w:tab w:val="right" w:leader="dot" w:pos="9360"/>
            </w:tabs>
            <w:spacing w:after="0" w:before="60" w:line="240" w:lineRule="auto"/>
            <w:ind w:left="0" w:firstLine="0"/>
            <w:rPr>
              <w:color w:val="000000"/>
              <w:u w:val="none"/>
            </w:rPr>
          </w:pPr>
          <w:hyperlink w:anchor="review_1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Review response</w:t>
              <w:tab/>
              <w:t xml:space="preserve">16</w:t>
            </w:r>
          </w:hyperlink>
          <w:r>
            <w:rPr>
              <w:rtl w:val="0"/>
            </w:rPr>
          </w:r>
        </w:p>
        <w:p w14:paraId="00000016">
          <w:pPr>
            <w:widowControl w:val="0"/>
            <w:tabs>
              <w:tab w:val="right" w:leader="dot" w:pos="9360"/>
            </w:tabs>
            <w:spacing w:after="0" w:before="60" w:line="240" w:lineRule="auto"/>
            <w:ind w:left="360" w:firstLine="0"/>
            <w:rPr>
              <w:color w:val="000000"/>
              <w:u w:val="none"/>
            </w:rPr>
          </w:pPr>
          <w:hyperlink w:anchor="review_1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Feedback format</w:t>
              <w:tab/>
              <w:t xml:space="preserve">16</w:t>
            </w:r>
          </w:hyperlink>
          <w:r>
            <w:rPr>
              <w:rtl w:val="0"/>
            </w:rPr>
          </w:r>
          <w:r>
            <w:fldChar w:fldCharType="end"/>
          </w:r>
        </w:p>
      </w:sdtContent>
    </w:sdt>
    <w:p w14:paraId="00000017">
      <w:pPr>
        <w:pStyle w:val="Heading1"/>
        <w:rPr/>
        <w:pageBreakBefore/>
      </w:pPr>
      <w:bookmarkStart w:id="100" w:name="review_0"/>
      <w:r>
        <w:rPr/>
        <w:t xml:space="preserve">Review request</w:t>
      </w:r>
      <w:bookmarkEnd w:id="100"/>
      <w:fldSimple w:instr=" TC &quot;Review request&quot; \f R \l 1 ">
        <w:r>
          <w:rPr>
            <w:vanish/>
          </w:rPr>
          <w:t/>
        </w:r>
      </w:fldSimple>
    </w:p>
    <w:p w14:paraId="00000018">
      <w:pPr>
        <w:rPr/>
      </w:pPr>
      <w:r>
        <w:rPr/>
        <w:t xml:space="preserve">Please review these four draft product requirements documents before implementation. We need your feedback on coaching practicality, assessment inputs, exercise-selection logic and the approval workflow. Mark gaps and propose specific changes.</w:t>
      </w:r>
    </w:p>
    <w:p w14:paraId="00000018">
      <w:pPr>
        <w:rPr/>
      </w:pPr>
      <w:r>
        <w:rPr/>
        <w:t xml:space="preserve">These are version 0.1 preparation drafts, not approved exercise protocols. Only S1–S2 preparation is authorized. P05 daily adjustment and P06 progression are outside this packet. Product review does not replace scoped exercise-content, clinical or legal review.</w:t>
      </w:r>
    </w:p>
    <w:p w14:paraId="0000001A">
      <w:pPr>
        <w:pStyle w:val="Heading2"/>
        <w:rPr/>
      </w:pPr>
      <w:bookmarkStart w:id="101" w:name="review_1"/>
      <w:r>
        <w:rPr/>
        <w:t xml:space="preserve">How to review</w:t>
      </w:r>
      <w:bookmarkEnd w:id="101"/>
      <w:fldSimple w:instr=" TC &quot;How to review&quot; \f R \l 2 ">
        <w:r>
          <w:rPr>
            <w:vanish/>
          </w:rPr>
          <w:t/>
        </w:r>
      </w:fldSimple>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P01: Confirm populations, coaching boundaries, release scope and acceptance requirements.</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P02: Check required assessments, source reliability, reassessment, lifestyle versus session wellness and client reporting.</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P03: Review eligibility before ranking, exercise coverage, equipment and assistance, prerequisites and unsupported cases.</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P04: Review dose evidence, realistic duration, substitutions, meaningful coach approval and start or resume checks.</w:t>
      </w:r>
    </w:p>
    <w:p w14:paraId="00000018">
      <w:pPr>
        <w:rPr/>
      </w:pPr>
      <w:r>
        <w:rPr/>
        <w:t xml:space="preserve">Use comments or tracked edits. Reference the PRD and requirement ID, explain the issue, suggest a change and label it blocker, major or minor. Use fictional cases only; do not include identifiable client health information. Supporting D01–D04, policy, UX, API and test documents are referenced by name in the PRDs and can be supplied separately.</w:t>
      </w:r>
    </w:p>
    <w:p w14:paraId="00000017">
      <w:pPr>
        <w:pStyle w:val="Heading1"/>
        <w:rPr/>
        <w:pageBreakBefore/>
      </w:pPr>
      <w:bookmarkStart w:id="102" w:name="review_2"/>
      <w:r>
        <w:rPr/>
        <w:t xml:space="preserve">P01 Client Exercise Pooling master PRD</w:t>
      </w:r>
      <w:bookmarkEnd w:id="102"/>
      <w:fldSimple w:instr=" TC &quot;P01 Client Exercise Pooling master PRD&quot; \f R \l 1 ">
        <w:r>
          <w:rPr>
            <w:vanish/>
          </w:rPr>
          <w:t/>
        </w:r>
      </w:fldSimple>
    </w:p>
    <w:p w14:paraId="00000018">
      <w:pPr>
        <w:rPr/>
      </w:pPr>
      <w:r>
        <w:rPr/>
        <w:t xml:space="preserve">Version: 0.1, 2026-09-05. Status: draft awaiting product/domain review. Preparation is approved; implementation, clinical content, policy publication and deployment are not.</w:t>
      </w:r>
    </w:p>
    <w:p w14:paraId="0000001A">
      <w:pPr>
        <w:pStyle w:val="Heading2"/>
        <w:rPr/>
      </w:pPr>
      <w:r>
        <w:rPr/>
        <w:t xml:space="preserve">Problem and outcome</w:t>
      </w:r>
    </w:p>
    <w:p w14:paraId="00000018">
      <w:pPr>
        <w:rPr/>
      </w:pPr>
      <w:r>
        <w:rPr/>
        <w:t xml:space="preserve">The current app collects screening, assessments, goals, wellness and workout history, but does not turn them into one explainable, consistently constrained exercise pool. The coach must connect much of this information manually. R1 should let the coach inspect suitable options, create a session draft, review its reasons and approve assignment without leaving the existing workflow.</w:t>
      </w:r>
    </w:p>
    <w:p w14:paraId="0000001A">
      <w:pPr>
        <w:pStyle w:val="Heading2"/>
        <w:rPr/>
      </w:pPr>
      <w:r>
        <w:rPr/>
        <w:t xml:space="preserve">Confirmed product instructions</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Adult clients at beginner, intermediate and advanced training levels.</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General fitness plus support for special needs and rehabilitation.</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One operating coach with one coach sign-in.</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A client-facing app; intended service markets India, GCC, USA, UK and Europe.</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Staged R1/R2/R3 delivery; assigning only after coach approval.</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Planning must account for priority goals, gym/home/travel setting and actual available equipment.</w:t>
      </w:r>
    </w:p>
    <w:p w14:paraId="0000001B">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t xml:space="preserve">S1–S2 preparation only is authorized now.</w:t>
      </w:r>
    </w:p>
    <w:p w14:paraId="00000018">
      <w:pPr>
        <w:rPr/>
      </w:pPr>
      <w:r>
        <w:rPr/>
        <w:t xml:space="preserve">The detailed goal hierarchy, session durations, specialist cases, business establishment, exact enabled countries/states, reviewer competence and client-app packaging/authentication details are not yet confirmed. Name/email are undecided. Do not replace the wider requested scope with the former beginner/intermediate-only proposal, and do not claim that broader product scope approves every clinical pathway or live jurisdiction.</w:t>
      </w:r>
    </w:p>
    <w:p w14:paraId="0000001A">
      <w:pPr>
        <w:pStyle w:val="Heading2"/>
        <w:rPr/>
      </w:pPr>
      <w:bookmarkStart w:id="103" w:name="review_3"/>
      <w:r>
        <w:rPr/>
        <w:t xml:space="preserve">Proposed operating model requiring review</w:t>
      </w:r>
      <w:bookmarkEnd w:id="103"/>
      <w:fldSimple w:instr=" TC &quot;Proposed operating model requiring review&quot; \f R \l 2 ">
        <w:r>
          <w:rPr>
            <w:vanish/>
          </w:rPr>
          <w:t/>
        </w:r>
      </w:fldSimple>
    </w:p>
    <w:p w14:paraId="00000018">
      <w:pPr>
        <w:rPr/>
      </w:pPr>
      <w:r>
        <w:rPr/>
        <w:t xml:space="preserve">Separate training level from clinical/functional context. A highly experienced client can have a current clinical restriction; a disabled client may need an accommodation without needing a medical exercise prohibition. Avoid a single “special-needs workout” pool.</w:t>
      </w:r>
    </w:p>
    <w:p w14:paraId="00000018">
      <w:pPr>
        <w:rPr/>
      </w:pPr>
      <w:r>
        <w:rPr/>
        <w:t xml:space="preserve">Proposed contextual pathways:</w:t>
      </w:r>
    </w:p>
    <w:p w14:paraId="00000018">
      <w:pPr>
        <w:rPr/>
      </w:pPr>
      <w:r>
        <w:rPr/>
        <w:t xml:space="preserve">1. General training within the coach's verified competence and the adopted screening policy.</w:t>
      </w:r>
    </w:p>
    <w:p w14:paraId="00000018">
      <w:pPr>
        <w:rPr/>
      </w:pPr>
      <w:r>
        <w:rPr/>
        <w:t xml:space="preserve">2. Adaptive training based on individual functional/accessibility needs and reviewed accommodations.</w:t>
      </w:r>
    </w:p>
    <w:p w14:paraId="00000018">
      <w:pPr>
        <w:rPr/>
      </w:pPr>
      <w:r>
        <w:rPr/>
        <w:t xml:space="preserve">3. Clinician-guided rehabilitation/return-to-training: recorded professional instructions, scope, supervision, limits and reassessment requirements; only supported reviewed modules can generate suggestions.</w:t>
      </w:r>
    </w:p>
    <w:p w14:paraId="00000018">
      <w:pPr>
        <w:rPr/>
      </w:pPr>
      <w:r>
        <w:rPr/>
        <w:t xml:space="preserve">4. Unresolved/unsupported context: visible review requirement or coverage gap. No fabricated rehabilitation plan or generic fallback to evade a restriction.</w:t>
      </w:r>
    </w:p>
    <w:p w14:paraId="00000018">
      <w:pPr>
        <w:rPr/>
      </w:pPr>
      <w:r>
        <w:rPr/>
        <w:t xml:space="preserve">Actual clinical rules, use-case coverage and referral language require the relevant professional review. The app's decision support does not diagnose, prescribe treatment independently, grant clearance or promise injury prevention. A client's consent does not expand the coach's lawful professional scope.</w:t>
      </w:r>
    </w:p>
    <w:p w14:paraId="0000001A">
      <w:pPr>
        <w:pStyle w:val="Heading2"/>
        <w:rPr/>
      </w:pPr>
      <w:r>
        <w:rPr/>
        <w:t xml:space="preserve">Users and authority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780"/>
        <w:gridCol w:w="3780"/>
      </w:tblGrid>
      <w:tr>
        <w:trPr>
          <w:cantSplit w:val="0"/>
          <w:tblHeader w:val="1"/>
          <w:cantSplit/>
          <w:tblHeader/>
        </w:trPr>
        <w:tc>
          <w:tcPr>
            <w:shd w:fill="f2f2f2" w:val="clear"/>
            <w:tcMar>
              <w:top w:w="110.0" w:type="dxa"/>
              <w:bottom w:w="110.0" w:type="dxa"/>
              <w:left w:type="dxa" w:w="160"/>
              <w:right w:type="dxa" w:w="160"/>
            </w:tcMar>
            <w:vAlign w:val="center"/>
            <w:tcW w:type="dxa" w:w="180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Actor</w:t>
            </w:r>
          </w:p>
        </w:tc>
        <w:tc>
          <w:tcPr>
            <w:shd w:fill="f2f2f2" w:val="clear"/>
            <w:tcMar>
              <w:top w:w="110.0" w:type="dxa"/>
              <w:bottom w:w="110.0" w:type="dxa"/>
              <w:left w:type="dxa" w:w="160"/>
              <w:right w:type="dxa" w:w="160"/>
            </w:tcMar>
            <w:vAlign w:val="center"/>
            <w:tcW w:type="dxa" w:w="3780"/>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Proposed role</w:t>
            </w:r>
          </w:p>
        </w:tc>
        <w:tc>
          <w:tcPr>
            <w:shd w:fill="f2f2f2" w:val="clear"/>
            <w:tcMar>
              <w:top w:w="110.0" w:type="dxa"/>
              <w:bottom w:w="110.0" w:type="dxa"/>
              <w:left w:type="dxa" w:w="160"/>
              <w:right w:type="dxa" w:w="160"/>
            </w:tcMar>
            <w:vAlign w:val="center"/>
            <w:tcW w:type="dxa" w:w="3780"/>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Open boundary</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Operating coach</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Maintains client context, reviews/edits drafts, records actual evidence and approves assignments.</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Qualifications and exact scope remain to be confirmed. No shared credentials.</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Client</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Uses the confirmed client app to supply information/consent and receive agreed coaching services.</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Propose separate authenticated limited accounts, never the coach's credentials. Native app/PWA/web packaging remains undecided; current athlete portal is not removed during preparation.</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External reviewer/clinician</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Supplies scoped policy/content review or client-specific instructions when applicable.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Named people and workflow pending; no new reviewer account is assumed.</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Assistant</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Drafts specifications/content; implements only after a separate build approval; prepares evidence.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Cannot manufacture clinical/legal sign-off or publish policies/deploy under preparation permission.</w:t>
            </w:r>
          </w:p>
        </w:tc>
      </w:tr>
    </w:tbl>
    <w:p w14:paraId="0000001A">
      <w:pPr>
        <w:pStyle w:val="Heading2"/>
        <w:rPr/>
      </w:pPr>
      <w:r>
        <w:rPr/>
        <w:t xml:space="preserve">Release scope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50"/>
        <w:gridCol w:w="4055"/>
        <w:gridCol w:w="4055"/>
      </w:tblGrid>
      <w:tr>
        <w:trPr>
          <w:cantSplit w:val="0"/>
          <w:tblHeader w:val="1"/>
          <w:cantSplit/>
          <w:tblHeader/>
        </w:trPr>
        <w:tc>
          <w:tcPr>
            <w:shd w:fill="f2f2f2" w:val="clear"/>
            <w:tcMar>
              <w:top w:w="110.0" w:type="dxa"/>
              <w:bottom w:w="110.0" w:type="dxa"/>
              <w:left w:type="dxa" w:w="160"/>
              <w:right w:type="dxa" w:w="160"/>
            </w:tcMar>
            <w:vAlign w:val="center"/>
            <w:tcW w:type="dxa" w:w="125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Release</w:t>
            </w:r>
          </w:p>
        </w:tc>
        <w:tc>
          <w:tcPr>
            <w:shd w:fill="f2f2f2" w:val="clear"/>
            <w:tcMar>
              <w:top w:w="110.0" w:type="dxa"/>
              <w:bottom w:w="110.0" w:type="dxa"/>
              <w:left w:type="dxa" w:w="160"/>
              <w:right w:type="dxa" w:w="160"/>
            </w:tcMar>
            <w:vAlign w:val="center"/>
            <w:tcW w:type="dxa" w:w="4055"/>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Included</w:t>
            </w:r>
          </w:p>
        </w:tc>
        <w:tc>
          <w:tcPr>
            <w:shd w:fill="f2f2f2" w:val="clear"/>
            <w:tcMar>
              <w:top w:w="110.0" w:type="dxa"/>
              <w:bottom w:w="110.0" w:type="dxa"/>
              <w:left w:type="dxa" w:w="160"/>
              <w:right w:type="dxa" w:w="160"/>
            </w:tcMar>
            <w:vAlign w:val="center"/>
            <w:tcW w:type="dxa" w:w="4055"/>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Not included</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R1</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Data reliability, stable reviewed catalogue, eight role-based pools, restrictions, coverage-aware ranking, explainable single-session draft within a coach-selected structure, compatible swaps, approval audit, minimal health-change detection and complete entry-point rechecks. All requested levels are design targets; clinical/adaptive content is scoped per reviewed module.</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Unsupervised clinical decisions, automatic assignment, silent edits to assigned/history records, new external AI/wearable connections, unsupported specialty prescriptions.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R2</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Bounded daily adjustment suggestions using authorized, sufficiently reliable current inputs; coach review before material reassignment.</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Readiness as clearance, compounded blind reductions, automatic mutation of assigned sessions.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R3</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Evidence-based progression/regression and weekly-planning suggestions; explicit reassessment proposals.</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Resolution inferred from untested findings or rewriting completed workouts.</w:t>
            </w:r>
          </w:p>
        </w:tc>
      </w:tr>
    </w:tbl>
    <w:p w14:paraId="0000001A">
      <w:pPr>
        <w:pStyle w:val="Heading2"/>
        <w:rPr/>
      </w:pPr>
      <w:r>
        <w:rPr/>
        <w:t xml:space="preserve">Core requirements and acceptance targets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50"/>
        <w:gridCol w:w="4055"/>
        <w:gridCol w:w="4055"/>
      </w:tblGrid>
      <w:tr>
        <w:trPr>
          <w:cantSplit w:val="0"/>
          <w:tblHeader w:val="1"/>
          <w:cantSplit/>
          <w:tblHeader/>
        </w:trPr>
        <w:tc>
          <w:tcPr>
            <w:shd w:fill="f2f2f2" w:val="clear"/>
            <w:tcMar>
              <w:top w:w="110.0" w:type="dxa"/>
              <w:bottom w:w="110.0" w:type="dxa"/>
              <w:left w:type="dxa" w:w="160"/>
              <w:right w:type="dxa" w:w="160"/>
            </w:tcMar>
            <w:vAlign w:val="center"/>
            <w:tcW w:type="dxa" w:w="125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ID</w:t>
            </w:r>
          </w:p>
        </w:tc>
        <w:tc>
          <w:tcPr>
            <w:shd w:fill="f2f2f2" w:val="clear"/>
            <w:tcMar>
              <w:top w:w="110.0" w:type="dxa"/>
              <w:bottom w:w="110.0" w:type="dxa"/>
              <w:left w:type="dxa" w:w="160"/>
              <w:right w:type="dxa" w:w="160"/>
            </w:tcMar>
            <w:vAlign w:val="center"/>
            <w:tcW w:type="dxa" w:w="4055"/>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Requirement</w:t>
            </w:r>
          </w:p>
        </w:tc>
        <w:tc>
          <w:tcPr>
            <w:shd w:fill="f2f2f2" w:val="clear"/>
            <w:tcMar>
              <w:top w:w="110.0" w:type="dxa"/>
              <w:bottom w:w="110.0" w:type="dxa"/>
              <w:left w:type="dxa" w:w="160"/>
              <w:right w:type="dxa" w:w="160"/>
            </w:tcMar>
            <w:vAlign w:val="center"/>
            <w:tcW w:type="dxa" w:w="4055"/>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Acceptance example</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REQ-001</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Meaningful coach approval precedes assignment.</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Generated, manually edited, copied and voice-derived drafts cannot be assigned without an authorized approval of that version.</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REQ-002</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Experience, clinical restrictions and functional accommodations are separate inputs.</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An advanced client with a restriction cannot bypass it; an access need does not imply blanket medical exclusion.</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REQ-003</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Unknown/default/unassessed is not confirmed/normal/cleared.</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Untouched defaults and incomplete reassessments remain visible; they do not establish current readiness or resolved findings.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REQ-004</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Sources are resolved as of the session context.</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Backdated entries, future assessments, stale references and changed symptoms have deterministic, explained outcomes.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REQ-005</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Safety/authority eligibility precedes relevance ranking.</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 highly ranked excluded exercise cannot be selected; an unresolved session hold cannot be bypassed through a template.</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REQ-006</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Catalogue entries have stable identity, reviewed scope and required metadata.</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History survives catalogue changes; incomplete or unreviewed entries are not admitted to automated selection.</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REQ-007</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Selection covers distinct needs and preserves side/context.</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Related findings do not yield unbounded duplicate drills; a left-side finding is not silently converted to bilateral dosing.</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REQ-008</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Drafts respect actual setting, equipment and time.</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Missing support equipment and unilateral/rest/setup time affect candidates and draft duration; shortfall returns a visible gap.</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REQ-009</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Dose sources and uncertainty are explicit.</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Measured, estimated and library-derived strength references are distinguished; missing age/load/max is not fabricated.</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REQ-010</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Clinical/adaptive pathways need defined scope and appropriate evidence.</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 generic “rehabilitation” goal does not unlock treatment content; clinician instructions are interpreted/reviewed for their specific scope.</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REQ-011</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All entry points revalidate relevant conditions.</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Manual additions, copies, athlete flow, substitutions and resumption apply the same backend-enforced rules where applicable.</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REQ-012</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Material changes invalidate affected approval for future use without rewriting history.</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New restrictions require appropriate re-review; completed sets remain unchanged.</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REQ-013</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Explanations are useful and audience-appropriate.</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Coach can trace a selected/excluded item to necessary source references; client text contains no unnecessary medical notes.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REQ-014</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Consent is specific, evidenced and independent of coach login.</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Coach-entered records identify how client consent was obtained; checking a box without the client's authorization is not valid evidence.</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REQ-015</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Privacy wording matches actual data flows.</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Enabled providers, admin access, exports, local storage and optional AI/wearables are verified before notice publication; no unsupported “only your coach” claim.</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REQ-016</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Errors and limitations are visible.</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Failed save, stale context, concurrent edit or offline constraints never appear as a successfully validated assignment.</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REQ-017</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Existing records and supported workflows are preserved.</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Migration/reference/override/history tests pass; single-coach scope is not permission to delete existing account/data records.</w:t>
            </w:r>
          </w:p>
        </w:tc>
      </w:tr>
      <w:tr>
        <w:trPr>
          <w:cantSplit w:val="0"/>
          <w:tblHeader w:val="0"/>
          <w:cantSplit/>
        </w:trPr>
        <w:tc>
          <w:tcPr>
            <w:shd w:fill="ffffff" w:val="clear"/>
            <w:tcMar>
              <w:top w:w="110.0" w:type="dxa"/>
              <w:bottom w:w="110.0" w:type="dxa"/>
              <w:left w:type="dxa" w:w="160"/>
              <w:right w:type="dxa" w:w="160"/>
            </w:tcMar>
            <w:vAlign w:val="center"/>
            <w:tcW w:type="dxa" w:w="125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REQ-018</w:t>
            </w:r>
          </w:p>
        </w:tc>
        <w:tc>
          <w:tcPr>
            <w:shd w:fill="ffffff" w:val="clear"/>
            <w:tcMar>
              <w:top w:w="110.0" w:type="dxa"/>
              <w:bottom w:w="110.0" w:type="dxa"/>
              <w:left w:type="dxa" w:w="160"/>
              <w:right w:type="dxa" w:w="160"/>
            </w:tcMar>
            <w:vAlign w:val="center"/>
            <w:tcW w:type="dxa" w:w="4055"/>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Release activation requires evidence and scoped permission.</w:t>
            </w:r>
          </w:p>
        </w:tc>
        <w:tc>
          <w:tcPr>
            <w:shd w:fill="ffffff" w:val="clear"/>
            <w:tcMar>
              <w:top w:w="110.0" w:type="dxa"/>
              <w:bottom w:w="110.0" w:type="dxa"/>
              <w:left w:type="dxa" w:w="160"/>
              <w:right w:type="dxa" w:w="160"/>
            </w:tcMar>
            <w:vAlign w:val="center"/>
            <w:tcW w:type="dxa" w:w="4055"/>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No live clinical module, production migration or wider rollout from draft approval alone.</w:t>
            </w:r>
          </w:p>
        </w:tc>
      </w:tr>
    </w:tbl>
    <w:p w14:paraId="0000001A">
      <w:pPr>
        <w:pStyle w:val="Heading2"/>
        <w:rPr/>
      </w:pPr>
      <w:r>
        <w:rPr/>
        <w:t xml:space="preserve">Proposed success measures</w:t>
      </w:r>
    </w:p>
    <w:p w14:paraId="00000018">
      <w:pPr>
        <w:rPr/>
      </w:pPr>
      <w:r>
        <w:rPr/>
        <w:t xml:space="preserve">Measure time to an approved draft, coach acceptance and edit reasons, unexplained/unsupported recommendation rate, catalogue coverage gaps, understanding of review/hold states, completion of source/approval evidence and permission/preservation failures. Compare against representative current workflows. Numeric thresholds, cohort and duration remain a product/pilot decision; do not infer injury reduction or clinical efficacy from these usage measures.</w:t>
      </w:r>
    </w:p>
    <w:p w14:paraId="0000001A">
      <w:pPr>
        <w:pStyle w:val="Heading2"/>
        <w:rPr/>
      </w:pPr>
      <w:r>
        <w:rPr/>
        <w:t xml:space="preserve">Open decisions and dependencies</w:t>
      </w:r>
    </w:p>
    <w:p w14:paraId="00000018">
      <w:pPr>
        <w:rPr/>
      </w:pPr>
      <w:r>
        <w:rPr/>
        <w:t xml:space="preserve">A03 detailed goals/equipment/durations; A04 named qualified reviewers; A05 business country/legal identity and client accounts; A07 screening/clinical model; A08 reviewed content/rights; A09 data policy; A10 UX/access/offline; A11 technical scope; A12 implementation; A15–A19 pilot/privacy/release. Approval record, reviewer/country recommendations, policy draft pack.</w:t>
      </w:r>
    </w:p>
    <w:p w14:paraId="00000018">
      <w:pPr>
        <w:rPr/>
      </w:pPr>
      <w:r>
        <w:rPr/>
        <w:t xml:space="preserve">G1/G2 are pending. This PRD is a draft acceptance proposal, not evidence that the app or clinical policies already satisfy it.</w:t>
      </w:r>
    </w:p>
    <w:p w14:paraId="00000018">
      <w:pPr>
        <w:rPr/>
      </w:pPr>
      <w:r>
        <w:rPr/>
        <w:t xml:space="preserve">The S1 foundation/design review pack links the detailed P02–P04 requirements, D01–D04 contracts, engineering, UX and synthetic test specifications. These expand this PRD for review without changing its confirmed scope or granting build authority.</w:t>
      </w:r>
    </w:p>
    <w:p w14:paraId="00000017">
      <w:pPr>
        <w:pStyle w:val="Heading1"/>
        <w:rPr/>
        <w:pageBreakBefore/>
      </w:pPr>
      <w:bookmarkStart w:id="104" w:name="review_4"/>
      <w:r>
        <w:rPr/>
        <w:t xml:space="preserve">P02 assessment and client context PRD</w:t>
      </w:r>
      <w:bookmarkEnd w:id="104"/>
      <w:fldSimple w:instr=" TC &quot;P02 assessment and client context PRD&quot; \f R \l 1 ">
        <w:r>
          <w:rPr>
            <w:vanish/>
          </w:rPr>
          <w:t/>
        </w:r>
      </w:fldSimple>
    </w:p>
    <w:p w14:paraId="00000018">
      <w:pPr>
        <w:rPr/>
      </w:pPr>
      <w:r>
        <w:rPr/>
        <w:t xml:space="preserve">Version 0.1, 2026-09-05. FP-103 draft; no app implementation. Parent P01. Contracts: D01, D02, D04.</w:t>
      </w:r>
    </w:p>
    <w:p w14:paraId="0000001A">
      <w:pPr>
        <w:pStyle w:val="Heading2"/>
        <w:rPr/>
      </w:pPr>
      <w:r>
        <w:rPr/>
        <w:t xml:space="preserve">Outcome and boundaries</w:t>
      </w:r>
    </w:p>
    <w:p w14:paraId="00000018">
      <w:pPr>
        <w:rPr/>
      </w:pPr>
      <w:r>
        <w:rPr/>
        <w:t xml:space="preserve">The coach can see what the app actually knows, where it came from and what still needs confirmation before selecting work. The client can supply and correct their own information without being asked to interpret clinical rules. Existing screening, six assessment types and self-report entry points remain; this is not permission to collect every possible medical detail.</w:t>
      </w:r>
    </w:p>
    <w:p w14:paraId="0000001A">
      <w:pPr>
        <w:pStyle w:val="Heading2"/>
        <w:rPr/>
      </w:pPr>
      <w:bookmarkStart w:id="105" w:name="review_5"/>
      <w:r>
        <w:rPr/>
        <w:t xml:space="preserve">Required journeys</w:t>
      </w:r>
      <w:bookmarkEnd w:id="105"/>
      <w:fldSimple w:instr=" TC &quot;Required journeys&quot; \f R \l 2 ">
        <w:r>
          <w:rPr>
            <w:vanish/>
          </w:rPr>
          <w:t/>
        </w:r>
      </w:fldSimple>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780"/>
        <w:gridCol w:w="3780"/>
      </w:tblGrid>
      <w:tr>
        <w:trPr>
          <w:cantSplit w:val="0"/>
          <w:tblHeader w:val="1"/>
          <w:cantSplit/>
          <w:tblHeader/>
        </w:trPr>
        <w:tc>
          <w:tcPr>
            <w:shd w:fill="f2f2f2" w:val="clear"/>
            <w:tcMar>
              <w:top w:w="110.0" w:type="dxa"/>
              <w:bottom w:w="110.0" w:type="dxa"/>
              <w:left w:type="dxa" w:w="160"/>
              <w:right w:type="dxa" w:w="160"/>
            </w:tcMar>
            <w:vAlign w:val="center"/>
            <w:tcW w:type="dxa" w:w="180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Journey</w:t>
            </w:r>
          </w:p>
        </w:tc>
        <w:tc>
          <w:tcPr>
            <w:shd w:fill="f2f2f2" w:val="clear"/>
            <w:tcMar>
              <w:top w:w="110.0" w:type="dxa"/>
              <w:bottom w:w="110.0" w:type="dxa"/>
              <w:left w:type="dxa" w:w="160"/>
              <w:right w:type="dxa" w:w="160"/>
            </w:tcMar>
            <w:vAlign w:val="center"/>
            <w:tcW w:type="dxa" w:w="3780"/>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Proposed behaviour</w:t>
            </w:r>
          </w:p>
        </w:tc>
        <w:tc>
          <w:tcPr>
            <w:shd w:fill="f2f2f2" w:val="clear"/>
            <w:tcMar>
              <w:top w:w="110.0" w:type="dxa"/>
              <w:bottom w:w="110.0" w:type="dxa"/>
              <w:left w:type="dxa" w:w="160"/>
              <w:right w:type="dxa" w:w="160"/>
            </w:tcMar>
            <w:vAlign w:val="center"/>
            <w:tcW w:type="dxa" w:w="3780"/>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Acceptance</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Onboarding</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Show required-by-policy versus optional assessments; each item/side has assessment and confirmation state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Saving an empty form cannot imply normal movement, no pain or confirmed slider values (REQ-003)</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Baseline reuse</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Show source label, effective date and confirmation before adopting a value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SF categorical stress is not transformed into an invented numeric assessment (REQ-003–004)</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Reassessment</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Select compatible protocol and explicitly record tested items/sides; explain non-comparable history</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Missing left-side item cannot resolve previous left-side finding (REQ-007, 012)</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Correct prior mistake</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Correction references original and explains changed value/date/side; material affected drafts/approvals marked stale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Original remains retrievable; actor and correction time preserved (REQ-012, 017)</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Client self-report</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Report received immediately, with source/time; client can request correction and see submission status</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Relevant new report flags review before coach interpretation; client cannot write clearance fields (REQ-010–011)</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Clinical instructions</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Controlled handoff with evidence scope, dates, conditions and coach interpretation</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received or uploaded document alone cannot clear every restriction (REQ-010)</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Session setup</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Confirm date/timezone, current location, equipment, time, selected goals/structure and assistance</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 travel session cannot inherit full-gym inventory without confirmation (REQ-008)</w:t>
            </w:r>
          </w:p>
        </w:tc>
      </w:tr>
      <w:tr>
        <w:trPr>
          <w:cantSplit w:val="0"/>
          <w:tblHeader w:val="0"/>
          <w:cantSplit/>
        </w:trPr>
        <w:tc>
          <w:tcPr>
            <w:shd w:fill="ffffff" w:val="clear"/>
            <w:tcMar>
              <w:top w:w="110.0" w:type="dxa"/>
              <w:bottom w:w="110.0" w:type="dxa"/>
              <w:left w:type="dxa" w:w="160"/>
              <w:right w:type="dxa" w:w="160"/>
            </w:tcMar>
            <w:vAlign w:val="center"/>
            <w:tcW w:type="dxa" w:w="18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Health-change check</w:t>
            </w:r>
          </w:p>
        </w:tc>
        <w:tc>
          <w:tcPr>
            <w:shd w:fill="ffffff" w:val="clear"/>
            <w:tcMar>
              <w:top w:w="110.0" w:type="dxa"/>
              <w:bottom w:w="110.0" w:type="dxa"/>
              <w:left w:type="dxa" w:w="160"/>
              <w:right w:type="dxa" w:w="160"/>
            </w:tcMar>
            <w:vAlign w:val="center"/>
            <w:tcW w:type="dxa" w:w="378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Separate short prompt at each start/resume as required by reviewed policy, linked to the specific session</w:t>
            </w:r>
          </w:p>
        </w:tc>
        <w:tc>
          <w:tcPr>
            <w:shd w:fill="ffffff" w:val="clear"/>
            <w:tcMar>
              <w:top w:w="110.0" w:type="dxa"/>
              <w:bottom w:w="110.0" w:type="dxa"/>
              <w:left w:type="dxa" w:w="160"/>
              <w:right w:type="dxa" w:w="160"/>
            </w:tcMar>
            <w:vAlign w:val="center"/>
            <w:tcW w:type="dxa" w:w="3780"/>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Skipping optional wellness does not skip the required change check (REQ-011)</w:t>
            </w:r>
          </w:p>
        </w:tc>
      </w:tr>
    </w:tbl>
    <w:p w14:paraId="0000001A">
      <w:pPr>
        <w:pStyle w:val="Heading2"/>
        <w:rPr/>
      </w:pPr>
      <w:r>
        <w:rPr/>
        <w:t xml:space="preserve">Screen content requirements</w:t>
      </w:r>
    </w:p>
    <w:p w14:paraId="00000018">
      <w:pPr>
        <w:rPr/>
      </w:pPr>
      <w:r>
        <w:rPr/>
        <w:t xml:space="preserve">Context summary groups: service/screening status; current restrictions and assistance; reviewed goals/experience; setting/equipment/time; assessed movement/fitness; baseline lifestyle; today's optional wellness; and source issues. Do not collapse these into one readiness number. Each required issue identifies affected action, source/date, who can resolve it and the next step. Coach-only evidence is fetched only for the authorized view.</w:t>
      </w:r>
    </w:p>
    <w:p w14:paraId="00000018">
      <w:pPr>
        <w:rPr/>
      </w:pPr>
      <w:r>
        <w:rPr/>
        <w:t xml:space="preserve">Lifestyle remains a baseline report. Current wellness is a separate dated report. R1 may surface both to the coach but must not invent automatic volume/intensity reductions. Free-text nutrition, medicines, concerns and posture are displayed for appropriate review; R1 does not automatically convert them into diagnoses or prescriptions.</w:t>
      </w:r>
    </w:p>
    <w:p w14:paraId="00000018">
      <w:pPr>
        <w:rPr/>
      </w:pPr>
      <w:r>
        <w:rPr/>
        <w:t xml:space="preserve">Draft health-change copy for clinical/accessibility review: “Since your last check, has anything changed that could affect this session—for example a new symptom, injury, medication or instructions from a clinician?” Answers: “No change,” “Something changed,” “I'm not sure.” No preselection. This is an additional workflow prompt, not a replacement or alteration of a licensed screening instrument. Follow-up, referral and urgent-response content require the adopted reviewed policy; do not invent a universal emergency number.</w:t>
      </w:r>
    </w:p>
    <w:p w14:paraId="00000018">
      <w:pPr>
        <w:rPr/>
      </w:pPr>
      <w:r>
        <w:rPr/>
        <w:t xml:space="preserve">Declining an optional question preserves declined and explains the feature impact. Required information remains required only for its justified purpose/action. Missing a body-composition measure must not force an irrelevant assessment to use otherwise-supported general training. Accessible assistance is offered without assuming a disabled adult cannot consent.</w:t>
      </w:r>
    </w:p>
    <w:p w14:paraId="0000001A">
      <w:pPr>
        <w:pStyle w:val="Heading2"/>
        <w:rPr/>
      </w:pPr>
      <w:r>
        <w:rPr/>
        <w:t xml:space="preserve">Acceptance and open decisions</w:t>
      </w:r>
    </w:p>
    <w:p w14:paraId="00000018">
      <w:pPr>
        <w:rPr/>
      </w:pPr>
      <w:r>
        <w:rPr/>
        <w:t xml:space="preserve">Every resolution must trace to raw record/revision/field and show effective versus recorded date when relevant. Confirmed negative findings require explicit scope; display defaults cannot become clinical facts. Load failure, invalid unit and unknown protocol must be distinguishable from no reported issue. Historical replay uses the original knowledge cutoff.</w:t>
      </w:r>
    </w:p>
    <w:p w14:paraId="00000018">
      <w:pPr>
        <w:rPr/>
      </w:pPr>
      <w:r>
        <w:rPr/>
        <w:t xml:space="preserve">Open before acceptance: exact adopted screening policy/version/rights; required assessments by module; freshness policies; clinical-authority evidence; adult verification method; session timezone default; equipment and goal coverage; accessibility/country-specific wording. No G1 decision is recorded merely by drafting these journeys.</w:t>
      </w:r>
    </w:p>
    <w:p w14:paraId="00000017">
      <w:pPr>
        <w:pStyle w:val="Heading1"/>
        <w:rPr/>
        <w:pageBreakBefore/>
      </w:pPr>
      <w:bookmarkStart w:id="106" w:name="review_6"/>
      <w:r>
        <w:rPr/>
        <w:t xml:space="preserve">P03 eligibility ranking and pool PRD</w:t>
      </w:r>
      <w:bookmarkEnd w:id="106"/>
      <w:fldSimple w:instr=" TC &quot;P03 eligibility ranking and pool PRD&quot; \f R \l 1 ">
        <w:r>
          <w:rPr>
            <w:vanish/>
          </w:rPr>
          <w:t/>
        </w:r>
      </w:fldSimple>
    </w:p>
    <w:p w14:paraId="00000018">
      <w:pPr>
        <w:rPr/>
      </w:pPr>
      <w:r>
        <w:rPr/>
        <w:t xml:space="preserve">Version 0.1, 2026-09-05. FP-105 provisional draft against pending G1 and catalogue review. Requirements REQ-002–010, 013, 016. No actual exercise mappings or clinical thresholds approved here.</w:t>
      </w:r>
    </w:p>
    <w:p w14:paraId="0000001A">
      <w:pPr>
        <w:pStyle w:val="Heading2"/>
        <w:rPr/>
      </w:pPr>
      <w:r>
        <w:rPr/>
        <w:t xml:space="preserve">Selection boundary</w:t>
      </w:r>
    </w:p>
    <w:p w14:paraId="00000018">
      <w:pPr>
        <w:rPr/>
      </w:pPr>
      <w:r>
        <w:rPr/>
        <w:t xml:space="preserve">The engine returns a coach review resource, not a prescription or declaration of safety. An item is selected only from a published, appropriately reviewed catalogue revision that supports the client/session/module. Candidate authoring drafts and unknown imported rights are excluded from live automation. Current handwritten library tags and correctivePlan rankings are evidence to audit, not accepted rules.</w:t>
      </w:r>
    </w:p>
    <w:p w14:paraId="0000001A">
      <w:pPr>
        <w:pStyle w:val="Heading2"/>
        <w:rPr/>
      </w:pPr>
      <w:r>
        <w:rPr/>
        <w:t xml:space="preserve">Ordered decision stages</w:t>
      </w:r>
    </w:p>
    <w:p w14:paraId="00000018">
      <w:pPr>
        <w:rPr/>
      </w:pPr>
      <w:r>
        <w:rPr/>
        <w:t xml:space="preserve">1. Resolve access, source availability and client context.</w:t>
      </w:r>
    </w:p>
    <w:p w14:paraId="00000018">
      <w:pPr>
        <w:rPr/>
      </w:pPr>
      <w:r>
        <w:rPr/>
        <w:t xml:space="preserve">2. Evaluate session gate. Held/unavailable/unsupported sessions are inspectable, not silently replaced by generic exercise suggestions.</w:t>
      </w:r>
    </w:p>
    <w:p w14:paraId="00000018">
      <w:pPr>
        <w:rPr/>
      </w:pPr>
      <w:r>
        <w:rPr/>
        <w:t xml:space="preserve">3. Build confirmed needs from reviewed mapping records. Keep hypothesis, source evidence and clinical restriction distinct; a visible compensation alone does not prove a muscle is weak/tight.</w:t>
      </w:r>
    </w:p>
    <w:p w14:paraId="00000018">
      <w:pPr>
        <w:rPr/>
      </w:pPr>
      <w:r>
        <w:rPr/>
        <w:t xml:space="preserve">4. Filter candidates by review/rights/scope, required equipment/accessories/assistance, demonstrated prerequisites, restrictions, side, permitted dose and explicit refusals. Multiple reasons can apply.</w:t>
      </w:r>
    </w:p>
    <w:p w14:paraId="00000018">
      <w:pPr>
        <w:rPr/>
      </w:pPr>
      <w:r>
        <w:rPr/>
        <w:t xml:space="preserve">5. Classify exercise outcomes and only rank eligible or conditionally eligible records. Conditional candidates may be previewed but cannot be assigned until all required conditions are satisfied.</w:t>
      </w:r>
    </w:p>
    <w:p w14:paraId="00000018">
      <w:pPr>
        <w:rPr/>
      </w:pPr>
      <w:r>
        <w:rPr/>
        <w:t xml:space="preserve">6. Select a coverage-aware subset for the requested roles/structure, return alternatives and disclose gaps. Pool roles are defined in D03.</w:t>
      </w:r>
    </w:p>
    <w:p w14:paraId="0000001A">
      <w:pPr>
        <w:pStyle w:val="Heading2"/>
        <w:rPr/>
      </w:pPr>
      <w:bookmarkStart w:id="107" w:name="review_7"/>
      <w:r>
        <w:rPr/>
        <w:t xml:space="preserve">Proposed ranking contract</w:t>
      </w:r>
      <w:bookmarkEnd w:id="107"/>
      <w:fldSimple w:instr=" TC &quot;Proposed ranking contract&quot; \f R \l 2 ">
        <w:r>
          <w:rPr>
            <w:vanish/>
          </w:rPr>
          <w:t/>
        </w:r>
      </w:fldSimple>
    </w:p>
    <w:p w14:paraId="00000018">
      <w:pPr>
        <w:rPr/>
      </w:pPr>
      <w:r>
        <w:rPr/>
        <w:t xml:space="preserve">No weighted clinical risk score. Use an explainable ordered tuple, subject to coaching review: incremental coverage of required confirmed needs; match to coach-approved goal priority; suitable prerequisite/skill match; practical setting/setup fit; stated preferences; variety within the selected structure; stable catalogue ID as final tie-break. Pinning can promote an eligible option but cannot bypass constraints. A required need's clinical priority comes from an approved rule, not an AI-invented severity weight.</w:t>
      </w:r>
    </w:p>
    <w:p w14:paraId="00000018">
      <w:pPr>
        <w:rPr/>
      </w:pPr>
      <w:r>
        <w:rPr/>
        <w:t xml:space="preserve">Each candidate records matched need IDs/sides, conditions, ranking components, exclusions and source/rule references. Multiple findings supporting the same normalized need contribute evidence, not unlimited extra score or repeated drills. The composer must recalculate incremental coverage after each selection. Duplicate exercise IDs in different roles need explicit placement/dose review, not automatic repetition.</w:t>
      </w:r>
    </w:p>
    <w:p w14:paraId="00000018">
      <w:pPr>
        <w:rPr/>
      </w:pPr>
      <w:r>
        <w:rPr/>
        <w:t xml:space="preserve">Dislike is a preference unless client/coach confirms refusal. A hard refusal is excluded without calling it a medical contraindication. A clinical restriction cannot be downgraded to preference. Conflicting needs or incompatible instructions require review, not summing positive and negative scores.</w:t>
      </w:r>
    </w:p>
    <w:p w14:paraId="0000001A">
      <w:pPr>
        <w:pStyle w:val="Heading2"/>
        <w:rPr/>
      </w:pPr>
      <w:r>
        <w:rPr/>
        <w:t xml:space="preserve">Failure and coverage behaviour</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00"/>
        <w:gridCol w:w="6360"/>
      </w:tblGrid>
      <w:tr>
        <w:trPr>
          <w:cantSplit w:val="0"/>
          <w:tblHeader w:val="1"/>
          <w:cantSplit/>
          <w:tblHeader/>
        </w:trPr>
        <w:tc>
          <w:tcPr>
            <w:shd w:fill="f2f2f2" w:val="clear"/>
            <w:tcMar>
              <w:top w:w="110.0" w:type="dxa"/>
              <w:bottom w:w="110.0" w:type="dxa"/>
              <w:left w:type="dxa" w:w="160"/>
              <w:right w:type="dxa" w:w="160"/>
            </w:tcMar>
            <w:vAlign w:val="center"/>
            <w:tcW w:type="dxa" w:w="300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Condition</w:t>
            </w:r>
          </w:p>
        </w:tc>
        <w:tc>
          <w:tcPr>
            <w:shd w:fill="f2f2f2" w:val="clear"/>
            <w:tcMar>
              <w:top w:w="110.0" w:type="dxa"/>
              <w:bottom w:w="110.0" w:type="dxa"/>
              <w:left w:type="dxa" w:w="160"/>
              <w:right w:type="dxa" w:w="160"/>
            </w:tcMar>
            <w:vAlign w:val="center"/>
            <w:tcW w:type="dxa" w:w="6360"/>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Required result</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No eligible item for required role/need</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Explicit gap; assignment blocked until supported resolution; never relax restriction silently</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No candidates for optional role</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Omit with explanation; do not require eight blocks</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Unsupported adaptive/rehab combination</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Label exact unsupported scope; no general-fitness fallback presented as rehabilitation</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Missing optional lifestyle/wearable</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Continue unaffected R1 selection without fabricated readiness penalty</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Missing prerequisite/required metadata</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Review-required/unsupported candidate, not presumed beginner-safe</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Contradictory side/need mapping</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Preserve evidence and request clarification; no bilateral guess</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New catalogue/policy/source revision</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Re-evaluate affected candidates and approval validity; preserve history</w:t>
            </w:r>
          </w:p>
        </w:tc>
      </w:tr>
    </w:tbl>
    <w:p w14:paraId="0000001A">
      <w:pPr>
        <w:pStyle w:val="Heading2"/>
        <w:rPr/>
      </w:pPr>
      <w:r>
        <w:rPr/>
        <w:t xml:space="preserve">Coach controls and acceptance</w:t>
      </w:r>
    </w:p>
    <w:p w14:paraId="00000018">
      <w:pPr>
        <w:rPr/>
      </w:pPr>
      <w:r>
        <w:rPr/>
        <w:t xml:space="preserve">Pool browsing offers role, pattern, available equipment and eligibility filters, with distinct eligible/conditional/review/excluded views. “Why this?” explains goal/need fit; “Why unavailable?” states actionable conditions. The client receives coaching instructions and relevant next actions, not diagnostic hypotheses or all private source notes.</w:t>
      </w:r>
    </w:p>
    <w:p w14:paraId="00000018">
      <w:pPr>
        <w:rPr/>
      </w:pPr>
      <w:r>
        <w:rPr/>
        <w:t xml:space="preserve">Identical inputs/versions/request yield identical ordering. Restricting equipment or adding a prohibition must never introduce a newly forbidden selection. Coach pin/exclude, manual additions, copy and swap all use the same checks. Proposed tests TC-010–TC-018 use artificial candidates; final real exercise expectations require content review.</w:t>
      </w:r>
    </w:p>
    <w:p w14:paraId="00000018">
      <w:pPr>
        <w:rPr/>
      </w:pPr>
      <w:r>
        <w:rPr/>
        <w:t xml:space="preserve">Open: approved required/optional role coverage, per-goal ranking order, fatigue/redundancy definitions, module boundaries, candidate catalogue and clinician-guided rules. No universal corrective count, load ratio or stretch duration adopted from existing code.</w:t>
      </w:r>
    </w:p>
    <w:p w14:paraId="00000017">
      <w:pPr>
        <w:pStyle w:val="Heading1"/>
        <w:rPr/>
        <w:pageBreakBefore/>
      </w:pPr>
      <w:bookmarkStart w:id="108" w:name="review_8"/>
      <w:r>
        <w:rPr/>
        <w:t xml:space="preserve">P04 session draft substitution and assignment PRD</w:t>
      </w:r>
      <w:bookmarkEnd w:id="108"/>
      <w:fldSimple w:instr=" TC &quot;P04 session draft substitution and assignment PRD&quot; \f R \l 1 ">
        <w:r>
          <w:rPr>
            <w:vanish/>
          </w:rPr>
          <w:t/>
        </w:r>
      </w:fldSimple>
    </w:p>
    <w:p w14:paraId="00000018">
      <w:pPr>
        <w:rPr/>
      </w:pPr>
      <w:r>
        <w:rPr/>
        <w:t xml:space="preserve">Version 0.1, 2026-09-05. FP-106 provisional specification, awaiting G1/content/UX review. REQ-001, 005–013, 016–017. No implementation.</w:t>
      </w:r>
    </w:p>
    <w:p w14:paraId="0000001A">
      <w:pPr>
        <w:pStyle w:val="Heading2"/>
        <w:rPr/>
      </w:pPr>
      <w:r>
        <w:rPr/>
        <w:t xml:space="preserve">Required inputs and result</w:t>
      </w:r>
    </w:p>
    <w:p w14:paraId="00000018">
      <w:pPr>
        <w:rPr/>
      </w:pPr>
      <w:r>
        <w:rPr/>
        <w:t xml:space="preserve">Coach selects client, session date/timezone, active goal priority, weekly structure/day purpose, duration budget, actual setting/equipment, assistance and any pinned eligible choices. R1 composes one session within that structure, not an autonomous multi-week programme. Result includes ordered blocks/items/sets, catalogue/dose/source versions, side and conditions, expected duration range, coverage gaps, unresolved fields and an explanation summary.</w:t>
      </w:r>
    </w:p>
    <w:p w14:paraId="00000018">
      <w:pPr>
        <w:rPr/>
      </w:pPr>
      <w:r>
        <w:rPr/>
        <w:t xml:space="preserve">Dose records must reference reviewed templates plus individual limits. Distinguish explicit load, percentage with an eligible reference, timed work, repetitions and effort-based prescriptions. Do not invent age, 1RM, default maximum, reference-lift ratio or missing repetitions. If valid load evidence is absent, propose only a separately reviewed non-max-dependent method or leave dose incomplete for coach review; do not create a numeric weight merely to fill the UI.</w:t>
      </w:r>
    </w:p>
    <w:p w14:paraId="0000001A">
      <w:pPr>
        <w:pStyle w:val="Heading2"/>
        <w:rPr/>
      </w:pPr>
      <w:r>
        <w:rPr/>
        <w:t xml:space="preserve">Duration contract</w:t>
      </w:r>
    </w:p>
    <w:p w14:paraId="00000018">
      <w:pPr>
        <w:rPr/>
      </w:pPr>
      <w:r>
        <w:rPr/>
        <w:t xml:space="preserve">Count working time, between-set rest, between-exercise rest, side switching, equipment setup, instruction/assistance/transfers and block transitions. Superset rest is attached to the correct sequence, not counted independently for overlapping work. Repetition-based time needs a reviewed tempo/estimate and uncertainty; do not imply exact duration from reps alone. Preserve deliberate per-side versus total dosing.</w:t>
      </w:r>
    </w:p>
    <w:p w14:paraId="00000018">
      <w:pPr>
        <w:rPr/>
      </w:pPr>
      <w:r>
        <w:rPr/>
        <w:t xml:space="preserve">When the budget does not fit: keep restrictions and reviewed minimums; first identify optional work that can be omitted under the selected template; offer eligible shorter alternatives; then return a gap or ask for a different budget. Never silently shorten required rest, compress clinical instructions or omit required preparation. Preview any trade-off before assignment.</w:t>
      </w:r>
    </w:p>
    <w:p w14:paraId="00000018">
      <w:pPr>
        <w:rPr/>
      </w:pPr>
      <w:r>
        <w:rPr/>
        <w:t xml:space="preserve">Arithmetic-only acceptance example, not an exercise dose: a fictional one-set-per-side item takes 20 seconds left + 10 seconds switch + 20 seconds right, 15 seconds initial setup and 30 seconds transition after the item = 95 seconds total. A specification/test must state whether after-item rest is included and count it exactly once.</w:t>
      </w:r>
    </w:p>
    <w:p w14:paraId="0000001A">
      <w:pPr>
        <w:pStyle w:val="Heading2"/>
        <w:rPr/>
      </w:pPr>
      <w:r>
        <w:rPr/>
        <w:t xml:space="preserve">Edits substitutions and copies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00"/>
        <w:gridCol w:w="6360"/>
      </w:tblGrid>
      <w:tr>
        <w:trPr>
          <w:cantSplit w:val="0"/>
          <w:tblHeader w:val="1"/>
          <w:cantSplit/>
          <w:tblHeader/>
        </w:trPr>
        <w:tc>
          <w:tcPr>
            <w:shd w:fill="f2f2f2" w:val="clear"/>
            <w:tcMar>
              <w:top w:w="110.0" w:type="dxa"/>
              <w:bottom w:w="110.0" w:type="dxa"/>
              <w:left w:type="dxa" w:w="160"/>
              <w:right w:type="dxa" w:w="160"/>
            </w:tcMar>
            <w:vAlign w:val="center"/>
            <w:tcW w:type="dxa" w:w="300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Action</w:t>
            </w:r>
          </w:p>
        </w:tc>
        <w:tc>
          <w:tcPr>
            <w:shd w:fill="f2f2f2" w:val="clear"/>
            <w:tcMar>
              <w:top w:w="110.0" w:type="dxa"/>
              <w:bottom w:w="110.0" w:type="dxa"/>
              <w:left w:type="dxa" w:w="160"/>
              <w:right w:type="dxa" w:w="160"/>
            </w:tcMar>
            <w:vAlign w:val="center"/>
            <w:tcW w:type="dxa" w:w="6360"/>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Proposed behaviour</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Swap</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Match requested role/need/side and reviewed family properties; recheck equipment, prerequisites, restrictions and dose; show before/after time and lost coverage</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Manual exercise</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Map to a known variant or mark unreviewed/unmapped; draft can be saved but assignment needs the same eligibility/metadata review</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Voice/import</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Treat parsed structure as untrusted draft input; verify identity/dose; no new external AI sharing authorized</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Copy last / template / another date</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Copy structure into a fresh draft; resolve recipient/date-specific context and load; never transfer old approval</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Copy to another client</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Strip source client's health notes and evidence; fresh recipient context/IDs and separate coach review required</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Bulk dates/clients</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Show per-target differences and validation result; copying creates drafts. R1 does not approve uninspected targets through one blanket action</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Edit assigned session</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New revision with a visible diff; original assignment preserved until replacement succeeds; any invalidated original is clearly non-startable</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Edit during execution</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Preserve performed sets; proposed remaining work is a separately reviewed revision; client may report actual deviations without rewriting prescription</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Delete/cancel</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Explicit scoped cancellation, preserving audit/history under approved policy; no cascading cleanup inferred</w:t>
            </w:r>
          </w:p>
        </w:tc>
      </w:tr>
    </w:tbl>
    <w:p w14:paraId="0000001A">
      <w:pPr>
        <w:pStyle w:val="Heading2"/>
        <w:rPr/>
        <w:pageBreakBefore/>
      </w:pPr>
      <w:bookmarkStart w:id="109" w:name="review_9"/>
      <w:r>
        <w:rPr/>
        <w:t xml:space="preserve">Meaningful approval</w:t>
      </w:r>
      <w:bookmarkEnd w:id="109"/>
      <w:fldSimple w:instr=" TC &quot;Meaningful approval&quot; \f R \l 2 ">
        <w:r>
          <w:rPr>
            <w:vanish/>
          </w:rPr>
          <w:t/>
        </w:r>
      </w:fldSimple>
    </w:p>
    <w:p w14:paraId="00000018">
      <w:pPr>
        <w:rPr/>
      </w:pPr>
      <w:r>
        <w:rPr/>
        <w:t xml:space="preserve">Review displays exact client/date, goals, required constraints, changes since previous version, all item/dose/side details, duration assumptions and remaining gaps. Controls: “Save draft,” “Review changes,” then “Approve &amp; assign.” The latter is available only to the owning coach and only when required conditions are satisfied. An acknowledgement checkbox alone is insufficient if the actual version changed underneath it.</w:t>
      </w:r>
    </w:p>
    <w:p w14:paraId="00000018">
      <w:pPr>
        <w:rPr/>
      </w:pPr>
      <w:r>
        <w:rPr/>
        <w:t xml:space="preserve">The backend revalidates current source/catalogue/permission revisions in the same atomic operation that records coach identity, exact prescription version, context/rule/catalogue versions and assignment. Stale review returns conflict and a diff; it does not silently assign a regenerated workout the coach has never reviewed. Client sees the new assignment only after success. Timeout leaves “Checking whether assignment saved,” followed by status lookup using the same request ID; do not blindly duplicate it.</w:t>
      </w:r>
    </w:p>
    <w:p w14:paraId="00000018">
      <w:pPr>
        <w:rPr/>
      </w:pPr>
      <w:r>
        <w:rPr/>
        <w:t xml:space="preserve">Start and resume perform fresh applicable checks. Optional wellness can be skipped without inventing data; required health-change confirmation remains separate. New restrictions, material dose/side changes and lost equipment/assistance require appropriate review. No daily automation or history rewrite occurs in R1.</w:t>
      </w:r>
    </w:p>
    <w:p w14:paraId="00000018">
      <w:pPr>
        <w:rPr/>
      </w:pPr>
      <w:r>
        <w:rPr/>
        <w:t xml:space="preserve">Open: reviewed dose templates, goal/weekly structures, duration estimates and limits, approved offline policy and confirmation copy. Lifecycle, UX, API, tests.</w:t>
      </w:r>
    </w:p>
    <w:p w14:paraId="00000017">
      <w:pPr>
        <w:pStyle w:val="Heading1"/>
        <w:rPr/>
        <w:pageBreakBefore/>
      </w:pPr>
      <w:bookmarkStart w:id="110" w:name="review_10"/>
      <w:r>
        <w:rPr/>
        <w:t xml:space="preserve">Review response</w:t>
      </w:r>
      <w:bookmarkEnd w:id="110"/>
      <w:fldSimple w:instr=" TC &quot;Review response&quot; \f R \l 1 ">
        <w:r>
          <w:rPr>
            <w:vanish/>
          </w:rPr>
          <w:t/>
        </w:r>
      </w:fldSimple>
    </w:p>
    <w:p w14:paraId="00000018">
      <w:pPr>
        <w:rPr/>
      </w:pPr>
      <w:r>
        <w:rPr/>
        <w:t xml:space="preserve">Reviewer name and role: ______________________________</w:t>
      </w:r>
    </w:p>
    <w:p w14:paraId="00000018">
      <w:pPr>
        <w:rPr/>
      </w:pPr>
      <w:r>
        <w:rPr/>
        <w:t xml:space="preserve">Review date and scope of expertise: ______________________________</w:t>
      </w:r>
    </w:p>
    <w:p w14:paraId="00000018">
      <w:pPr>
        <w:rPr/>
      </w:pPr>
      <w:r>
        <w:rPr/>
        <w:t xml:space="preserve">For each PRD, record: acceptable for the next preparation stage, revise, or outside my expertise. Identify any conditions and unresolved blockers. This response does not authorize implementation or clinical deployment.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000"/>
        <w:gridCol w:w="6360"/>
      </w:tblGrid>
      <w:tr>
        <w:trPr>
          <w:cantSplit w:val="0"/>
          <w:tblHeader w:val="1"/>
          <w:cantSplit/>
          <w:tblHeader/>
        </w:trPr>
        <w:tc>
          <w:tcPr>
            <w:shd w:fill="f2f2f2" w:val="clear"/>
            <w:tcMar>
              <w:top w:w="110.0" w:type="dxa"/>
              <w:bottom w:w="110.0" w:type="dxa"/>
              <w:left w:type="dxa" w:w="160"/>
              <w:right w:type="dxa" w:w="160"/>
            </w:tcMar>
            <w:vAlign w:val="center"/>
            <w:tcW w:type="dxa" w:w="3000"/>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PRD</w:t>
            </w:r>
          </w:p>
        </w:tc>
        <w:tc>
          <w:tcPr>
            <w:shd w:fill="f2f2f2" w:val="clear"/>
            <w:tcMar>
              <w:top w:w="110.0" w:type="dxa"/>
              <w:bottom w:w="110.0" w:type="dxa"/>
              <w:left w:type="dxa" w:w="160"/>
              <w:right w:type="dxa" w:w="160"/>
            </w:tcMar>
            <w:vAlign w:val="center"/>
            <w:tcW w:type="dxa" w:w="6360"/>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Recommendation and conditions</w:t>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P01 Master PRD</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P02 Client context</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P03 Pool selection</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
            </w:r>
          </w:p>
        </w:tc>
      </w:tr>
      <w:tr>
        <w:trPr>
          <w:cantSplit w:val="0"/>
          <w:tblHeader w:val="0"/>
          <w:cantSplit/>
        </w:trPr>
        <w:tc>
          <w:tcPr>
            <w:shd w:fill="ffffff" w:val="clear"/>
            <w:tcMar>
              <w:top w:w="110.0" w:type="dxa"/>
              <w:bottom w:w="110.0" w:type="dxa"/>
              <w:left w:type="dxa" w:w="160"/>
              <w:right w:type="dxa" w:w="160"/>
            </w:tcMar>
            <w:vAlign w:val="center"/>
            <w:tcW w:type="dxa" w:w="3000"/>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P04 Draft and approval</w:t>
            </w:r>
          </w:p>
        </w:tc>
        <w:tc>
          <w:tcPr>
            <w:shd w:fill="ffffff" w:val="clear"/>
            <w:tcMar>
              <w:top w:w="110.0" w:type="dxa"/>
              <w:bottom w:w="110.0" w:type="dxa"/>
              <w:left w:type="dxa" w:w="160"/>
              <w:right w:type="dxa" w:w="160"/>
            </w:tcMar>
            <w:vAlign w:val="center"/>
            <w:tcW w:type="dxa" w:w="6360"/>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Pr>
              <w:t xml:space="preserve"/>
            </w:r>
          </w:p>
        </w:tc>
      </w:tr>
    </w:tbl>
    <w:p w14:paraId="0000001A">
      <w:pPr>
        <w:pStyle w:val="Heading2"/>
        <w:rPr/>
      </w:pPr>
      <w:bookmarkStart w:id="111" w:name="review_11"/>
      <w:r>
        <w:rPr/>
        <w:t xml:space="preserve">Feedback format</w:t>
      </w:r>
      <w:bookmarkEnd w:id="111"/>
      <w:fldSimple w:instr=" TC &quot;Feedback format&quot; \f R \l 2 ">
        <w:r>
          <w:rPr>
            <w:vanish/>
          </w:rPr>
          <w:t/>
        </w:r>
      </w:fldSimple>
    </w:p>
    <w:p w14:paraId="00000018">
      <w:pPr>
        <w:rPr/>
      </w:pPr>
      <w:r>
        <w:rPr/>
        <w:t xml:space="preserve">PRD and requirement ID: ______________________________</w:t>
      </w:r>
    </w:p>
    <w:p w14:paraId="00000018">
      <w:pPr>
        <w:rPr/>
      </w:pPr>
      <w:r>
        <w:rPr/>
        <w:t xml:space="preserve">Priority and issue: ______________________________</w:t>
      </w:r>
    </w:p>
    <w:p w14:paraId="00000018">
      <w:pPr>
        <w:rPr/>
      </w:pPr>
      <w:r>
        <w:rPr/>
        <w:t xml:space="preserve">Proposed change and rationale or source: ______________________________</w:t>
      </w:r>
    </w:p>
    <w:p w14:paraId="00000018">
      <w:pPr>
        <w:rPr/>
      </w:pPr>
      <w:r>
        <w:rPr/>
        <w:t xml:space="preserve">Specialist review needed and relevant expertise: ______________________________</w:t>
      </w:r>
    </w:p>
    <w:p w14:paraId="00000018">
      <w:pPr>
        <w:rPr/>
      </w:pPr>
      <w:r>
        <w:rPr/>
        <w:t xml:space="preserve">Please identify which exercise-content or clinical-policy questions you can review within your qualifications, and which need a physiotherapist or another appropriately qualified professional. Privacy, consent and jurisdiction decisions need separate review and are not approved through this packet.</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Fitness Scribber PRD review</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Draft v0.1</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