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0" w:before="0"/>
        <w:jc w:val="center"/>
      </w:pPr>
      <w:r>
        <w:rPr>
          <w:rFonts w:ascii="Arial" w:cs="Arial" w:eastAsia="Arial" w:hAnsi="Arial"/>
          <w:b/>
          <w:bCs/>
          <w:color w:val="2C3E7A"/>
          <w:sz w:val="72"/>
          <w:szCs w:val="72"/>
        </w:rPr>
        <w:t xml:space="preserve">LET'S DATE AGAIN</w:t>
      </w:r>
    </w:p>
    <w:p>
      <w:pPr>
        <w:spacing w:after="0" w:before="60"/>
      </w:pPr>
      <w:r>
        <w:t xml:space="preserve"/>
      </w:r>
    </w:p>
    <w:p>
      <w:pPr>
        <w:jc w:val="center"/>
      </w:pPr>
      <w:r>
        <w:rPr>
          <w:rFonts w:ascii="Arial" w:cs="Arial" w:eastAsia="Arial" w:hAnsi="Arial"/>
          <w:b/>
          <w:bCs/>
          <w:color w:val="E74C5A"/>
          <w:sz w:val="36"/>
          <w:szCs w:val="36"/>
        </w:rPr>
        <w:t xml:space="preserve">Legal, Compliance &amp; Policy Framework</w:t>
      </w:r>
    </w:p>
    <w:p>
      <w:pPr>
        <w:spacing w:after="0" w:before="80"/>
      </w:pPr>
      <w:r>
        <w:t xml:space="preserve"/>
      </w:r>
    </w:p>
    <w:p>
      <w:pPr>
        <w:jc w:val="center"/>
      </w:pPr>
      <w:r>
        <w:rPr>
          <w:rFonts w:ascii="Arial" w:cs="Arial" w:eastAsia="Arial" w:hAnsi="Arial"/>
          <w:i/>
          <w:iCs/>
          <w:color w:val="555555"/>
          <w:sz w:val="24"/>
          <w:szCs w:val="24"/>
        </w:rPr>
        <w:t xml:space="preserve">The Relationship Wellness Platform</w:t>
      </w:r>
    </w:p>
    <w:p>
      <w:pPr>
        <w:spacing w:after="0" w:before="60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shd w:fill="EEF1F8" w:val="clear"/>
            <w:tcMar>
              <w:top w:type="dxa" w:w="120"/>
              <w:left w:type="dxa" w:w="180"/>
              <w:bottom w:type="dxa" w:w="120"/>
              <w:right w:type="dxa" w:w="180"/>
            </w:tcMar>
          </w:tcPr>
          <w:p>
            <w:pPr>
              <w:jc w:val="center"/>
            </w:pPr>
            <w:r>
              <w:rPr>
                <w:rFonts w:ascii="Arial" w:cs="Arial" w:eastAsia="Arial" w:hAnsi="Arial"/>
                <w:b/>
                <w:bCs/>
                <w:color w:val="2C3E7A"/>
                <w:sz w:val="18"/>
                <w:szCs w:val="18"/>
              </w:rPr>
              <w:t xml:space="preserve">Version</w:t>
            </w:r>
          </w:p>
          <w:p>
            <w:pPr>
              <w:jc w:val="center"/>
            </w:pPr>
            <w:r>
              <w:rPr>
                <w:rFonts w:ascii="Arial" w:cs="Arial" w:eastAsia="Arial" w:hAnsi="Arial"/>
                <w:color w:val="1A1A2E"/>
                <w:sz w:val="20"/>
                <w:szCs w:val="20"/>
              </w:rPr>
              <w:t xml:space="preserve">1.0 — 2025</w:t>
            </w:r>
          </w:p>
        </w:tc>
        <w:tc>
          <w:tcPr>
            <w:tcW w:type="dxa" w:w="3500"/>
            <w:tcBorders>
              <w:top w:val="none" w:color="FFFFFF" w:sz="0"/>
              <w:left w:val="none" w:color="FFFFFF" w:sz="0"/>
              <w:bottom w:val="none" w:color="FFFFFF" w:sz="0"/>
              <w:right w:val="none" w:color="FFFFFF" w:sz="0"/>
            </w:tcBorders>
            <w:shd w:fill="EEF1F8" w:val="clear"/>
            <w:tcMar>
              <w:top w:type="dxa" w:w="120"/>
              <w:left w:type="dxa" w:w="180"/>
              <w:bottom w:type="dxa" w:w="120"/>
              <w:right w:type="dxa" w:w="180"/>
            </w:tcMar>
          </w:tcPr>
          <w:p>
            <w:pPr>
              <w:jc w:val="center"/>
            </w:pPr>
            <w:r>
              <w:rPr>
                <w:rFonts w:ascii="Arial" w:cs="Arial" w:eastAsia="Arial" w:hAnsi="Arial"/>
                <w:b/>
                <w:bCs/>
                <w:color w:val="2C3E7A"/>
                <w:sz w:val="18"/>
                <w:szCs w:val="18"/>
              </w:rPr>
              <w:t xml:space="preserve">Classification</w:t>
            </w:r>
          </w:p>
          <w:p>
            <w:pPr>
              <w:jc w:val="center"/>
            </w:pPr>
            <w:r>
              <w:rPr>
                <w:rFonts w:ascii="Arial" w:cs="Arial" w:eastAsia="Arial" w:hAnsi="Arial"/>
                <w:color w:val="1A1A2E"/>
                <w:sz w:val="20"/>
                <w:szCs w:val="20"/>
              </w:rPr>
              <w:t xml:space="preserve">Strictly Confidential</w:t>
            </w:r>
          </w:p>
        </w:tc>
      </w:tr>
    </w:tbl>
    <w:p>
      <w:pPr>
        <w:spacing w:after="0" w:before="400"/>
      </w:pPr>
      <w:r>
        <w:t xml:space="preserve"/>
      </w:r>
    </w:p>
    <w:p>
      <w:pPr>
        <w:jc w:val="center"/>
      </w:pPr>
      <w:r>
        <w:rPr>
          <w:rFonts w:ascii="Arial" w:cs="Arial" w:eastAsia="Arial" w:hAnsi="Arial"/>
          <w:color w:val="555555"/>
          <w:sz w:val="20"/>
          <w:szCs w:val="20"/>
        </w:rPr>
        <w:t xml:space="preserve">Prepared by: Founding Team, Let's Date Again Pvt. Ltd.</w:t>
      </w:r>
    </w:p>
    <w:p>
      <w:pPr>
        <w:jc w:val="center"/>
      </w:pPr>
      <w:r>
        <w:rPr>
          <w:rFonts w:ascii="Arial" w:cs="Arial" w:eastAsia="Arial" w:hAnsi="Arial"/>
          <w:i/>
          <w:iCs/>
          <w:color w:val="E74C5A"/>
          <w:sz w:val="18"/>
          <w:szCs w:val="18"/>
        </w:rPr>
        <w:t xml:space="preserve">This document is a living framework and must be reviewed by a qualified legal counsel before execution.</w:t>
      </w:r>
    </w:p>
    <w:p>
      <w:r>
        <w:br w:type="page"/>
      </w:r>
    </w:p>
    <w:p>
      <w:pPr>
        <w:pStyle w:val="Heading1"/>
        <w:pBdr>
          <w:bottom w:val="single" w:color="2C3E7A" w:sz="4" w:space="6"/>
        </w:pBdr>
        <w:spacing w:after="160" w:before="400"/>
      </w:pPr>
      <w:r>
        <w:rPr>
          <w:rFonts w:ascii="Arial" w:cs="Arial" w:eastAsia="Arial" w:hAnsi="Arial"/>
          <w:b/>
          <w:bCs/>
          <w:color w:val="2C3E7A"/>
          <w:sz w:val="32"/>
          <w:szCs w:val="32"/>
        </w:rPr>
        <w:t xml:space="preserve">Executive Summary</w:t>
      </w:r>
    </w:p>
    <w:p>
      <w:pPr>
        <w:spacing w:after="80" w:before="60"/>
      </w:pPr>
      <w:r>
        <w:rPr>
          <w:rFonts w:ascii="Arial" w:cs="Arial" w:eastAsia="Arial" w:hAnsi="Arial"/>
          <w:color w:val="2D2D2D"/>
          <w:sz w:val="20"/>
          <w:szCs w:val="20"/>
        </w:rPr>
        <w:t xml:space="preserve">Let's Date Again (LDA) operates in one of the most sensitive digital verticals — emotional health, intimate relationship data, and AI-mediated communication between couples. This document serves as the founder's master blueprint for legal infrastructure: the policies that need to be drafted, the corporate paperwork that must be filed, the user-facing agreements required at launch, and the ongoing compliance obligations as we scale across India and internationally.</w:t>
      </w:r>
    </w:p>
    <w:p>
      <w:pPr>
        <w:spacing w:after="0" w:before="80"/>
      </w:pPr>
      <w:r>
        <w:t xml:space="preserve"/>
      </w:r>
    </w:p>
    <w:p>
      <w:pPr>
        <w:spacing w:after="80" w:before="60"/>
      </w:pPr>
      <w:r>
        <w:rPr>
          <w:rFonts w:ascii="Arial" w:cs="Arial" w:eastAsia="Arial" w:hAnsi="Arial"/>
          <w:b/>
          <w:bCs/>
          <w:color w:val="2D2D2D"/>
          <w:sz w:val="20"/>
          <w:szCs w:val="20"/>
        </w:rPr>
        <w:t xml:space="preserve">This framework covers seven core pillars:</w:t>
      </w:r>
    </w:p>
    <w:p>
      <w:pPr>
        <w:pStyle w:val="ListParagraph"/>
        <w:numPr>
          <w:ilvl w:val="0"/>
          <w:numId w:val="2"/>
        </w:numPr>
        <w:spacing w:after="40" w:before="40"/>
      </w:pPr>
      <w:r>
        <w:rPr>
          <w:rFonts w:ascii="Arial" w:cs="Arial" w:eastAsia="Arial" w:hAnsi="Arial"/>
          <w:b w:val="false"/>
          <w:bCs w:val="false"/>
          <w:color w:val="2D2D2D"/>
          <w:sz w:val="20"/>
          <w:szCs w:val="20"/>
        </w:rPr>
        <w:t xml:space="preserve">Corporate &amp; Company Formation Documents</w:t>
      </w:r>
    </w:p>
    <w:p>
      <w:pPr>
        <w:pStyle w:val="ListParagraph"/>
        <w:numPr>
          <w:ilvl w:val="0"/>
          <w:numId w:val="2"/>
        </w:numPr>
        <w:spacing w:after="40" w:before="40"/>
      </w:pPr>
      <w:r>
        <w:rPr>
          <w:rFonts w:ascii="Arial" w:cs="Arial" w:eastAsia="Arial" w:hAnsi="Arial"/>
          <w:b w:val="false"/>
          <w:bCs w:val="false"/>
          <w:color w:val="2D2D2D"/>
          <w:sz w:val="20"/>
          <w:szCs w:val="20"/>
        </w:rPr>
        <w:t xml:space="preserve">Intellectual Property Protection</w:t>
      </w:r>
    </w:p>
    <w:p>
      <w:pPr>
        <w:pStyle w:val="ListParagraph"/>
        <w:numPr>
          <w:ilvl w:val="0"/>
          <w:numId w:val="2"/>
        </w:numPr>
        <w:spacing w:after="40" w:before="40"/>
      </w:pPr>
      <w:r>
        <w:rPr>
          <w:rFonts w:ascii="Arial" w:cs="Arial" w:eastAsia="Arial" w:hAnsi="Arial"/>
          <w:b w:val="false"/>
          <w:bCs w:val="false"/>
          <w:color w:val="2D2D2D"/>
          <w:sz w:val="20"/>
          <w:szCs w:val="20"/>
        </w:rPr>
        <w:t xml:space="preserve">Data Privacy &amp; Security Compliance</w:t>
      </w:r>
    </w:p>
    <w:p>
      <w:pPr>
        <w:pStyle w:val="ListParagraph"/>
        <w:numPr>
          <w:ilvl w:val="0"/>
          <w:numId w:val="2"/>
        </w:numPr>
        <w:spacing w:after="40" w:before="40"/>
      </w:pPr>
      <w:r>
        <w:rPr>
          <w:rFonts w:ascii="Arial" w:cs="Arial" w:eastAsia="Arial" w:hAnsi="Arial"/>
          <w:b w:val="false"/>
          <w:bCs w:val="false"/>
          <w:color w:val="2D2D2D"/>
          <w:sz w:val="20"/>
          <w:szCs w:val="20"/>
        </w:rPr>
        <w:t xml:space="preserve">User-Facing Legal Agreements</w:t>
      </w:r>
    </w:p>
    <w:p>
      <w:pPr>
        <w:pStyle w:val="ListParagraph"/>
        <w:numPr>
          <w:ilvl w:val="0"/>
          <w:numId w:val="2"/>
        </w:numPr>
        <w:spacing w:after="40" w:before="40"/>
      </w:pPr>
      <w:r>
        <w:rPr>
          <w:rFonts w:ascii="Arial" w:cs="Arial" w:eastAsia="Arial" w:hAnsi="Arial"/>
          <w:b w:val="false"/>
          <w:bCs w:val="false"/>
          <w:color w:val="2D2D2D"/>
          <w:sz w:val="20"/>
          <w:szCs w:val="20"/>
        </w:rPr>
        <w:t xml:space="preserve">AI Ethics &amp; Liability Shield</w:t>
      </w:r>
    </w:p>
    <w:p>
      <w:pPr>
        <w:pStyle w:val="ListParagraph"/>
        <w:numPr>
          <w:ilvl w:val="0"/>
          <w:numId w:val="2"/>
        </w:numPr>
        <w:spacing w:after="40" w:before="40"/>
      </w:pPr>
      <w:r>
        <w:rPr>
          <w:rFonts w:ascii="Arial" w:cs="Arial" w:eastAsia="Arial" w:hAnsi="Arial"/>
          <w:b w:val="false"/>
          <w:bCs w:val="false"/>
          <w:color w:val="2D2D2D"/>
          <w:sz w:val="20"/>
          <w:szCs w:val="20"/>
        </w:rPr>
        <w:t xml:space="preserve">Revenue, Tax &amp; Financial Compliance</w:t>
      </w:r>
    </w:p>
    <w:p>
      <w:pPr>
        <w:pStyle w:val="ListParagraph"/>
        <w:numPr>
          <w:ilvl w:val="0"/>
          <w:numId w:val="2"/>
        </w:numPr>
        <w:spacing w:after="40" w:before="40"/>
      </w:pPr>
      <w:r>
        <w:rPr>
          <w:rFonts w:ascii="Arial" w:cs="Arial" w:eastAsia="Arial" w:hAnsi="Arial"/>
          <w:b w:val="false"/>
          <w:bCs w:val="false"/>
          <w:color w:val="2D2D2D"/>
          <w:sz w:val="20"/>
          <w:szCs w:val="20"/>
        </w:rPr>
        <w:t xml:space="preserve">International Expansion Legal Readiness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DEF0" w:val="clear"/>
            <w:tcMar>
              <w:top w:type="dxa" w:w="140"/>
              <w:left w:type="dxa" w:w="200"/>
              <w:bottom w:type="dxa" w:w="140"/>
              <w:right w:type="dxa" w:w="200"/>
            </w:tcMar>
          </w:tcPr>
          <w:p>
            <w:r>
              <w:rPr>
                <w:rFonts w:ascii="Arial" w:cs="Arial" w:eastAsia="Arial" w:hAnsi="Arial"/>
                <w:b/>
                <w:bCs/>
                <w:color w:val="2C3E7A"/>
                <w:sz w:val="22"/>
                <w:szCs w:val="22"/>
              </w:rPr>
              <w:t xml:space="preserve">⚠️  FOUNDER'S NOTE: Every policy listed here requires review and finalisation by a qualified advocate/solicitor. This document is a strategic blueprint, not a legal opinion. Jurisdiction-specific advice must be sought before launch.</w:t>
            </w:r>
          </w:p>
        </w:tc>
      </w:tr>
    </w:tbl>
    <w:p>
      <w:r>
        <w:br w:type="page"/>
      </w:r>
    </w:p>
    <w:p>
      <w:pPr>
        <w:pStyle w:val="Heading1"/>
        <w:pBdr>
          <w:bottom w:val="single" w:color="2C3E7A" w:sz="4" w:space="6"/>
        </w:pBdr>
        <w:spacing w:after="160" w:before="400"/>
      </w:pPr>
      <w:r>
        <w:rPr>
          <w:rFonts w:ascii="Arial" w:cs="Arial" w:eastAsia="Arial" w:hAnsi="Arial"/>
          <w:b/>
          <w:bCs/>
          <w:color w:val="2C3E7A"/>
          <w:sz w:val="32"/>
          <w:szCs w:val="32"/>
        </w:rPr>
        <w:t xml:space="preserve">1. Corporate Formation &amp; Company Documents</w:t>
      </w:r>
    </w:p>
    <w:p>
      <w:pPr>
        <w:pStyle w:val="Heading2"/>
        <w:spacing w:after="120" w:before="320"/>
      </w:pPr>
      <w:r>
        <w:rPr>
          <w:rFonts w:ascii="Arial" w:cs="Arial" w:eastAsia="Arial" w:hAnsi="Arial"/>
          <w:b/>
          <w:bCs/>
          <w:color w:val="E74C5A"/>
          <w:sz w:val="26"/>
          <w:szCs w:val="26"/>
        </w:rPr>
        <w:t xml:space="preserve">1.1  Company Incorporation</w:t>
      </w:r>
    </w:p>
    <w:p>
      <w:pPr>
        <w:spacing w:after="80" w:before="60"/>
      </w:pPr>
      <w:r>
        <w:rPr>
          <w:rFonts w:ascii="Arial" w:cs="Arial" w:eastAsia="Arial" w:hAnsi="Arial"/>
          <w:color w:val="2D2D2D"/>
          <w:sz w:val="20"/>
          <w:szCs w:val="20"/>
        </w:rPr>
        <w:t xml:space="preserve">Let's Date Again must be incorporated as a Private Limited Company under the Companies Act, 2013 (India). This is the preferred structure for a venture-backed tech startup. The following documents are required: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Details / Action Required</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Certificate of Incorporation</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File SPICe+ form with MCA. Obtain CIN. Required before any legal contracts.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Memorandum of Association (MoA)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Define objects clause to explicitly include: mobile applications, AI services, digital wellness, therapy marketplace, SaaS subscriptions, and international licensing.</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Articles of Association (AoA)</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Define share classes, voting rights, board composition, quorum, and dividend policy. Customise for founder/investor rights.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Digital Signature Certificates (DSC)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Obtain for all directors (Class 3 DSC). Required for MCA filings.</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Director Identification Numbers (DIN)</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Apply via MCA for all directors before incorporation.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PAN &amp; TAN of Company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Apply simultaneously with incorporation. Required for banking and tax.</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GST Registration</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Mandatory if annual revenue exceeds ₹20L (services). Apply within 30 days of commencement. For SaaS: 18% GST applies.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MSME Registration (Udyam)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Optional but recommended. Provides priority lending, government scheme access, and credibility.</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Startup India Recognition (DPIIT)</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Register on Startup India portal. Enables tax exemptions under Sec 80-IAC and angel tax exemption under Sec 56(2)(viib).</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Trademark Registration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File for 'Let's Date Again' wordmark + logo under Class 42 (technology services) and Class 45 (personal &amp; social services) with Trade Marks Registry, India.</w:t>
            </w:r>
          </w:p>
        </w:tc>
      </w:tr>
    </w:tbl>
    <w:p>
      <w:pPr>
        <w:spacing w:after="0" w:before="120"/>
      </w:pPr>
      <w:r>
        <w:t xml:space="preserve"/>
      </w:r>
    </w:p>
    <w:p>
      <w:pPr>
        <w:pStyle w:val="Heading2"/>
        <w:spacing w:after="120" w:before="320"/>
      </w:pPr>
      <w:r>
        <w:rPr>
          <w:rFonts w:ascii="Arial" w:cs="Arial" w:eastAsia="Arial" w:hAnsi="Arial"/>
          <w:b/>
          <w:bCs/>
          <w:color w:val="E74C5A"/>
          <w:sz w:val="26"/>
          <w:szCs w:val="26"/>
        </w:rPr>
        <w:t xml:space="preserve">1.2  Founder &amp; Shareholder Agreements</w:t>
      </w:r>
    </w:p>
    <w:p>
      <w:pPr>
        <w:spacing w:after="80" w:before="60"/>
      </w:pPr>
      <w:r>
        <w:rPr>
          <w:rFonts w:ascii="Arial" w:cs="Arial" w:eastAsia="Arial" w:hAnsi="Arial"/>
          <w:color w:val="2D2D2D"/>
          <w:sz w:val="20"/>
          <w:szCs w:val="20"/>
        </w:rPr>
        <w:t xml:space="preserve">These are the most critical internal governance documents and must be signed before any external capital is raised: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Key Clauses to Include</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Co-Founder Agreement</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Equity split, vesting schedule (4-year, 1-year cliff), IP assignment clause, roles &amp; responsibilities, deadlock resolution, non-compete, buy-sell provisions.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Shareholders' Agreement (SHA)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Pre-emptive rights, anti-dilution protection (broad-based weighted average), drag-along / tag-along, board composition, reserved matters requiring investor consent.</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ESOP Policy &amp; Plan</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Employee stock option pool size (typically 10–15%), grant/vesting schedule, exercise price, good leaver/bad leaver provisions, accelerated vesting on acquisition.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Vesting Agreement (each founder)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Individual vesting schedule, cliff date, acceleration triggers (single/double trigger), leaver provisions, clawback mechanism.</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IP Assignment Agreement</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All pre-incorporation IP (code, designs, brand assets) formally assigned to the company. Must be signed by every founder and early contributor.</w:t>
            </w:r>
          </w:p>
        </w:tc>
      </w:tr>
    </w:tbl>
    <w:p>
      <w:pPr>
        <w:spacing w:after="0" w:before="120"/>
      </w:pPr>
      <w:r>
        <w:t xml:space="preserve"/>
      </w:r>
    </w:p>
    <w:p>
      <w:pPr>
        <w:pStyle w:val="Heading2"/>
        <w:spacing w:after="120" w:before="320"/>
      </w:pPr>
      <w:r>
        <w:rPr>
          <w:rFonts w:ascii="Arial" w:cs="Arial" w:eastAsia="Arial" w:hAnsi="Arial"/>
          <w:b/>
          <w:bCs/>
          <w:color w:val="E74C5A"/>
          <w:sz w:val="26"/>
          <w:szCs w:val="26"/>
        </w:rPr>
        <w:t xml:space="preserve">1.3  Investor Documentation (Seed Round)</w:t>
      </w:r>
    </w:p>
    <w:p>
      <w:pPr>
        <w:spacing w:after="80" w:before="60"/>
      </w:pPr>
      <w:r>
        <w:rPr>
          <w:rFonts w:ascii="Arial" w:cs="Arial" w:eastAsia="Arial" w:hAnsi="Arial"/>
          <w:color w:val="2D2D2D"/>
          <w:sz w:val="20"/>
          <w:szCs w:val="20"/>
        </w:rPr>
        <w:t xml:space="preserve">For the ₹3–5 Crore seed round, the following legal instruments will be required: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Term Sheet</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Non-binding summary of deal terms: valuation, instrument type (CCPS or SAFE), board rights, protective provisions, pro-rata rights.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Subscription Agreement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Legally binding agreement for investor to subscribe to shares/CCPS. Includes representations &amp; warranties by the company.</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Share Purchase Agreement (SPA)</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Governs the actual purchase/transfer of shares. Includes conditions precedent, completion mechanics, indemnities.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Investor Rights Agreement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Information rights (monthly MIS, annual audited accounts), inspection rights, first refusal on future rounds.</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Board Resolution</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Board approval of fundraise, allotment, updated cap table, and SHA. Filed with ROC (Form PAS-3).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Disclosure Letter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Company discloses all material facts, liabilities, and exceptions to warranties given in SPA. Reduces investor's warranty claim risk.</w:t>
            </w:r>
          </w:p>
        </w:tc>
      </w:tr>
    </w:tbl>
    <w:p>
      <w:r>
        <w:br w:type="page"/>
      </w:r>
    </w:p>
    <w:p>
      <w:pPr>
        <w:pStyle w:val="Heading1"/>
        <w:pBdr>
          <w:bottom w:val="single" w:color="2C3E7A" w:sz="4" w:space="6"/>
        </w:pBdr>
        <w:spacing w:after="160" w:before="400"/>
      </w:pPr>
      <w:r>
        <w:rPr>
          <w:rFonts w:ascii="Arial" w:cs="Arial" w:eastAsia="Arial" w:hAnsi="Arial"/>
          <w:b/>
          <w:bCs/>
          <w:color w:val="2C3E7A"/>
          <w:sz w:val="32"/>
          <w:szCs w:val="32"/>
        </w:rPr>
        <w:t xml:space="preserve">2. Intellectual Property Protection</w:t>
      </w:r>
    </w:p>
    <w:p>
      <w:pPr>
        <w:pStyle w:val="Heading2"/>
        <w:spacing w:after="120" w:before="320"/>
      </w:pPr>
      <w:r>
        <w:rPr>
          <w:rFonts w:ascii="Arial" w:cs="Arial" w:eastAsia="Arial" w:hAnsi="Arial"/>
          <w:b/>
          <w:bCs/>
          <w:color w:val="E74C5A"/>
          <w:sz w:val="26"/>
          <w:szCs w:val="26"/>
        </w:rPr>
        <w:t xml:space="preserve">2.1  Trademark &amp; Brand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Asset to Protect</w:t>
            </w:r>
          </w:p>
        </w:tc>
        <w:tc>
          <w:tcPr>
            <w:tcW w:type="dxa" w:w="5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'Let's Date Again' wordmark</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File TM application under Classes 42 &amp; 45. Consider Class 9 (software) and Class 44 (medical/mental health services) for future.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'LDA' abbreviation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File separately as a wordmark. Prevent third-party confusion as the brand scales.</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App logo / icon</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File as a device mark with the wordmark. Register in colour and B&amp;W variants.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Taglines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'Save Indian Marriages' or any campaign taglines — file if used consistently in commerce.</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International TM (Phase 2)</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Madrid Protocol filing for UAE, UK, US, Singapore once India TM is secured. Budget: approx $3,000–5,000 per jurisdiction.</w:t>
            </w:r>
          </w:p>
        </w:tc>
      </w:tr>
    </w:tbl>
    <w:p>
      <w:pPr>
        <w:spacing w:after="0" w:before="120"/>
      </w:pPr>
      <w:r>
        <w:t xml:space="preserve"/>
      </w:r>
    </w:p>
    <w:p>
      <w:pPr>
        <w:pStyle w:val="Heading2"/>
        <w:spacing w:after="120" w:before="320"/>
      </w:pPr>
      <w:r>
        <w:rPr>
          <w:rFonts w:ascii="Arial" w:cs="Arial" w:eastAsia="Arial" w:hAnsi="Arial"/>
          <w:b/>
          <w:bCs/>
          <w:color w:val="E74C5A"/>
          <w:sz w:val="26"/>
          <w:szCs w:val="26"/>
        </w:rPr>
        <w:t xml:space="preserve">2.2  Copyright &amp; Trade Secrets</w:t>
      </w:r>
    </w:p>
    <w:p>
      <w:pPr>
        <w:spacing w:after="80" w:before="60"/>
      </w:pPr>
      <w:r>
        <w:rPr>
          <w:rFonts w:ascii="Arial" w:cs="Arial" w:eastAsia="Arial" w:hAnsi="Arial"/>
          <w:color w:val="2D2D2D"/>
          <w:sz w:val="20"/>
          <w:szCs w:val="20"/>
        </w:rPr>
        <w:t xml:space="preserve">Copyright protection arises automatically in India under the Copyright Act, 1957 but registration provides legal advantage in disputes:</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2D2D2D"/>
          <w:sz w:val="20"/>
          <w:szCs w:val="20"/>
        </w:rPr>
        <w:t xml:space="preserve">Register source code, AI model prompts, and app UI/UX designs with the Copyright Office, India.</w:t>
      </w:r>
    </w:p>
    <w:p>
      <w:pPr>
        <w:pStyle w:val="ListParagraph"/>
        <w:numPr>
          <w:ilvl w:val="0"/>
          <w:numId w:val="2"/>
        </w:numPr>
        <w:spacing w:after="40" w:before="40"/>
      </w:pPr>
      <w:r>
        <w:rPr>
          <w:rFonts w:ascii="Arial" w:cs="Arial" w:eastAsia="Arial" w:hAnsi="Arial"/>
          <w:b w:val="false"/>
          <w:bCs w:val="false"/>
          <w:color w:val="2D2D2D"/>
          <w:sz w:val="20"/>
          <w:szCs w:val="20"/>
        </w:rPr>
        <w:t xml:space="preserve">All AI prompt engineering, emotional translation logic, and couple-pattern detection algorithms are trade secrets. Protect via strict NDA + access controls.</w:t>
      </w:r>
    </w:p>
    <w:p>
      <w:pPr>
        <w:pStyle w:val="ListParagraph"/>
        <w:numPr>
          <w:ilvl w:val="0"/>
          <w:numId w:val="2"/>
        </w:numPr>
        <w:spacing w:after="40" w:before="40"/>
      </w:pPr>
      <w:r>
        <w:rPr>
          <w:rFonts w:ascii="Arial" w:cs="Arial" w:eastAsia="Arial" w:hAnsi="Arial"/>
          <w:b w:val="false"/>
          <w:bCs w:val="false"/>
          <w:color w:val="2D2D2D"/>
          <w:sz w:val="20"/>
          <w:szCs w:val="20"/>
        </w:rPr>
        <w:t xml:space="preserve">Maintain a 'Trade Secret Register' documenting proprietary methodologies with access logs.</w:t>
      </w:r>
    </w:p>
    <w:p>
      <w:pPr>
        <w:pStyle w:val="ListParagraph"/>
        <w:numPr>
          <w:ilvl w:val="0"/>
          <w:numId w:val="2"/>
        </w:numPr>
        <w:spacing w:after="40" w:before="40"/>
      </w:pPr>
      <w:r>
        <w:rPr>
          <w:rFonts w:ascii="Arial" w:cs="Arial" w:eastAsia="Arial" w:hAnsi="Arial"/>
          <w:b w:val="false"/>
          <w:bCs w:val="false"/>
          <w:color w:val="2D2D2D"/>
          <w:sz w:val="20"/>
          <w:szCs w:val="20"/>
        </w:rPr>
        <w:t xml:space="preserve">Original written content (app copy, communication scripts, therapist programme content) should be registered as literary works.</w:t>
      </w:r>
    </w:p>
    <w:p>
      <w:pPr>
        <w:spacing w:after="0" w:before="120"/>
      </w:pPr>
      <w:r>
        <w:t xml:space="preserve"/>
      </w:r>
    </w:p>
    <w:p>
      <w:pPr>
        <w:pStyle w:val="Heading2"/>
        <w:spacing w:after="120" w:before="320"/>
      </w:pPr>
      <w:r>
        <w:rPr>
          <w:rFonts w:ascii="Arial" w:cs="Arial" w:eastAsia="Arial" w:hAnsi="Arial"/>
          <w:b/>
          <w:bCs/>
          <w:color w:val="E74C5A"/>
          <w:sz w:val="26"/>
          <w:szCs w:val="26"/>
        </w:rPr>
        <w:t xml:space="preserve">2.3  Patent Strategy</w:t>
      </w:r>
    </w:p>
    <w:p>
      <w:pPr>
        <w:spacing w:after="80" w:before="60"/>
      </w:pPr>
      <w:r>
        <w:rPr>
          <w:rFonts w:ascii="Arial" w:cs="Arial" w:eastAsia="Arial" w:hAnsi="Arial"/>
          <w:color w:val="2D2D2D"/>
          <w:sz w:val="20"/>
          <w:szCs w:val="20"/>
        </w:rPr>
        <w:t xml:space="preserve">While full patent protection is expensive, LDA should evaluate filing provisional patents for:</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2D2D2D"/>
          <w:sz w:val="20"/>
          <w:szCs w:val="20"/>
        </w:rPr>
        <w:t xml:space="preserve">AI-powered emotional translation engine (converting raw emotional input to calibrated communication)</w:t>
      </w:r>
    </w:p>
    <w:p>
      <w:pPr>
        <w:pStyle w:val="ListParagraph"/>
        <w:numPr>
          <w:ilvl w:val="0"/>
          <w:numId w:val="2"/>
        </w:numPr>
        <w:spacing w:after="40" w:before="40"/>
      </w:pPr>
      <w:r>
        <w:rPr>
          <w:rFonts w:ascii="Arial" w:cs="Arial" w:eastAsia="Arial" w:hAnsi="Arial"/>
          <w:b w:val="false"/>
          <w:bCs w:val="false"/>
          <w:color w:val="2D2D2D"/>
          <w:sz w:val="20"/>
          <w:szCs w:val="20"/>
        </w:rPr>
        <w:t xml:space="preserve">Couple communication pattern analysis and proactive conflict-prediction algorithm</w:t>
      </w:r>
    </w:p>
    <w:p>
      <w:pPr>
        <w:pStyle w:val="ListParagraph"/>
        <w:numPr>
          <w:ilvl w:val="0"/>
          <w:numId w:val="2"/>
        </w:numPr>
        <w:spacing w:after="40" w:before="40"/>
      </w:pPr>
      <w:r>
        <w:rPr>
          <w:rFonts w:ascii="Arial" w:cs="Arial" w:eastAsia="Arial" w:hAnsi="Arial"/>
          <w:b w:val="false"/>
          <w:bCs w:val="false"/>
          <w:color w:val="2D2D2D"/>
          <w:sz w:val="20"/>
          <w:szCs w:val="20"/>
        </w:rPr>
        <w:t xml:space="preserve">Tone-calibration mechanism for reactive message softening</w:t>
      </w:r>
    </w:p>
    <w:p>
      <w:pPr>
        <w:spacing w:after="0" w:before="60"/>
      </w:pPr>
      <w:r>
        <w:t xml:space="preserve"/>
      </w:r>
    </w:p>
    <w:p>
      <w:pPr>
        <w:spacing w:after="80" w:before="60"/>
      </w:pPr>
      <w:r>
        <w:rPr>
          <w:rFonts w:ascii="Arial" w:cs="Arial" w:eastAsia="Arial" w:hAnsi="Arial"/>
          <w:color w:val="2D2D2D"/>
          <w:sz w:val="20"/>
          <w:szCs w:val="20"/>
        </w:rPr>
        <w:t xml:space="preserve">Provisional patent applications can be filed in India with the Patent Office (Chennai/Delhi/Mumbai/Kolkata) within 12 months of concept development. This establishes a priority date at low cost.</w:t>
      </w:r>
    </w:p>
    <w:p>
      <w:pPr>
        <w:spacing w:after="0" w:before="120"/>
      </w:pPr>
      <w:r>
        <w:t xml:space="preserve"/>
      </w:r>
    </w:p>
    <w:p>
      <w:pPr>
        <w:pStyle w:val="Heading2"/>
        <w:spacing w:after="120" w:before="320"/>
      </w:pPr>
      <w:r>
        <w:rPr>
          <w:rFonts w:ascii="Arial" w:cs="Arial" w:eastAsia="Arial" w:hAnsi="Arial"/>
          <w:b/>
          <w:bCs/>
          <w:color w:val="E74C5A"/>
          <w:sz w:val="26"/>
          <w:szCs w:val="26"/>
        </w:rPr>
        <w:t xml:space="preserve">2.4  Domain &amp; Digital Asset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5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letsdateagain.com / .in / .app</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Register all TLDs immediately. Also register common misspellings.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Social media handles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Secure @letsdateagain across Instagram, YouTube, LinkedIn, X, TikTok, Threads before public launch.</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App Store listings</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Register on Apple App Store and Google Play Store. Ensure developer accounts are in the company's name, not personal accounts.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SSL Certificates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Deploy Extended Validation (EV) SSL on all web properties for user trust and data security.</w:t>
            </w:r>
          </w:p>
        </w:tc>
      </w:tr>
    </w:tbl>
    <w:p>
      <w:r>
        <w:br w:type="page"/>
      </w:r>
    </w:p>
    <w:p>
      <w:pPr>
        <w:pStyle w:val="Heading1"/>
        <w:pBdr>
          <w:bottom w:val="single" w:color="2C3E7A" w:sz="4" w:space="6"/>
        </w:pBdr>
        <w:spacing w:after="160" w:before="400"/>
      </w:pPr>
      <w:r>
        <w:rPr>
          <w:rFonts w:ascii="Arial" w:cs="Arial" w:eastAsia="Arial" w:hAnsi="Arial"/>
          <w:b/>
          <w:bCs/>
          <w:color w:val="2C3E7A"/>
          <w:sz w:val="32"/>
          <w:szCs w:val="32"/>
        </w:rPr>
        <w:t xml:space="preserve">3. Data Privacy, Security &amp; AI Compliance</w:t>
      </w:r>
    </w:p>
    <w:p>
      <w:pPr>
        <w:pStyle w:val="Heading2"/>
        <w:spacing w:after="120" w:before="320"/>
      </w:pPr>
      <w:r>
        <w:rPr>
          <w:rFonts w:ascii="Arial" w:cs="Arial" w:eastAsia="Arial" w:hAnsi="Arial"/>
          <w:b/>
          <w:bCs/>
          <w:color w:val="E74C5A"/>
          <w:sz w:val="26"/>
          <w:szCs w:val="26"/>
        </w:rPr>
        <w:t xml:space="preserve">3.1  Why This Section is Mission-Critical for LDA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1F8" w:val="clear"/>
            <w:tcMar>
              <w:top w:type="dxa" w:w="140"/>
              <w:left w:type="dxa" w:w="200"/>
              <w:bottom w:type="dxa" w:w="140"/>
              <w:right w:type="dxa" w:w="200"/>
            </w:tcMar>
          </w:tcPr>
          <w:p>
            <w:r>
              <w:rPr>
                <w:rFonts w:ascii="Arial" w:cs="Arial" w:eastAsia="Arial" w:hAnsi="Arial"/>
                <w:b/>
                <w:bCs/>
                <w:color w:val="2C3E7A"/>
                <w:sz w:val="22"/>
                <w:szCs w:val="22"/>
              </w:rPr>
              <w:t xml:space="preserve">LDA processes the most sensitive category of personal data: intimate relationship communications, emotional disclosures, conflict patterns, and mental health indicators. A single data breach or policy violation could be catastrophically reputational. Privacy is our product promise — it must be legally bulletproof.</w:t>
            </w:r>
          </w:p>
        </w:tc>
      </w:tr>
    </w:tbl>
    <w:p>
      <w:pPr>
        <w:spacing w:after="0" w:before="120"/>
      </w:pPr>
      <w:r>
        <w:t xml:space="preserve"/>
      </w:r>
    </w:p>
    <w:p>
      <w:pPr>
        <w:pStyle w:val="Heading2"/>
        <w:spacing w:after="120" w:before="320"/>
      </w:pPr>
      <w:r>
        <w:rPr>
          <w:rFonts w:ascii="Arial" w:cs="Arial" w:eastAsia="Arial" w:hAnsi="Arial"/>
          <w:b/>
          <w:bCs/>
          <w:color w:val="E74C5A"/>
          <w:sz w:val="26"/>
          <w:szCs w:val="26"/>
        </w:rPr>
        <w:t xml:space="preserve">3.2  Indian Data Protection Compliance</w:t>
      </w:r>
    </w:p>
    <w:p>
      <w:pPr>
        <w:spacing w:after="80" w:before="60"/>
      </w:pPr>
      <w:r>
        <w:rPr>
          <w:rFonts w:ascii="Arial" w:cs="Arial" w:eastAsia="Arial" w:hAnsi="Arial"/>
          <w:color w:val="2D2D2D"/>
          <w:sz w:val="20"/>
          <w:szCs w:val="20"/>
        </w:rPr>
        <w:t xml:space="preserve">India's Digital Personal Data Protection Act, 2023 (DPDPA) is the governing framework. Key obligations: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Obligation</w:t>
            </w:r>
          </w:p>
        </w:tc>
        <w:tc>
          <w:tcPr>
            <w:tcW w:type="dxa" w:w="5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LDA-Specific Requirement</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Lawful Basis for Processing</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Primary basis: Consent. Obtain explicit, informed, freely given consent from both partners separately at onboarding. Maintain timestamped consent records.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Data Fiduciary Registration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Register as a Significant Data Fiduciary if user numbers exceed threshold (likely once we cross 500K users). Monitor DPDPA rules as they are notified.</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Data Principal Rights</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Build in-app tools for users to: access their data, correct inaccuracies, erase account data, and nominate a data principal (for deceased users). Response time: 72 hours.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Sensitive Personal Data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Relationship data, mental health disclosures, and communication content qualify as sensitive data. Apply heightened protections: encryption at rest and in transit, restricted access.</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Data Localisation</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Store all Indian user data on servers in India (AWS Mumbai / Azure India). Do not route Indian user data through overseas servers without adequate safeguards.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Breach Notification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Notify users and Data Protection Board within 72 hours of a breach. Maintain an Incident Response Plan (IRP).</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Data Retention Policy</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Define and publish retention periods: active accounts, inactive accounts (12 months), deleted accounts (30-day grace, then permanent deletion).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Children's Data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Strictly no users under 18. Implement age-gate at onboarding. No processing of children's data under any circumstances.</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Data Protection Officer (DPO)</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Appoint a DPO (can be internal initially). Publish DPO contact in Privacy Policy. DPO must be accessible to users.</w:t>
            </w:r>
          </w:p>
        </w:tc>
      </w:tr>
    </w:tbl>
    <w:p>
      <w:pPr>
        <w:spacing w:after="0" w:before="120"/>
      </w:pPr>
      <w:r>
        <w:t xml:space="preserve"/>
      </w:r>
    </w:p>
    <w:p>
      <w:pPr>
        <w:pStyle w:val="Heading2"/>
        <w:spacing w:after="120" w:before="320"/>
      </w:pPr>
      <w:r>
        <w:rPr>
          <w:rFonts w:ascii="Arial" w:cs="Arial" w:eastAsia="Arial" w:hAnsi="Arial"/>
          <w:b/>
          <w:bCs/>
          <w:color w:val="E74C5A"/>
          <w:sz w:val="26"/>
          <w:szCs w:val="26"/>
        </w:rPr>
        <w:t xml:space="preserve">3.3  International Data Compliance (For NRI &amp; Global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W w:type="dxa" w:w="5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Applicable Law &amp; Key Requirements</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European Union / UK</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GDPR / UK GDPR. Requires: DPA with EU/UK standard contractual clauses (SCCs), explicit consent, right to erasure, data portability, DPO appointment. Appoint an EU representative.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United States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No single federal law but California CCPA/CPRA applies to California users. States: 'Do Not Sell My Data' rights. Health data: consider HIPAA implications if integrating with therapy providers.</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UAE / Middle East</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UAE PDPL (Federal Decree No. 45 of 2021). Requires data localisation for UAE data. DIFC/ADGM regulations apply if operating from free zones.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Indonesia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Government Regulation No. 71/2019 on Electronic Systems. Personal data processing registration required with KOMINFO.</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Singapore</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PDPA 2012. Mandatory Data Breach Notification. Relatively low compliance burden — good pilot jurisdiction for SEA.</w:t>
            </w:r>
          </w:p>
        </w:tc>
      </w:tr>
    </w:tbl>
    <w:p>
      <w:pPr>
        <w:spacing w:after="0" w:before="120"/>
      </w:pPr>
      <w:r>
        <w:t xml:space="preserve"/>
      </w:r>
    </w:p>
    <w:p>
      <w:pPr>
        <w:pStyle w:val="Heading2"/>
        <w:spacing w:after="120" w:before="320"/>
      </w:pPr>
      <w:r>
        <w:rPr>
          <w:rFonts w:ascii="Arial" w:cs="Arial" w:eastAsia="Arial" w:hAnsi="Arial"/>
          <w:b/>
          <w:bCs/>
          <w:color w:val="E74C5A"/>
          <w:sz w:val="26"/>
          <w:szCs w:val="26"/>
        </w:rPr>
        <w:t xml:space="preserve">3.4  AI-Specific Compliance &amp; Ethics</w:t>
      </w:r>
    </w:p>
    <w:p>
      <w:pPr>
        <w:spacing w:after="80" w:before="60"/>
      </w:pPr>
      <w:r>
        <w:rPr>
          <w:rFonts w:ascii="Arial" w:cs="Arial" w:eastAsia="Arial" w:hAnsi="Arial"/>
          <w:color w:val="2D2D2D"/>
          <w:sz w:val="20"/>
          <w:szCs w:val="20"/>
        </w:rPr>
        <w:t xml:space="preserve">LDA's core product is AI-mediated. The following policies must be documented and published: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Policy / Document</w:t>
            </w:r>
          </w:p>
        </w:tc>
        <w:tc>
          <w:tcPr>
            <w:tcW w:type="dxa" w:w="5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Content Required</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AI Ethics Policy</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State clearly: AI does not provide therapeutic advice. AI is a communication tool, not a licensed counsellor. Scope of AI actions is limited to tone calibration and prompt generation.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Algorithmic Transparency Notice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Explain in plain language how the personalisation engine works. Disclose: data inputs used, types of inferences made, and how recommendations are generated.</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Human Oversight Declaration</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All AI-generated communications are tools for the user. Final send decision is always with the user. No autonomous AI-to-partner messaging.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Bias &amp; Fairness Audit Plan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Annual audit of AI outputs for gender bias, cultural bias, and language bias. Document methodology and publish summary.</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AI Data Usage Policy</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Clarify: does anonymised conversation data train future AI models? Users must consent separately to this. Provide opt-out.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Crisis Protocol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If AI detects crisis language (domestic violence, suicidal ideation), define escalation flow: in-app crisis resources displayed, AI exits advisory mode, no automated response to crisis content.</w:t>
            </w:r>
          </w:p>
        </w:tc>
      </w:tr>
    </w:tbl>
    <w:p>
      <w:pPr>
        <w:spacing w:after="0" w:before="120"/>
      </w:pPr>
      <w:r>
        <w:t xml:space="preserve"/>
      </w:r>
    </w:p>
    <w:p>
      <w:pPr>
        <w:pStyle w:val="Heading2"/>
        <w:spacing w:after="120" w:before="320"/>
      </w:pPr>
      <w:r>
        <w:rPr>
          <w:rFonts w:ascii="Arial" w:cs="Arial" w:eastAsia="Arial" w:hAnsi="Arial"/>
          <w:b/>
          <w:bCs/>
          <w:color w:val="E74C5A"/>
          <w:sz w:val="26"/>
          <w:szCs w:val="26"/>
        </w:rPr>
        <w:t xml:space="preserve">3.5  Security Infrastructure Requirements</w:t>
      </w:r>
    </w:p>
    <w:p>
      <w:pPr>
        <w:pStyle w:val="ListParagraph"/>
        <w:numPr>
          <w:ilvl w:val="0"/>
          <w:numId w:val="2"/>
        </w:numPr>
        <w:spacing w:after="40" w:before="40"/>
      </w:pPr>
      <w:r>
        <w:rPr>
          <w:rFonts w:ascii="Arial" w:cs="Arial" w:eastAsia="Arial" w:hAnsi="Arial"/>
          <w:b w:val="false"/>
          <w:bCs w:val="false"/>
          <w:color w:val="2D2D2D"/>
          <w:sz w:val="20"/>
          <w:szCs w:val="20"/>
        </w:rPr>
        <w:t xml:space="preserve">End-to-end encryption (E2EE) for all in-couple private messages</w:t>
      </w:r>
    </w:p>
    <w:p>
      <w:pPr>
        <w:pStyle w:val="ListParagraph"/>
        <w:numPr>
          <w:ilvl w:val="0"/>
          <w:numId w:val="2"/>
        </w:numPr>
        <w:spacing w:after="40" w:before="40"/>
      </w:pPr>
      <w:r>
        <w:rPr>
          <w:rFonts w:ascii="Arial" w:cs="Arial" w:eastAsia="Arial" w:hAnsi="Arial"/>
          <w:b w:val="false"/>
          <w:bCs w:val="false"/>
          <w:color w:val="2D2D2D"/>
          <w:sz w:val="20"/>
          <w:szCs w:val="20"/>
        </w:rPr>
        <w:t xml:space="preserve">AES-256 encryption at rest for all stored relationship data</w:t>
      </w:r>
    </w:p>
    <w:p>
      <w:pPr>
        <w:pStyle w:val="ListParagraph"/>
        <w:numPr>
          <w:ilvl w:val="0"/>
          <w:numId w:val="2"/>
        </w:numPr>
        <w:spacing w:after="40" w:before="40"/>
      </w:pPr>
      <w:r>
        <w:rPr>
          <w:rFonts w:ascii="Arial" w:cs="Arial" w:eastAsia="Arial" w:hAnsi="Arial"/>
          <w:b w:val="false"/>
          <w:bCs w:val="false"/>
          <w:color w:val="2D2D2D"/>
          <w:sz w:val="20"/>
          <w:szCs w:val="20"/>
        </w:rPr>
        <w:t xml:space="preserve">TLS 1.3 for all data in transit</w:t>
      </w:r>
    </w:p>
    <w:p>
      <w:pPr>
        <w:pStyle w:val="ListParagraph"/>
        <w:numPr>
          <w:ilvl w:val="0"/>
          <w:numId w:val="2"/>
        </w:numPr>
        <w:spacing w:after="40" w:before="40"/>
      </w:pPr>
      <w:r>
        <w:rPr>
          <w:rFonts w:ascii="Arial" w:cs="Arial" w:eastAsia="Arial" w:hAnsi="Arial"/>
          <w:b w:val="false"/>
          <w:bCs w:val="false"/>
          <w:color w:val="2D2D2D"/>
          <w:sz w:val="20"/>
          <w:szCs w:val="20"/>
        </w:rPr>
        <w:t xml:space="preserve">Annual penetration testing by a certified third party (CERT-In empanelled)</w:t>
      </w:r>
    </w:p>
    <w:p>
      <w:pPr>
        <w:pStyle w:val="ListParagraph"/>
        <w:numPr>
          <w:ilvl w:val="0"/>
          <w:numId w:val="2"/>
        </w:numPr>
        <w:spacing w:after="40" w:before="40"/>
      </w:pPr>
      <w:r>
        <w:rPr>
          <w:rFonts w:ascii="Arial" w:cs="Arial" w:eastAsia="Arial" w:hAnsi="Arial"/>
          <w:b w:val="false"/>
          <w:bCs w:val="false"/>
          <w:color w:val="2D2D2D"/>
          <w:sz w:val="20"/>
          <w:szCs w:val="20"/>
        </w:rPr>
        <w:t xml:space="preserve">ISO 27001 certification roadmap — target within 18 months of launch</w:t>
      </w:r>
    </w:p>
    <w:p>
      <w:pPr>
        <w:pStyle w:val="ListParagraph"/>
        <w:numPr>
          <w:ilvl w:val="0"/>
          <w:numId w:val="2"/>
        </w:numPr>
        <w:spacing w:after="40" w:before="40"/>
      </w:pPr>
      <w:r>
        <w:rPr>
          <w:rFonts w:ascii="Arial" w:cs="Arial" w:eastAsia="Arial" w:hAnsi="Arial"/>
          <w:b w:val="false"/>
          <w:bCs w:val="false"/>
          <w:color w:val="2D2D2D"/>
          <w:sz w:val="20"/>
          <w:szCs w:val="20"/>
        </w:rPr>
        <w:t xml:space="preserve">SOC 2 Type II certification — required before US market expansion</w:t>
      </w:r>
    </w:p>
    <w:p>
      <w:pPr>
        <w:pStyle w:val="ListParagraph"/>
        <w:numPr>
          <w:ilvl w:val="0"/>
          <w:numId w:val="2"/>
        </w:numPr>
        <w:spacing w:after="40" w:before="40"/>
      </w:pPr>
      <w:r>
        <w:rPr>
          <w:rFonts w:ascii="Arial" w:cs="Arial" w:eastAsia="Arial" w:hAnsi="Arial"/>
          <w:b w:val="false"/>
          <w:bCs w:val="false"/>
          <w:color w:val="2D2D2D"/>
          <w:sz w:val="20"/>
          <w:szCs w:val="20"/>
        </w:rPr>
        <w:t xml:space="preserve">Bug bounty programme — launch with responsible disclosure policy on Day 1</w:t>
      </w:r>
    </w:p>
    <w:p>
      <w:pPr>
        <w:pStyle w:val="ListParagraph"/>
        <w:numPr>
          <w:ilvl w:val="0"/>
          <w:numId w:val="2"/>
        </w:numPr>
        <w:spacing w:after="40" w:before="40"/>
      </w:pPr>
      <w:r>
        <w:rPr>
          <w:rFonts w:ascii="Arial" w:cs="Arial" w:eastAsia="Arial" w:hAnsi="Arial"/>
          <w:b w:val="false"/>
          <w:bCs w:val="false"/>
          <w:color w:val="2D2D2D"/>
          <w:sz w:val="20"/>
          <w:szCs w:val="20"/>
        </w:rPr>
        <w:t xml:space="preserve">Role-based access control (RBAC) — minimal access principle for all internal staff</w:t>
      </w:r>
    </w:p>
    <w:p>
      <w:pPr>
        <w:pStyle w:val="ListParagraph"/>
        <w:numPr>
          <w:ilvl w:val="0"/>
          <w:numId w:val="2"/>
        </w:numPr>
        <w:spacing w:after="40" w:before="40"/>
      </w:pPr>
      <w:r>
        <w:rPr>
          <w:rFonts w:ascii="Arial" w:cs="Arial" w:eastAsia="Arial" w:hAnsi="Arial"/>
          <w:b w:val="false"/>
          <w:bCs w:val="false"/>
          <w:color w:val="2D2D2D"/>
          <w:sz w:val="20"/>
          <w:szCs w:val="20"/>
        </w:rPr>
        <w:t xml:space="preserve">No employee access to raw couple conversation data without audit trail</w:t>
      </w:r>
    </w:p>
    <w:p>
      <w:r>
        <w:br w:type="page"/>
      </w:r>
    </w:p>
    <w:p>
      <w:pPr>
        <w:pStyle w:val="Heading1"/>
        <w:pBdr>
          <w:bottom w:val="single" w:color="2C3E7A" w:sz="4" w:space="6"/>
        </w:pBdr>
        <w:spacing w:after="160" w:before="400"/>
      </w:pPr>
      <w:r>
        <w:rPr>
          <w:rFonts w:ascii="Arial" w:cs="Arial" w:eastAsia="Arial" w:hAnsi="Arial"/>
          <w:b/>
          <w:bCs/>
          <w:color w:val="2C3E7A"/>
          <w:sz w:val="32"/>
          <w:szCs w:val="32"/>
        </w:rPr>
        <w:t xml:space="preserve">4. User-Facing Legal Agreements</w:t>
      </w:r>
    </w:p>
    <w:p>
      <w:pPr>
        <w:pStyle w:val="Heading2"/>
        <w:spacing w:after="120" w:before="320"/>
      </w:pPr>
      <w:r>
        <w:rPr>
          <w:rFonts w:ascii="Arial" w:cs="Arial" w:eastAsia="Arial" w:hAnsi="Arial"/>
          <w:b/>
          <w:bCs/>
          <w:color w:val="E74C5A"/>
          <w:sz w:val="26"/>
          <w:szCs w:val="26"/>
        </w:rPr>
        <w:t xml:space="preserve">4.1  Terms of Service (ToS)</w:t>
      </w:r>
    </w:p>
    <w:p>
      <w:pPr>
        <w:spacing w:after="80" w:before="60"/>
      </w:pPr>
      <w:r>
        <w:rPr>
          <w:rFonts w:ascii="Arial" w:cs="Arial" w:eastAsia="Arial" w:hAnsi="Arial"/>
          <w:color w:val="2D2D2D"/>
          <w:sz w:val="20"/>
          <w:szCs w:val="20"/>
        </w:rPr>
        <w:t xml:space="preserve">The ToS is the foundational contract between LDA and its users. It must be readable, comprehensive, and legally enforceable. Key sections: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5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Key Content</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Eligibility</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Users must be 18+. Both partners must independently create accounts and provide consent. No corporate accounts on free tier.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Account Responsibility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Each user is responsible for their account security. Partner accounts are independent — neither partner has access to the other's individual settings without consent.</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Acceptable Use Policy (AUP)</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Prohibited: harassment, impersonation, uploading illegal content, attempting to reverse-engineer AI, scraping, using platform for non-personal use.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AI Disclaimer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AI features are communication tools only. Not a substitute for licensed therapy. LDA is not liable for relationship outcomes based on AI suggestions.</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Subscription &amp; Billing</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Subscription terms, auto-renewal disclosure (mandatory under Indian consumer law), cancellation policy, refund policy.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Therapist Marketplace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LDA is a platform, not a healthcare provider. Therapist credentials are user-verified. LDA is not liable for therapeutic advice given by listed therapists.</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Content Ownership</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User-generated content (messages, emotional logs) belongs to the user. LDA has a limited licence to process this data to provide the service.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Dispute Resolution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Governing law: India. Jurisdiction: [Founder's city]. Dispute resolution: first mediation, then arbitration under Arbitration &amp; Conciliation Act, 1996.</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Termination</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LDA can terminate accounts for AUP violations. Users can delete accounts at any time with 30-day data retention grace period.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Limitation of Liability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Cap LDA's liability to the amount paid by the user in the preceding 3 months.</w:t>
            </w:r>
          </w:p>
        </w:tc>
      </w:tr>
    </w:tbl>
    <w:p>
      <w:pPr>
        <w:spacing w:after="0" w:before="120"/>
      </w:pPr>
      <w:r>
        <w:t xml:space="preserve"/>
      </w:r>
    </w:p>
    <w:p>
      <w:pPr>
        <w:pStyle w:val="Heading2"/>
        <w:spacing w:after="120" w:before="320"/>
      </w:pPr>
      <w:r>
        <w:rPr>
          <w:rFonts w:ascii="Arial" w:cs="Arial" w:eastAsia="Arial" w:hAnsi="Arial"/>
          <w:b/>
          <w:bCs/>
          <w:color w:val="E74C5A"/>
          <w:sz w:val="26"/>
          <w:szCs w:val="26"/>
        </w:rPr>
        <w:t xml:space="preserve">4.2  Privacy Policy</w:t>
      </w:r>
    </w:p>
    <w:p>
      <w:pPr>
        <w:spacing w:after="80" w:before="60"/>
      </w:pPr>
      <w:r>
        <w:rPr>
          <w:rFonts w:ascii="Arial" w:cs="Arial" w:eastAsia="Arial" w:hAnsi="Arial"/>
          <w:color w:val="2D2D2D"/>
          <w:sz w:val="20"/>
          <w:szCs w:val="20"/>
        </w:rPr>
        <w:t xml:space="preserve">Must be written in plain language. Include all disclosures required by DPDPA and GDPR. Key mandatory sections:</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2D2D2D"/>
          <w:sz w:val="20"/>
          <w:szCs w:val="20"/>
        </w:rPr>
        <w:t xml:space="preserve">What data we collect (explicit list: name, phone, email, device ID, usage data, conversation content, emotional logs)</w:t>
      </w:r>
    </w:p>
    <w:p>
      <w:pPr>
        <w:pStyle w:val="ListParagraph"/>
        <w:numPr>
          <w:ilvl w:val="0"/>
          <w:numId w:val="2"/>
        </w:numPr>
        <w:spacing w:after="40" w:before="40"/>
      </w:pPr>
      <w:r>
        <w:rPr>
          <w:rFonts w:ascii="Arial" w:cs="Arial" w:eastAsia="Arial" w:hAnsi="Arial"/>
          <w:b w:val="false"/>
          <w:bCs w:val="false"/>
          <w:color w:val="2D2D2D"/>
          <w:sz w:val="20"/>
          <w:szCs w:val="20"/>
        </w:rPr>
        <w:t xml:space="preserve">Why we collect it (lawful basis for each data type)</w:t>
      </w:r>
    </w:p>
    <w:p>
      <w:pPr>
        <w:pStyle w:val="ListParagraph"/>
        <w:numPr>
          <w:ilvl w:val="0"/>
          <w:numId w:val="2"/>
        </w:numPr>
        <w:spacing w:after="40" w:before="40"/>
      </w:pPr>
      <w:r>
        <w:rPr>
          <w:rFonts w:ascii="Arial" w:cs="Arial" w:eastAsia="Arial" w:hAnsi="Arial"/>
          <w:b w:val="false"/>
          <w:bCs w:val="false"/>
          <w:color w:val="2D2D2D"/>
          <w:sz w:val="20"/>
          <w:szCs w:val="20"/>
        </w:rPr>
        <w:t xml:space="preserve">How we use it (service delivery, personalisation, AI training — with opt-out)</w:t>
      </w:r>
    </w:p>
    <w:p>
      <w:pPr>
        <w:pStyle w:val="ListParagraph"/>
        <w:numPr>
          <w:ilvl w:val="0"/>
          <w:numId w:val="2"/>
        </w:numPr>
        <w:spacing w:after="40" w:before="40"/>
      </w:pPr>
      <w:r>
        <w:rPr>
          <w:rFonts w:ascii="Arial" w:cs="Arial" w:eastAsia="Arial" w:hAnsi="Arial"/>
          <w:b w:val="false"/>
          <w:bCs w:val="false"/>
          <w:color w:val="2D2D2D"/>
          <w:sz w:val="20"/>
          <w:szCs w:val="20"/>
        </w:rPr>
        <w:t xml:space="preserve">Who we share it with (cloud providers, analytics tools, therapists on platform, law enforcement if required by law)</w:t>
      </w:r>
    </w:p>
    <w:p>
      <w:pPr>
        <w:pStyle w:val="ListParagraph"/>
        <w:numPr>
          <w:ilvl w:val="0"/>
          <w:numId w:val="2"/>
        </w:numPr>
        <w:spacing w:after="40" w:before="40"/>
      </w:pPr>
      <w:r>
        <w:rPr>
          <w:rFonts w:ascii="Arial" w:cs="Arial" w:eastAsia="Arial" w:hAnsi="Arial"/>
          <w:b w:val="false"/>
          <w:bCs w:val="false"/>
          <w:color w:val="2D2D2D"/>
          <w:sz w:val="20"/>
          <w:szCs w:val="20"/>
        </w:rPr>
        <w:t xml:space="preserve">How long we keep it (retention schedule)</w:t>
      </w:r>
    </w:p>
    <w:p>
      <w:pPr>
        <w:pStyle w:val="ListParagraph"/>
        <w:numPr>
          <w:ilvl w:val="0"/>
          <w:numId w:val="2"/>
        </w:numPr>
        <w:spacing w:after="40" w:before="40"/>
      </w:pPr>
      <w:r>
        <w:rPr>
          <w:rFonts w:ascii="Arial" w:cs="Arial" w:eastAsia="Arial" w:hAnsi="Arial"/>
          <w:b w:val="false"/>
          <w:bCs w:val="false"/>
          <w:color w:val="2D2D2D"/>
          <w:sz w:val="20"/>
          <w:szCs w:val="20"/>
        </w:rPr>
        <w:t xml:space="preserve">Your rights (access, correction, deletion, portability, objection)</w:t>
      </w:r>
    </w:p>
    <w:p>
      <w:pPr>
        <w:pStyle w:val="ListParagraph"/>
        <w:numPr>
          <w:ilvl w:val="0"/>
          <w:numId w:val="2"/>
        </w:numPr>
        <w:spacing w:after="40" w:before="40"/>
      </w:pPr>
      <w:r>
        <w:rPr>
          <w:rFonts w:ascii="Arial" w:cs="Arial" w:eastAsia="Arial" w:hAnsi="Arial"/>
          <w:b w:val="false"/>
          <w:bCs w:val="false"/>
          <w:color w:val="2D2D2D"/>
          <w:sz w:val="20"/>
          <w:szCs w:val="20"/>
        </w:rPr>
        <w:t xml:space="preserve">How to contact our DPO</w:t>
      </w:r>
    </w:p>
    <w:p>
      <w:pPr>
        <w:pStyle w:val="ListParagraph"/>
        <w:numPr>
          <w:ilvl w:val="0"/>
          <w:numId w:val="2"/>
        </w:numPr>
        <w:spacing w:after="40" w:before="40"/>
      </w:pPr>
      <w:r>
        <w:rPr>
          <w:rFonts w:ascii="Arial" w:cs="Arial" w:eastAsia="Arial" w:hAnsi="Arial"/>
          <w:b w:val="false"/>
          <w:bCs w:val="false"/>
          <w:color w:val="2D2D2D"/>
          <w:sz w:val="20"/>
          <w:szCs w:val="20"/>
        </w:rPr>
        <w:t xml:space="preserve">Cookie Policy (for web version)</w:t>
      </w:r>
    </w:p>
    <w:p>
      <w:pPr>
        <w:pStyle w:val="ListParagraph"/>
        <w:numPr>
          <w:ilvl w:val="0"/>
          <w:numId w:val="2"/>
        </w:numPr>
        <w:spacing w:after="40" w:before="40"/>
      </w:pPr>
      <w:r>
        <w:rPr>
          <w:rFonts w:ascii="Arial" w:cs="Arial" w:eastAsia="Arial" w:hAnsi="Arial"/>
          <w:b w:val="false"/>
          <w:bCs w:val="false"/>
          <w:color w:val="2D2D2D"/>
          <w:sz w:val="20"/>
          <w:szCs w:val="20"/>
        </w:rPr>
        <w:t xml:space="preserve">Children's data statement (we do not knowingly collect data from users under 18)</w:t>
      </w:r>
    </w:p>
    <w:p>
      <w:pPr>
        <w:pStyle w:val="ListParagraph"/>
        <w:numPr>
          <w:ilvl w:val="0"/>
          <w:numId w:val="2"/>
        </w:numPr>
        <w:spacing w:after="40" w:before="40"/>
      </w:pPr>
      <w:r>
        <w:rPr>
          <w:rFonts w:ascii="Arial" w:cs="Arial" w:eastAsia="Arial" w:hAnsi="Arial"/>
          <w:b w:val="false"/>
          <w:bCs w:val="false"/>
          <w:color w:val="2D2D2D"/>
          <w:sz w:val="20"/>
          <w:szCs w:val="20"/>
        </w:rPr>
        <w:t xml:space="preserve">Changes to this policy (30-day notice before material changes)</w:t>
      </w:r>
    </w:p>
    <w:p>
      <w:pPr>
        <w:spacing w:after="0" w:before="120"/>
      </w:pPr>
      <w:r>
        <w:t xml:space="preserve"/>
      </w:r>
    </w:p>
    <w:p>
      <w:pPr>
        <w:pStyle w:val="Heading2"/>
        <w:spacing w:after="120" w:before="320"/>
      </w:pPr>
      <w:r>
        <w:rPr>
          <w:rFonts w:ascii="Arial" w:cs="Arial" w:eastAsia="Arial" w:hAnsi="Arial"/>
          <w:b/>
          <w:bCs/>
          <w:color w:val="E74C5A"/>
          <w:sz w:val="26"/>
          <w:szCs w:val="26"/>
        </w:rPr>
        <w:t xml:space="preserve">4.3  Couple Consent &amp; Partner Pairing Agreement</w:t>
      </w:r>
    </w:p>
    <w:p>
      <w:pPr>
        <w:spacing w:after="80" w:before="60"/>
      </w:pPr>
      <w:r>
        <w:rPr>
          <w:rFonts w:ascii="Arial" w:cs="Arial" w:eastAsia="Arial" w:hAnsi="Arial"/>
          <w:color w:val="2D2D2D"/>
          <w:sz w:val="20"/>
          <w:szCs w:val="20"/>
        </w:rPr>
        <w:t xml:space="preserve">This is a unique document required because LDA's product involves two users in a shared space. It governs:</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2D2D2D"/>
          <w:sz w:val="20"/>
          <w:szCs w:val="20"/>
        </w:rPr>
        <w:t xml:space="preserve">Both users independently consent to the couple space — no one can add a partner without that partner's active acceptance</w:t>
      </w:r>
    </w:p>
    <w:p>
      <w:pPr>
        <w:pStyle w:val="ListParagraph"/>
        <w:numPr>
          <w:ilvl w:val="0"/>
          <w:numId w:val="2"/>
        </w:numPr>
        <w:spacing w:after="40" w:before="40"/>
      </w:pPr>
      <w:r>
        <w:rPr>
          <w:rFonts w:ascii="Arial" w:cs="Arial" w:eastAsia="Arial" w:hAnsi="Arial"/>
          <w:b w:val="false"/>
          <w:bCs w:val="false"/>
          <w:color w:val="2D2D2D"/>
          <w:sz w:val="20"/>
          <w:szCs w:val="20"/>
        </w:rPr>
        <w:t xml:space="preserve">What data is visible to each partner vs. private (emotional logs: private by default; shared rituals: visible to both)</w:t>
      </w:r>
    </w:p>
    <w:p>
      <w:pPr>
        <w:pStyle w:val="ListParagraph"/>
        <w:numPr>
          <w:ilvl w:val="0"/>
          <w:numId w:val="2"/>
        </w:numPr>
        <w:spacing w:after="40" w:before="40"/>
      </w:pPr>
      <w:r>
        <w:rPr>
          <w:rFonts w:ascii="Arial" w:cs="Arial" w:eastAsia="Arial" w:hAnsi="Arial"/>
          <w:b w:val="false"/>
          <w:bCs w:val="false"/>
          <w:color w:val="2D2D2D"/>
          <w:sz w:val="20"/>
          <w:szCs w:val="20"/>
        </w:rPr>
        <w:t xml:space="preserve">What happens if one partner withdraws consent — instant uncoupling, data handling post-separation</w:t>
      </w:r>
    </w:p>
    <w:p>
      <w:pPr>
        <w:pStyle w:val="ListParagraph"/>
        <w:numPr>
          <w:ilvl w:val="0"/>
          <w:numId w:val="2"/>
        </w:numPr>
        <w:spacing w:after="40" w:before="40"/>
      </w:pPr>
      <w:r>
        <w:rPr>
          <w:rFonts w:ascii="Arial" w:cs="Arial" w:eastAsia="Arial" w:hAnsi="Arial"/>
          <w:b w:val="false"/>
          <w:bCs w:val="false"/>
          <w:color w:val="2D2D2D"/>
          <w:sz w:val="20"/>
          <w:szCs w:val="20"/>
        </w:rPr>
        <w:t xml:space="preserve">Prohibition on using the app to surveil, coerce, or manipulate a partner</w:t>
      </w:r>
    </w:p>
    <w:p>
      <w:pPr>
        <w:pStyle w:val="ListParagraph"/>
        <w:numPr>
          <w:ilvl w:val="0"/>
          <w:numId w:val="2"/>
        </w:numPr>
        <w:spacing w:after="40" w:before="40"/>
      </w:pPr>
      <w:r>
        <w:rPr>
          <w:rFonts w:ascii="Arial" w:cs="Arial" w:eastAsia="Arial" w:hAnsi="Arial"/>
          <w:b w:val="false"/>
          <w:bCs w:val="false"/>
          <w:color w:val="2D2D2D"/>
          <w:sz w:val="20"/>
          <w:szCs w:val="20"/>
        </w:rPr>
        <w:t xml:space="preserve">Acknowledgement that AI suggestions are tools, not verdicts</w:t>
      </w:r>
    </w:p>
    <w:p>
      <w:pPr>
        <w:spacing w:after="0" w:before="120"/>
      </w:pPr>
      <w:r>
        <w:t xml:space="preserve"/>
      </w:r>
    </w:p>
    <w:p>
      <w:pPr>
        <w:pStyle w:val="Heading2"/>
        <w:spacing w:after="120" w:before="320"/>
      </w:pPr>
      <w:r>
        <w:rPr>
          <w:rFonts w:ascii="Arial" w:cs="Arial" w:eastAsia="Arial" w:hAnsi="Arial"/>
          <w:b/>
          <w:bCs/>
          <w:color w:val="E74C5A"/>
          <w:sz w:val="26"/>
          <w:szCs w:val="26"/>
        </w:rPr>
        <w:t xml:space="preserve">4.4  Therapist / Expert Onboarding Agreement</w:t>
      </w:r>
    </w:p>
    <w:p>
      <w:pPr>
        <w:spacing w:after="80" w:before="60"/>
      </w:pPr>
      <w:r>
        <w:rPr>
          <w:rFonts w:ascii="Arial" w:cs="Arial" w:eastAsia="Arial" w:hAnsi="Arial"/>
          <w:color w:val="2D2D2D"/>
          <w:sz w:val="20"/>
          <w:szCs w:val="20"/>
        </w:rPr>
        <w:t xml:space="preserve">For all therapists and counsellors listed on the platform marketplace: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Clause</w:t>
            </w:r>
          </w:p>
        </w:tc>
        <w:tc>
          <w:tcPr>
            <w:tcW w:type="dxa" w:w="5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Credential Verification</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LDA must verify: RCI (Rehabilitation Council of India) registration or equivalent professional licence. Upload and audit documents.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Independent Contractor Status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Therapist is an independent service provider, not an LDA employee. No employment relationship. LDA is the marketplace, not the employer.</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Revenue Share / Commission</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Define split clearly (e.g., LDA takes 20%). Payment terms, GST invoicing obligations of therapist.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Professional Liability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Therapist is solely responsible for the advice they give. LDA provides no indemnity for therapeutic outcomes.</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Confidentiality</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Therapist cannot share session data with LDA or any third party except as required by law or imminent risk of harm.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Code of Conduct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Adherence to applicable professional ethics codes. Grounds for immediate removal from platform.</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Termination</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LDA can remove a therapist from the platform with 7 days notice (or immediately for misconduct).</w:t>
            </w:r>
          </w:p>
        </w:tc>
      </w:tr>
    </w:tbl>
    <w:p>
      <w:pPr>
        <w:spacing w:after="0" w:before="120"/>
      </w:pPr>
      <w:r>
        <w:t xml:space="preserve"/>
      </w:r>
    </w:p>
    <w:p>
      <w:pPr>
        <w:pStyle w:val="Heading2"/>
        <w:spacing w:after="120" w:before="320"/>
      </w:pPr>
      <w:r>
        <w:rPr>
          <w:rFonts w:ascii="Arial" w:cs="Arial" w:eastAsia="Arial" w:hAnsi="Arial"/>
          <w:b/>
          <w:bCs/>
          <w:color w:val="E74C5A"/>
          <w:sz w:val="26"/>
          <w:szCs w:val="26"/>
        </w:rPr>
        <w:t xml:space="preserve">4.5  Corporate / B2B Wellness Agreement</w:t>
      </w:r>
    </w:p>
    <w:p>
      <w:pPr>
        <w:spacing w:after="80" w:before="60"/>
      </w:pPr>
      <w:r>
        <w:rPr>
          <w:rFonts w:ascii="Arial" w:cs="Arial" w:eastAsia="Arial" w:hAnsi="Arial"/>
          <w:color w:val="2D2D2D"/>
          <w:sz w:val="20"/>
          <w:szCs w:val="20"/>
        </w:rPr>
        <w:t xml:space="preserve">For corporate clients purchasing couple wellness subscriptions as employee benefits:</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2D2D2D"/>
          <w:sz w:val="20"/>
          <w:szCs w:val="20"/>
        </w:rPr>
        <w:t xml:space="preserve">MSA (Master Service Agreement) covering scope of services, SLAs, pricing, and renewal terms</w:t>
      </w:r>
    </w:p>
    <w:p>
      <w:pPr>
        <w:pStyle w:val="ListParagraph"/>
        <w:numPr>
          <w:ilvl w:val="0"/>
          <w:numId w:val="2"/>
        </w:numPr>
        <w:spacing w:after="40" w:before="40"/>
      </w:pPr>
      <w:r>
        <w:rPr>
          <w:rFonts w:ascii="Arial" w:cs="Arial" w:eastAsia="Arial" w:hAnsi="Arial"/>
          <w:b w:val="false"/>
          <w:bCs w:val="false"/>
          <w:color w:val="2D2D2D"/>
          <w:sz w:val="20"/>
          <w:szCs w:val="20"/>
        </w:rPr>
        <w:t xml:space="preserve">Data Processing Agreement (DPA) — corporate client must not have access to any individual employee's relationship data. Aggregate anonymised usage reports only.</w:t>
      </w:r>
    </w:p>
    <w:p>
      <w:pPr>
        <w:pStyle w:val="ListParagraph"/>
        <w:numPr>
          <w:ilvl w:val="0"/>
          <w:numId w:val="2"/>
        </w:numPr>
        <w:spacing w:after="40" w:before="40"/>
      </w:pPr>
      <w:r>
        <w:rPr>
          <w:rFonts w:ascii="Arial" w:cs="Arial" w:eastAsia="Arial" w:hAnsi="Arial"/>
          <w:b w:val="false"/>
          <w:bCs w:val="false"/>
          <w:color w:val="2D2D2D"/>
          <w:sz w:val="20"/>
          <w:szCs w:val="20"/>
        </w:rPr>
        <w:t xml:space="preserve">White-Label Agreement (for wedding industry) — licensing terms, brand usage guidelines, revenue share, and technical integration obligations</w:t>
      </w:r>
    </w:p>
    <w:p>
      <w:pPr>
        <w:pStyle w:val="ListParagraph"/>
        <w:numPr>
          <w:ilvl w:val="0"/>
          <w:numId w:val="2"/>
        </w:numPr>
        <w:spacing w:after="40" w:before="40"/>
      </w:pPr>
      <w:r>
        <w:rPr>
          <w:rFonts w:ascii="Arial" w:cs="Arial" w:eastAsia="Arial" w:hAnsi="Arial"/>
          <w:b w:val="false"/>
          <w:bCs w:val="false"/>
          <w:color w:val="2D2D2D"/>
          <w:sz w:val="20"/>
          <w:szCs w:val="20"/>
        </w:rPr>
        <w:t xml:space="preserve">Non-Solicitation clause — corporate client cannot solicit LDA's therapist partners for 24 months post-agreement</w:t>
      </w:r>
    </w:p>
    <w:p>
      <w:r>
        <w:br w:type="page"/>
      </w:r>
    </w:p>
    <w:p>
      <w:pPr>
        <w:pStyle w:val="Heading1"/>
        <w:pBdr>
          <w:bottom w:val="single" w:color="2C3E7A" w:sz="4" w:space="6"/>
        </w:pBdr>
        <w:spacing w:after="160" w:before="400"/>
      </w:pPr>
      <w:r>
        <w:rPr>
          <w:rFonts w:ascii="Arial" w:cs="Arial" w:eastAsia="Arial" w:hAnsi="Arial"/>
          <w:b/>
          <w:bCs/>
          <w:color w:val="2C3E7A"/>
          <w:sz w:val="32"/>
          <w:szCs w:val="32"/>
        </w:rPr>
        <w:t xml:space="preserve">5. AI Ethics, Mental Health Liability &amp; Crisis Protocols</w:t>
      </w:r>
    </w:p>
    <w:p>
      <w:pPr>
        <w:pStyle w:val="Heading2"/>
        <w:spacing w:after="120" w:before="320"/>
      </w:pPr>
      <w:r>
        <w:rPr>
          <w:rFonts w:ascii="Arial" w:cs="Arial" w:eastAsia="Arial" w:hAnsi="Arial"/>
          <w:b/>
          <w:bCs/>
          <w:color w:val="E74C5A"/>
          <w:sz w:val="26"/>
          <w:szCs w:val="26"/>
        </w:rPr>
        <w:t xml:space="preserve">5.1  The Liability Exposure Unique to LDA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1F8" w:val="clear"/>
            <w:tcMar>
              <w:top w:type="dxa" w:w="140"/>
              <w:left w:type="dxa" w:w="200"/>
              <w:bottom w:type="dxa" w:w="140"/>
              <w:right w:type="dxa" w:w="200"/>
            </w:tcMar>
          </w:tcPr>
          <w:p>
            <w:r>
              <w:rPr>
                <w:rFonts w:ascii="Arial" w:cs="Arial" w:eastAsia="Arial" w:hAnsi="Arial"/>
                <w:b/>
                <w:bCs/>
                <w:color w:val="2C3E7A"/>
                <w:sz w:val="22"/>
                <w:szCs w:val="22"/>
              </w:rPr>
              <w:t xml:space="preserve">LDA operates at the intersection of AI, mental health, and intimate relationships — all high-liability zones. A user following an AI suggestion that worsens their relationship, or an AI that fails to flag a domestic violence scenario, could expose LDA to significant legal and reputational risk. Proactive policy is the only defence.</w:t>
            </w:r>
          </w:p>
        </w:tc>
      </w:tr>
    </w:tbl>
    <w:p>
      <w:pPr>
        <w:spacing w:after="0" w:before="100"/>
      </w:pPr>
      <w:r>
        <w:t xml:space="preserve"/>
      </w:r>
    </w:p>
    <w:p>
      <w:pPr>
        <w:pStyle w:val="Heading2"/>
        <w:spacing w:after="120" w:before="320"/>
      </w:pPr>
      <w:r>
        <w:rPr>
          <w:rFonts w:ascii="Arial" w:cs="Arial" w:eastAsia="Arial" w:hAnsi="Arial"/>
          <w:b/>
          <w:bCs/>
          <w:color w:val="E74C5A"/>
          <w:sz w:val="26"/>
          <w:szCs w:val="26"/>
        </w:rPr>
        <w:t xml:space="preserve">5.2  Mental Health Disclaimer Framework</w:t>
      </w:r>
    </w:p>
    <w:p>
      <w:pPr>
        <w:spacing w:after="80" w:before="60"/>
      </w:pPr>
      <w:r>
        <w:rPr>
          <w:rFonts w:ascii="Arial" w:cs="Arial" w:eastAsia="Arial" w:hAnsi="Arial"/>
          <w:color w:val="2D2D2D"/>
          <w:sz w:val="20"/>
          <w:szCs w:val="20"/>
        </w:rPr>
        <w:t xml:space="preserve">The following disclosures must appear prominently in the app (not just in ToS fine print):</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2D2D2D"/>
          <w:sz w:val="20"/>
          <w:szCs w:val="20"/>
        </w:rPr>
        <w:t xml:space="preserve">'Let's Date Again is a communication and wellness tool, not a mental health service or therapy platform.'</w:t>
      </w:r>
    </w:p>
    <w:p>
      <w:pPr>
        <w:pStyle w:val="ListParagraph"/>
        <w:numPr>
          <w:ilvl w:val="0"/>
          <w:numId w:val="2"/>
        </w:numPr>
        <w:spacing w:after="40" w:before="40"/>
      </w:pPr>
      <w:r>
        <w:rPr>
          <w:rFonts w:ascii="Arial" w:cs="Arial" w:eastAsia="Arial" w:hAnsi="Arial"/>
          <w:b w:val="false"/>
          <w:bCs w:val="false"/>
          <w:color w:val="2D2D2D"/>
          <w:sz w:val="20"/>
          <w:szCs w:val="20"/>
        </w:rPr>
        <w:t xml:space="preserve">'The AI features do not constitute psychological advice. For clinical support, please consult a licensed therapist.'</w:t>
      </w:r>
    </w:p>
    <w:p>
      <w:pPr>
        <w:pStyle w:val="ListParagraph"/>
        <w:numPr>
          <w:ilvl w:val="0"/>
          <w:numId w:val="2"/>
        </w:numPr>
        <w:spacing w:after="40" w:before="40"/>
      </w:pPr>
      <w:r>
        <w:rPr>
          <w:rFonts w:ascii="Arial" w:cs="Arial" w:eastAsia="Arial" w:hAnsi="Arial"/>
          <w:b w:val="false"/>
          <w:bCs w:val="false"/>
          <w:color w:val="2D2D2D"/>
          <w:sz w:val="20"/>
          <w:szCs w:val="20"/>
        </w:rPr>
        <w:t xml:space="preserve">'Using this app does not create a therapist-client relationship with Let's Date Again.'</w:t>
      </w:r>
    </w:p>
    <w:p>
      <w:pPr>
        <w:pStyle w:val="ListParagraph"/>
        <w:numPr>
          <w:ilvl w:val="0"/>
          <w:numId w:val="2"/>
        </w:numPr>
        <w:spacing w:after="40" w:before="40"/>
      </w:pPr>
      <w:r>
        <w:rPr>
          <w:rFonts w:ascii="Arial" w:cs="Arial" w:eastAsia="Arial" w:hAnsi="Arial"/>
          <w:b w:val="false"/>
          <w:bCs w:val="false"/>
          <w:color w:val="2D2D2D"/>
          <w:sz w:val="20"/>
          <w:szCs w:val="20"/>
        </w:rPr>
        <w:t xml:space="preserve">In-app crisis resources must be surfaced if the AI detects certain keyword patterns (e.g., domestic violence, self-harm, suicidal ideation). iCall, Vandrevala Foundation, and State DV helplines must be listed.</w:t>
      </w:r>
    </w:p>
    <w:p>
      <w:pPr>
        <w:spacing w:after="0" w:before="100"/>
      </w:pPr>
      <w:r>
        <w:t xml:space="preserve"/>
      </w:r>
    </w:p>
    <w:p>
      <w:pPr>
        <w:pStyle w:val="Heading2"/>
        <w:spacing w:after="120" w:before="320"/>
      </w:pPr>
      <w:r>
        <w:rPr>
          <w:rFonts w:ascii="Arial" w:cs="Arial" w:eastAsia="Arial" w:hAnsi="Arial"/>
          <w:b/>
          <w:bCs/>
          <w:color w:val="E74C5A"/>
          <w:sz w:val="26"/>
          <w:szCs w:val="26"/>
        </w:rPr>
        <w:t xml:space="preserve">5.3  Crisis Detection &amp; Escalation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5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Required Response</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Keywords indicating suicidal ideation</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Immediately surface iCall (9152987821) and Vandrevala helpline (1860-2662-345). AI exits all suggestion mode. Log event for internal review (anonymised).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Keywords indicating domestic abuse / coercion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Surface NCW helpline (181) and local police (100). Display message: 'Your safety is the priority. You can pause your account at any time.'</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One partner deletes account suddenly</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No automated notification to remaining partner. Couple space deactivated silently. Remaining partner sees: 'Your couple space is no longer active.'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User reports abusive use of app by partner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In-app abuse reporting tool. 48-hour response commitment. Ability to immediately block partner from couple space without explanation.</w:t>
            </w:r>
          </w:p>
        </w:tc>
      </w:tr>
    </w:tbl>
    <w:p>
      <w:pPr>
        <w:spacing w:after="0" w:before="100"/>
      </w:pPr>
      <w:r>
        <w:t xml:space="preserve"/>
      </w:r>
    </w:p>
    <w:p>
      <w:pPr>
        <w:pStyle w:val="Heading2"/>
        <w:spacing w:after="120" w:before="320"/>
      </w:pPr>
      <w:r>
        <w:rPr>
          <w:rFonts w:ascii="Arial" w:cs="Arial" w:eastAsia="Arial" w:hAnsi="Arial"/>
          <w:b/>
          <w:bCs/>
          <w:color w:val="E74C5A"/>
          <w:sz w:val="26"/>
          <w:szCs w:val="26"/>
        </w:rPr>
        <w:t xml:space="preserve">5.4  Ethical AI Commitments (Publish Publicly)</w:t>
      </w:r>
    </w:p>
    <w:p>
      <w:pPr>
        <w:pStyle w:val="ListParagraph"/>
        <w:numPr>
          <w:ilvl w:val="0"/>
          <w:numId w:val="2"/>
        </w:numPr>
        <w:spacing w:after="40" w:before="40"/>
      </w:pPr>
      <w:r>
        <w:rPr>
          <w:rFonts w:ascii="Arial" w:cs="Arial" w:eastAsia="Arial" w:hAnsi="Arial"/>
          <w:b w:val="false"/>
          <w:bCs w:val="false"/>
          <w:color w:val="2D2D2D"/>
          <w:sz w:val="20"/>
          <w:szCs w:val="20"/>
        </w:rPr>
        <w:t xml:space="preserve">LDA will never use conversation data to serve targeted advertising</w:t>
      </w:r>
    </w:p>
    <w:p>
      <w:pPr>
        <w:pStyle w:val="ListParagraph"/>
        <w:numPr>
          <w:ilvl w:val="0"/>
          <w:numId w:val="2"/>
        </w:numPr>
        <w:spacing w:after="40" w:before="40"/>
      </w:pPr>
      <w:r>
        <w:rPr>
          <w:rFonts w:ascii="Arial" w:cs="Arial" w:eastAsia="Arial" w:hAnsi="Arial"/>
          <w:b w:val="false"/>
          <w:bCs w:val="false"/>
          <w:color w:val="2D2D2D"/>
          <w:sz w:val="20"/>
          <w:szCs w:val="20"/>
        </w:rPr>
        <w:t xml:space="preserve">LDA will never share identifiable relationship data with insurance companies, employers, or government agencies</w:t>
      </w:r>
    </w:p>
    <w:p>
      <w:pPr>
        <w:pStyle w:val="ListParagraph"/>
        <w:numPr>
          <w:ilvl w:val="0"/>
          <w:numId w:val="2"/>
        </w:numPr>
        <w:spacing w:after="40" w:before="40"/>
      </w:pPr>
      <w:r>
        <w:rPr>
          <w:rFonts w:ascii="Arial" w:cs="Arial" w:eastAsia="Arial" w:hAnsi="Arial"/>
          <w:b w:val="false"/>
          <w:bCs w:val="false"/>
          <w:color w:val="2D2D2D"/>
          <w:sz w:val="20"/>
          <w:szCs w:val="20"/>
        </w:rPr>
        <w:t xml:space="preserve">LDA will publish an annual AI Transparency Report detailing model updates, bias audits, and safety incidents</w:t>
      </w:r>
    </w:p>
    <w:p>
      <w:pPr>
        <w:pStyle w:val="ListParagraph"/>
        <w:numPr>
          <w:ilvl w:val="0"/>
          <w:numId w:val="2"/>
        </w:numPr>
        <w:spacing w:after="40" w:before="40"/>
      </w:pPr>
      <w:r>
        <w:rPr>
          <w:rFonts w:ascii="Arial" w:cs="Arial" w:eastAsia="Arial" w:hAnsi="Arial"/>
          <w:b w:val="false"/>
          <w:bCs w:val="false"/>
          <w:color w:val="2D2D2D"/>
          <w:sz w:val="20"/>
          <w:szCs w:val="20"/>
        </w:rPr>
        <w:t xml:space="preserve">LDA will maintain a public vulnerability disclosure programme</w:t>
      </w:r>
    </w:p>
    <w:p>
      <w:pPr>
        <w:pStyle w:val="ListParagraph"/>
        <w:numPr>
          <w:ilvl w:val="0"/>
          <w:numId w:val="2"/>
        </w:numPr>
        <w:spacing w:after="40" w:before="40"/>
      </w:pPr>
      <w:r>
        <w:rPr>
          <w:rFonts w:ascii="Arial" w:cs="Arial" w:eastAsia="Arial" w:hAnsi="Arial"/>
          <w:b w:val="false"/>
          <w:bCs w:val="false"/>
          <w:color w:val="2D2D2D"/>
          <w:sz w:val="20"/>
          <w:szCs w:val="20"/>
        </w:rPr>
        <w:t xml:space="preserve">LDA will never use AI to make decisions that have legal or similarly significant effects on users without human review</w:t>
      </w:r>
    </w:p>
    <w:p>
      <w:r>
        <w:br w:type="page"/>
      </w:r>
    </w:p>
    <w:p>
      <w:pPr>
        <w:pStyle w:val="Heading1"/>
        <w:pBdr>
          <w:bottom w:val="single" w:color="2C3E7A" w:sz="4" w:space="6"/>
        </w:pBdr>
        <w:spacing w:after="160" w:before="400"/>
      </w:pPr>
      <w:r>
        <w:rPr>
          <w:rFonts w:ascii="Arial" w:cs="Arial" w:eastAsia="Arial" w:hAnsi="Arial"/>
          <w:b/>
          <w:bCs/>
          <w:color w:val="2C3E7A"/>
          <w:sz w:val="32"/>
          <w:szCs w:val="32"/>
        </w:rPr>
        <w:t xml:space="preserve">6. Financial, Tax &amp; Revenue Compliance</w:t>
      </w:r>
    </w:p>
    <w:p>
      <w:pPr>
        <w:pStyle w:val="Heading2"/>
        <w:spacing w:after="120" w:before="320"/>
      </w:pPr>
      <w:r>
        <w:rPr>
          <w:rFonts w:ascii="Arial" w:cs="Arial" w:eastAsia="Arial" w:hAnsi="Arial"/>
          <w:b/>
          <w:bCs/>
          <w:color w:val="E74C5A"/>
          <w:sz w:val="26"/>
          <w:szCs w:val="26"/>
        </w:rPr>
        <w:t xml:space="preserve">6.1  GST &amp; Subscription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5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GST Treatment</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App Subscription (B2C)</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18% GST on SaaS subscription. Issue GST invoice. Collect and remit monthly.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Therapist Session Fee (Marketplace)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LDA acts as aggregator. Commission earned by LDA: 18% GST. Therapist's fee: separately taxed.</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B2B Corporate Packages</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18% GST. Issue GST-compliant B2B invoices with GSTIN of client.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International Subscriptions (Export of Services)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Zero-rated under GST (export of service). LCA (Letter of Undertaking) to be filed with GST authority. Refund of input tax credit available.</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White-Label Licensing</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18% GST on royalty income from licensing fee.</w:t>
            </w:r>
          </w:p>
        </w:tc>
      </w:tr>
    </w:tbl>
    <w:p>
      <w:pPr>
        <w:spacing w:after="0" w:before="120"/>
      </w:pPr>
      <w:r>
        <w:t xml:space="preserve"/>
      </w:r>
    </w:p>
    <w:p>
      <w:pPr>
        <w:pStyle w:val="Heading2"/>
        <w:spacing w:after="120" w:before="320"/>
      </w:pPr>
      <w:r>
        <w:rPr>
          <w:rFonts w:ascii="Arial" w:cs="Arial" w:eastAsia="Arial" w:hAnsi="Arial"/>
          <w:b/>
          <w:bCs/>
          <w:color w:val="E74C5A"/>
          <w:sz w:val="26"/>
          <w:szCs w:val="26"/>
        </w:rPr>
        <w:t xml:space="preserve">6.2  Income Tax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Provision</w:t>
            </w:r>
          </w:p>
        </w:tc>
        <w:tc>
          <w:tcPr>
            <w:tcW w:type="dxa" w:w="5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Action for LDA</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Startup India Tax Exemption (Sec 80-IAC)</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Apply for DPIIT recognition. Eligible for 3-year income tax holiday (block of 7 years). Apply before first profitable year.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Angel Tax Exemption (Sec 56(2)(viib))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Obtain DPIIT recognition to be exempt from angel tax on share premium received from Indian investors.</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TDS on Therapist Payments</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Deduct TDS at 10% on professional fees paid to therapists (Sec 194J). File quarterly TDS returns.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Transfer Pricing (International)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When intercompany transactions with overseas subsidiaries begin (Phase 3), comply with Transfer Pricing regulations under the Income Tax Act.</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Advance Tax</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Pay quarterly advance tax once revenue begins. Penalties apply for non-payment.</w:t>
            </w:r>
          </w:p>
        </w:tc>
      </w:tr>
    </w:tbl>
    <w:p>
      <w:pPr>
        <w:spacing w:after="0" w:before="120"/>
      </w:pPr>
      <w:r>
        <w:t xml:space="preserve"/>
      </w:r>
    </w:p>
    <w:p>
      <w:pPr>
        <w:pStyle w:val="Heading2"/>
        <w:spacing w:after="120" w:before="320"/>
      </w:pPr>
      <w:r>
        <w:rPr>
          <w:rFonts w:ascii="Arial" w:cs="Arial" w:eastAsia="Arial" w:hAnsi="Arial"/>
          <w:b/>
          <w:bCs/>
          <w:color w:val="E74C5A"/>
          <w:sz w:val="26"/>
          <w:szCs w:val="26"/>
        </w:rPr>
        <w:t xml:space="preserve">6.3  Payment Gateway &amp; Financial Compliance</w:t>
      </w:r>
    </w:p>
    <w:p>
      <w:pPr>
        <w:pStyle w:val="ListParagraph"/>
        <w:numPr>
          <w:ilvl w:val="0"/>
          <w:numId w:val="2"/>
        </w:numPr>
        <w:spacing w:after="40" w:before="40"/>
      </w:pPr>
      <w:r>
        <w:rPr>
          <w:rFonts w:ascii="Arial" w:cs="Arial" w:eastAsia="Arial" w:hAnsi="Arial"/>
          <w:b w:val="false"/>
          <w:bCs w:val="false"/>
          <w:color w:val="2D2D2D"/>
          <w:sz w:val="20"/>
          <w:szCs w:val="20"/>
        </w:rPr>
        <w:t xml:space="preserve">Integrate a PCI-DSS compliant payment gateway (Razorpay, Cashfree, or Stripe India)</w:t>
      </w:r>
    </w:p>
    <w:p>
      <w:pPr>
        <w:pStyle w:val="ListParagraph"/>
        <w:numPr>
          <w:ilvl w:val="0"/>
          <w:numId w:val="2"/>
        </w:numPr>
        <w:spacing w:after="40" w:before="40"/>
      </w:pPr>
      <w:r>
        <w:rPr>
          <w:rFonts w:ascii="Arial" w:cs="Arial" w:eastAsia="Arial" w:hAnsi="Arial"/>
          <w:b w:val="false"/>
          <w:bCs w:val="false"/>
          <w:color w:val="2D2D2D"/>
          <w:sz w:val="20"/>
          <w:szCs w:val="20"/>
        </w:rPr>
        <w:t xml:space="preserve">For international payments: integrate Stripe or PayPal with proper forex settlement (AD-II bank licence of payment provider covers this)</w:t>
      </w:r>
    </w:p>
    <w:p>
      <w:pPr>
        <w:pStyle w:val="ListParagraph"/>
        <w:numPr>
          <w:ilvl w:val="0"/>
          <w:numId w:val="2"/>
        </w:numPr>
        <w:spacing w:after="40" w:before="40"/>
      </w:pPr>
      <w:r>
        <w:rPr>
          <w:rFonts w:ascii="Arial" w:cs="Arial" w:eastAsia="Arial" w:hAnsi="Arial"/>
          <w:b w:val="false"/>
          <w:bCs w:val="false"/>
          <w:color w:val="2D2D2D"/>
          <w:sz w:val="20"/>
          <w:szCs w:val="20"/>
        </w:rPr>
        <w:t xml:space="preserve">Maintain Payment Aggregator (PA) compliance per RBI's 2020 PA/PG Guidelines</w:t>
      </w:r>
    </w:p>
    <w:p>
      <w:pPr>
        <w:pStyle w:val="ListParagraph"/>
        <w:numPr>
          <w:ilvl w:val="0"/>
          <w:numId w:val="2"/>
        </w:numPr>
        <w:spacing w:after="40" w:before="40"/>
      </w:pPr>
      <w:r>
        <w:rPr>
          <w:rFonts w:ascii="Arial" w:cs="Arial" w:eastAsia="Arial" w:hAnsi="Arial"/>
          <w:b w:val="false"/>
          <w:bCs w:val="false"/>
          <w:color w:val="2D2D2D"/>
          <w:sz w:val="20"/>
          <w:szCs w:val="20"/>
        </w:rPr>
        <w:t xml:space="preserve">For subscriptions: auto-renewal must be disclosed at sign-up. Obtain e-mandate (e-NACH) for recurring payments per RBI guidelines</w:t>
      </w:r>
    </w:p>
    <w:p>
      <w:pPr>
        <w:pStyle w:val="ListParagraph"/>
        <w:numPr>
          <w:ilvl w:val="0"/>
          <w:numId w:val="2"/>
        </w:numPr>
        <w:spacing w:after="40" w:before="40"/>
      </w:pPr>
      <w:r>
        <w:rPr>
          <w:rFonts w:ascii="Arial" w:cs="Arial" w:eastAsia="Arial" w:hAnsi="Arial"/>
          <w:b w:val="false"/>
          <w:bCs w:val="false"/>
          <w:color w:val="2D2D2D"/>
          <w:sz w:val="20"/>
          <w:szCs w:val="20"/>
        </w:rPr>
        <w:t xml:space="preserve">Reconcile payment gateway settlements against bank account daily. Implement automated reconciliation tool from Month 3</w:t>
      </w:r>
    </w:p>
    <w:p>
      <w:pPr>
        <w:pStyle w:val="ListParagraph"/>
        <w:numPr>
          <w:ilvl w:val="0"/>
          <w:numId w:val="2"/>
        </w:numPr>
        <w:spacing w:after="40" w:before="40"/>
      </w:pPr>
      <w:r>
        <w:rPr>
          <w:rFonts w:ascii="Arial" w:cs="Arial" w:eastAsia="Arial" w:hAnsi="Arial"/>
          <w:b w:val="false"/>
          <w:bCs w:val="false"/>
          <w:color w:val="2D2D2D"/>
          <w:sz w:val="20"/>
          <w:szCs w:val="20"/>
        </w:rPr>
        <w:t xml:space="preserve">Anti-money laundering (AML) policy required before accepting payments from international users — basic KYC on B2B clients</w:t>
      </w:r>
    </w:p>
    <w:p>
      <w:r>
        <w:br w:type="page"/>
      </w:r>
    </w:p>
    <w:p>
      <w:pPr>
        <w:pStyle w:val="Heading1"/>
        <w:pBdr>
          <w:bottom w:val="single" w:color="2C3E7A" w:sz="4" w:space="6"/>
        </w:pBdr>
        <w:spacing w:after="160" w:before="400"/>
      </w:pPr>
      <w:r>
        <w:rPr>
          <w:rFonts w:ascii="Arial" w:cs="Arial" w:eastAsia="Arial" w:hAnsi="Arial"/>
          <w:b/>
          <w:bCs/>
          <w:color w:val="2C3E7A"/>
          <w:sz w:val="32"/>
          <w:szCs w:val="32"/>
        </w:rPr>
        <w:t xml:space="preserve">7. Employment, HR &amp; Contractor Compliance</w:t>
      </w:r>
    </w:p>
    <w:p>
      <w:pPr>
        <w:pStyle w:val="Heading2"/>
        <w:spacing w:after="120" w:before="320"/>
      </w:pPr>
      <w:r>
        <w:rPr>
          <w:rFonts w:ascii="Arial" w:cs="Arial" w:eastAsia="Arial" w:hAnsi="Arial"/>
          <w:b/>
          <w:bCs/>
          <w:color w:val="E74C5A"/>
          <w:sz w:val="26"/>
          <w:szCs w:val="26"/>
        </w:rPr>
        <w:t xml:space="preserve">7.1  Employment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Offer Letter</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Include: CTC breakup, role, reporting structure, probation period (6 months), at-will clauses as per Indian law.</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Employment Agreement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Mandatory: confidentiality, IP assignment (all work created during employment belongs to LDA), non-solicitation, garden leave clause.</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Non-Disclosure Agreement (NDA)</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Signed on Day 1. Covers: product roadmap, user data, financial projections, investor information. 3-year post-employment term.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ESOP Grant Letter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Individual grant letter specifying: options granted, exercise price, vesting schedule, cliff date, expiry date.</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Background Verification</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For all employees with access to user data: police clearance, employment history, educational credentials.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Shop &amp; Establishment Act Registration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Register the office premises under state-specific Shops &amp; Establishment Act within 30 days of commencement.</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Provident Fund (PF) Registration</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Mandatory once 20+ employees. Register with EPFO. Contribute 12% employer share.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Professional Tax Registration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State-specific. Mandatory in Karnataka, Maharashtra, etc. Register with state PT authority.</w:t>
            </w:r>
          </w:p>
        </w:tc>
      </w:tr>
    </w:tbl>
    <w:p>
      <w:pPr>
        <w:spacing w:after="0" w:before="120"/>
      </w:pPr>
      <w:r>
        <w:t xml:space="preserve"/>
      </w:r>
    </w:p>
    <w:p>
      <w:pPr>
        <w:pStyle w:val="Heading2"/>
        <w:spacing w:after="120" w:before="320"/>
      </w:pPr>
      <w:r>
        <w:rPr>
          <w:rFonts w:ascii="Arial" w:cs="Arial" w:eastAsia="Arial" w:hAnsi="Arial"/>
          <w:b/>
          <w:bCs/>
          <w:color w:val="E74C5A"/>
          <w:sz w:val="26"/>
          <w:szCs w:val="26"/>
        </w:rPr>
        <w:t xml:space="preserve">7.2  Freelancer &amp; Contractor Agreements</w:t>
      </w:r>
    </w:p>
    <w:p>
      <w:pPr>
        <w:pStyle w:val="ListParagraph"/>
        <w:numPr>
          <w:ilvl w:val="0"/>
          <w:numId w:val="2"/>
        </w:numPr>
        <w:spacing w:after="40" w:before="40"/>
      </w:pPr>
      <w:r>
        <w:rPr>
          <w:rFonts w:ascii="Arial" w:cs="Arial" w:eastAsia="Arial" w:hAnsi="Arial"/>
          <w:b w:val="false"/>
          <w:bCs w:val="false"/>
          <w:color w:val="2D2D2D"/>
          <w:sz w:val="20"/>
          <w:szCs w:val="20"/>
        </w:rPr>
        <w:t xml:space="preserve">All contractors (developers, designers, content creators, therapist consultants) must sign an Independent Contractor Agreement</w:t>
      </w:r>
    </w:p>
    <w:p>
      <w:pPr>
        <w:pStyle w:val="ListParagraph"/>
        <w:numPr>
          <w:ilvl w:val="0"/>
          <w:numId w:val="2"/>
        </w:numPr>
        <w:spacing w:after="40" w:before="40"/>
      </w:pPr>
      <w:r>
        <w:rPr>
          <w:rFonts w:ascii="Arial" w:cs="Arial" w:eastAsia="Arial" w:hAnsi="Arial"/>
          <w:b w:val="false"/>
          <w:bCs w:val="false"/>
          <w:color w:val="2D2D2D"/>
          <w:sz w:val="20"/>
          <w:szCs w:val="20"/>
        </w:rPr>
        <w:t xml:space="preserve">Agreement must include: IP assignment clause (all work product belongs to LDA), confidentiality, non-compete for 12 months in relationship wellness sector, deliverables and payment terms</w:t>
      </w:r>
    </w:p>
    <w:p>
      <w:pPr>
        <w:pStyle w:val="ListParagraph"/>
        <w:numPr>
          <w:ilvl w:val="0"/>
          <w:numId w:val="2"/>
        </w:numPr>
        <w:spacing w:after="40" w:before="40"/>
      </w:pPr>
      <w:r>
        <w:rPr>
          <w:rFonts w:ascii="Arial" w:cs="Arial" w:eastAsia="Arial" w:hAnsi="Arial"/>
          <w:b w:val="false"/>
          <w:bCs w:val="false"/>
          <w:color w:val="2D2D2D"/>
          <w:sz w:val="20"/>
          <w:szCs w:val="20"/>
        </w:rPr>
        <w:t xml:space="preserve">Deduct TDS at applicable rates (194J for professionals, 194C for contractors)</w:t>
      </w:r>
    </w:p>
    <w:p>
      <w:pPr>
        <w:pStyle w:val="ListParagraph"/>
        <w:numPr>
          <w:ilvl w:val="0"/>
          <w:numId w:val="2"/>
        </w:numPr>
        <w:spacing w:after="40" w:before="40"/>
      </w:pPr>
      <w:r>
        <w:rPr>
          <w:rFonts w:ascii="Arial" w:cs="Arial" w:eastAsia="Arial" w:hAnsi="Arial"/>
          <w:b w:val="false"/>
          <w:bCs w:val="false"/>
          <w:color w:val="2D2D2D"/>
          <w:sz w:val="20"/>
          <w:szCs w:val="20"/>
        </w:rPr>
        <w:t xml:space="preserve">Do not create 'deemed employment' — ensure contractors are genuinely independent (own equipment, multiple clients, no fixed hours)</w:t>
      </w:r>
    </w:p>
    <w:p>
      <w:r>
        <w:br w:type="page"/>
      </w:r>
    </w:p>
    <w:p>
      <w:pPr>
        <w:pStyle w:val="Heading1"/>
        <w:pBdr>
          <w:bottom w:val="single" w:color="2C3E7A" w:sz="4" w:space="6"/>
        </w:pBdr>
        <w:spacing w:after="160" w:before="400"/>
      </w:pPr>
      <w:r>
        <w:rPr>
          <w:rFonts w:ascii="Arial" w:cs="Arial" w:eastAsia="Arial" w:hAnsi="Arial"/>
          <w:b/>
          <w:bCs/>
          <w:color w:val="2C3E7A"/>
          <w:sz w:val="32"/>
          <w:szCs w:val="32"/>
        </w:rPr>
        <w:t xml:space="preserve">8. Platform Policies &amp; Fraud Prevention</w:t>
      </w:r>
    </w:p>
    <w:p>
      <w:pPr>
        <w:pStyle w:val="Heading2"/>
        <w:spacing w:after="120" w:before="320"/>
      </w:pPr>
      <w:r>
        <w:rPr>
          <w:rFonts w:ascii="Arial" w:cs="Arial" w:eastAsia="Arial" w:hAnsi="Arial"/>
          <w:b/>
          <w:bCs/>
          <w:color w:val="E74C5A"/>
          <w:sz w:val="26"/>
          <w:szCs w:val="26"/>
        </w:rPr>
        <w:t xml:space="preserve">8.1  Anti-Fraud &amp; Account Security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Risk Area</w:t>
            </w:r>
          </w:p>
        </w:tc>
        <w:tc>
          <w:tcPr>
            <w:tcW w:type="dxa" w:w="5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Policy / Technical Control</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Fake Account Creation</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Phone number OTP verification mandatory. One account per phone number. AI-based anomaly detection on new account patterns.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Partner Impersonation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Couple pairing requires both users to independently accept invite. No couple space until both users verify. Mismatch in device/IP triggers additional verification.</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Credential Stuffing</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Rate limiting on login attempts. CAPTCHA after 3 failed attempts. Mandatory password reset after detected breach.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Subscription Fraud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Chargeback monitoring. Velocity checks on new subscriptions. Blacklist known fraudulent payment instruments.</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Therapist Credential Fraud</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Manual verification of all therapist licences before listing. Annual re-verification. User rating system with fraud detection.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Data Scraping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API rate limiting, robot.txt enforcement, TOS prohibition on automated access, DMCA-style takedown process for scraped content.</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Insider Threats</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Strict RBAC. All access to production data requires manager approval. Full audit trail. Immediate access revocation on employment termination.</w:t>
            </w:r>
          </w:p>
        </w:tc>
      </w:tr>
    </w:tbl>
    <w:p>
      <w:pPr>
        <w:spacing w:after="0" w:before="120"/>
      </w:pPr>
      <w:r>
        <w:t xml:space="preserve"/>
      </w:r>
    </w:p>
    <w:p>
      <w:pPr>
        <w:pStyle w:val="Heading2"/>
        <w:spacing w:after="120" w:before="320"/>
      </w:pPr>
      <w:r>
        <w:rPr>
          <w:rFonts w:ascii="Arial" w:cs="Arial" w:eastAsia="Arial" w:hAnsi="Arial"/>
          <w:b/>
          <w:bCs/>
          <w:color w:val="E74C5A"/>
          <w:sz w:val="26"/>
          <w:szCs w:val="26"/>
        </w:rPr>
        <w:t xml:space="preserve">8.2  Content Moderation Policy</w:t>
      </w:r>
    </w:p>
    <w:p>
      <w:pPr>
        <w:pStyle w:val="ListParagraph"/>
        <w:numPr>
          <w:ilvl w:val="0"/>
          <w:numId w:val="2"/>
        </w:numPr>
        <w:spacing w:after="40" w:before="40"/>
      </w:pPr>
      <w:r>
        <w:rPr>
          <w:rFonts w:ascii="Arial" w:cs="Arial" w:eastAsia="Arial" w:hAnsi="Arial"/>
          <w:b w:val="false"/>
          <w:bCs w:val="false"/>
          <w:color w:val="2D2D2D"/>
          <w:sz w:val="20"/>
          <w:szCs w:val="20"/>
        </w:rPr>
        <w:t xml:space="preserve">LDA's AI-mediated content (suggestions, prompts) must pass through a content safety filter before delivery to users</w:t>
      </w:r>
    </w:p>
    <w:p>
      <w:pPr>
        <w:pStyle w:val="ListParagraph"/>
        <w:numPr>
          <w:ilvl w:val="0"/>
          <w:numId w:val="2"/>
        </w:numPr>
        <w:spacing w:after="40" w:before="40"/>
      </w:pPr>
      <w:r>
        <w:rPr>
          <w:rFonts w:ascii="Arial" w:cs="Arial" w:eastAsia="Arial" w:hAnsi="Arial"/>
          <w:b w:val="false"/>
          <w:bCs w:val="false"/>
          <w:color w:val="2D2D2D"/>
          <w:sz w:val="20"/>
          <w:szCs w:val="20"/>
        </w:rPr>
        <w:t xml:space="preserve">Users can report harmful content or abusive use — 24-hour review SLA</w:t>
      </w:r>
    </w:p>
    <w:p>
      <w:pPr>
        <w:pStyle w:val="ListParagraph"/>
        <w:numPr>
          <w:ilvl w:val="0"/>
          <w:numId w:val="2"/>
        </w:numPr>
        <w:spacing w:after="40" w:before="40"/>
      </w:pPr>
      <w:r>
        <w:rPr>
          <w:rFonts w:ascii="Arial" w:cs="Arial" w:eastAsia="Arial" w:hAnsi="Arial"/>
          <w:b w:val="false"/>
          <w:bCs w:val="false"/>
          <w:color w:val="2D2D2D"/>
          <w:sz w:val="20"/>
          <w:szCs w:val="20"/>
        </w:rPr>
        <w:t xml:space="preserve">Content involving minors, non-consensual acts, or abuse: zero-tolerance immediate account suspension and law enforcement notification</w:t>
      </w:r>
    </w:p>
    <w:p>
      <w:pPr>
        <w:pStyle w:val="ListParagraph"/>
        <w:numPr>
          <w:ilvl w:val="0"/>
          <w:numId w:val="2"/>
        </w:numPr>
        <w:spacing w:after="40" w:before="40"/>
      </w:pPr>
      <w:r>
        <w:rPr>
          <w:rFonts w:ascii="Arial" w:cs="Arial" w:eastAsia="Arial" w:hAnsi="Arial"/>
          <w:b w:val="false"/>
          <w:bCs w:val="false"/>
          <w:color w:val="2D2D2D"/>
          <w:sz w:val="20"/>
          <w:szCs w:val="20"/>
        </w:rPr>
        <w:t xml:space="preserve">Maintain a content moderation log for all reported incidents (required for legal defence and regulatory audit)</w:t>
      </w:r>
    </w:p>
    <w:p>
      <w:pPr>
        <w:pStyle w:val="ListParagraph"/>
        <w:numPr>
          <w:ilvl w:val="0"/>
          <w:numId w:val="2"/>
        </w:numPr>
        <w:spacing w:after="40" w:before="40"/>
      </w:pPr>
      <w:r>
        <w:rPr>
          <w:rFonts w:ascii="Arial" w:cs="Arial" w:eastAsia="Arial" w:hAnsi="Arial"/>
          <w:b w:val="false"/>
          <w:bCs w:val="false"/>
          <w:color w:val="2D2D2D"/>
          <w:sz w:val="20"/>
          <w:szCs w:val="20"/>
        </w:rPr>
        <w:t xml:space="preserve">Publish a Community Guidelines document (separate from ToS) in plain language</w:t>
      </w:r>
    </w:p>
    <w:p>
      <w:pPr>
        <w:spacing w:after="0" w:before="120"/>
      </w:pPr>
      <w:r>
        <w:t xml:space="preserve"/>
      </w:r>
    </w:p>
    <w:p>
      <w:pPr>
        <w:pStyle w:val="Heading2"/>
        <w:spacing w:after="120" w:before="320"/>
      </w:pPr>
      <w:r>
        <w:rPr>
          <w:rFonts w:ascii="Arial" w:cs="Arial" w:eastAsia="Arial" w:hAnsi="Arial"/>
          <w:b/>
          <w:bCs/>
          <w:color w:val="E74C5A"/>
          <w:sz w:val="26"/>
          <w:szCs w:val="26"/>
        </w:rPr>
        <w:t xml:space="preserve">8.3  Grievance Redressal Mechanism</w:t>
      </w:r>
    </w:p>
    <w:p>
      <w:pPr>
        <w:spacing w:after="80" w:before="60"/>
      </w:pPr>
      <w:r>
        <w:rPr>
          <w:rFonts w:ascii="Arial" w:cs="Arial" w:eastAsia="Arial" w:hAnsi="Arial"/>
          <w:color w:val="2D2D2D"/>
          <w:sz w:val="20"/>
          <w:szCs w:val="20"/>
        </w:rPr>
        <w:t xml:space="preserve">Mandatory under IT (Intermediary Guidelines and Digital Media Ethics Code) Rules, 2021:</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LDA Action</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Grievance Officer Appointment</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Appoint a Grievance Officer (Indian resident). Name and contact must be published in app and website.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Acknowledgement Timeline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Acknowledge all user complaints within 24 hours.</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Resolution Timeline</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Resolve complaints within 15 days of receipt. If not resolvable, explain and refer to appropriate authority.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Monthly Compliance Report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If LDA becomes a 'Significant Social Media Intermediary' (&gt;5M users), publish monthly transparency report.</w:t>
            </w:r>
          </w:p>
        </w:tc>
      </w:tr>
    </w:tbl>
    <w:p>
      <w:r>
        <w:br w:type="page"/>
      </w:r>
    </w:p>
    <w:p>
      <w:pPr>
        <w:pStyle w:val="Heading1"/>
        <w:pBdr>
          <w:bottom w:val="single" w:color="2C3E7A" w:sz="4" w:space="6"/>
        </w:pBdr>
        <w:spacing w:after="160" w:before="400"/>
      </w:pPr>
      <w:r>
        <w:rPr>
          <w:rFonts w:ascii="Arial" w:cs="Arial" w:eastAsia="Arial" w:hAnsi="Arial"/>
          <w:b/>
          <w:bCs/>
          <w:color w:val="2C3E7A"/>
          <w:sz w:val="32"/>
          <w:szCs w:val="32"/>
        </w:rPr>
        <w:t xml:space="preserve">9. International Expansion — Legal Readiness Checklist</w:t>
      </w:r>
    </w:p>
    <w:p>
      <w:pPr>
        <w:pStyle w:val="Heading2"/>
        <w:spacing w:after="120" w:before="320"/>
      </w:pPr>
      <w:r>
        <w:rPr>
          <w:rFonts w:ascii="Arial" w:cs="Arial" w:eastAsia="Arial" w:hAnsi="Arial"/>
          <w:b/>
          <w:bCs/>
          <w:color w:val="E74C5A"/>
          <w:sz w:val="26"/>
          <w:szCs w:val="26"/>
        </w:rPr>
        <w:t xml:space="preserve">9.1  NRI Market (US, UK, UAE, Canada) — Month 6–12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W w:type="dxa" w:w="5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Priority Legal Actions</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United States</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US entity (Delaware C-Corp or LLC) for future fundraising. CCPA/CPRA compliance for California users. No HIPAA compliance needed unless integrating with healthcare providers.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United Kingdom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UK GDPR compliance post-Brexit. ICO registration (data protection fee). UK entity optional initially — geofence UK users to ensure UK-compliant privacy notice served.</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UAE</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UAE PDPL compliance. Appoint a UAE data protection representative. Consider DIFC/ADGM jurisdiction for contracts (better IP protection in disputes).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Canada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PIPEDA compliance (federal). Quebec Law 25 has stronger requirements — treat as GDPR-equivalent for Quebec users.</w:t>
            </w:r>
          </w:p>
        </w:tc>
      </w:tr>
    </w:tbl>
    <w:p>
      <w:pPr>
        <w:spacing w:after="0" w:before="120"/>
      </w:pPr>
      <w:r>
        <w:t xml:space="preserve"/>
      </w:r>
    </w:p>
    <w:p>
      <w:pPr>
        <w:pStyle w:val="Heading2"/>
        <w:spacing w:after="120" w:before="320"/>
      </w:pPr>
      <w:r>
        <w:rPr>
          <w:rFonts w:ascii="Arial" w:cs="Arial" w:eastAsia="Arial" w:hAnsi="Arial"/>
          <w:b/>
          <w:bCs/>
          <w:color w:val="E74C5A"/>
          <w:sz w:val="26"/>
          <w:szCs w:val="26"/>
        </w:rPr>
        <w:t xml:space="preserve">9.2  Southeast Asia Pilot (Indonesia, Philippines) — Month 12–18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W w:type="dxa" w:w="5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Priority Legal Actions</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Indonesia</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Indonesian PDPB (Personal Data Protection Bill) compliance. Local entity (PT company) likely required for operating legally. KOMINFO registration.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Philippines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Data Privacy Act of 2012 (NPC jurisdiction). NPC registration required. Data Protection Officer mandatory. Local entity preferred.</w:t>
            </w:r>
          </w:p>
        </w:tc>
      </w:tr>
    </w:tbl>
    <w:p>
      <w:pPr>
        <w:spacing w:after="0" w:before="120"/>
      </w:pPr>
      <w:r>
        <w:t xml:space="preserve"/>
      </w:r>
    </w:p>
    <w:p>
      <w:pPr>
        <w:pStyle w:val="Heading2"/>
        <w:spacing w:after="120" w:before="320"/>
      </w:pPr>
      <w:r>
        <w:rPr>
          <w:rFonts w:ascii="Arial" w:cs="Arial" w:eastAsia="Arial" w:hAnsi="Arial"/>
          <w:b/>
          <w:bCs/>
          <w:color w:val="E74C5A"/>
          <w:sz w:val="26"/>
          <w:szCs w:val="26"/>
        </w:rPr>
        <w:t xml:space="preserve">9.3  Cross-Border Data Transfer Framework</w:t>
      </w:r>
    </w:p>
    <w:p>
      <w:pPr>
        <w:pStyle w:val="ListParagraph"/>
        <w:numPr>
          <w:ilvl w:val="0"/>
          <w:numId w:val="2"/>
        </w:numPr>
        <w:spacing w:after="40" w:before="40"/>
      </w:pPr>
      <w:r>
        <w:rPr>
          <w:rFonts w:ascii="Arial" w:cs="Arial" w:eastAsia="Arial" w:hAnsi="Arial"/>
          <w:b w:val="false"/>
          <w:bCs w:val="false"/>
          <w:color w:val="2D2D2D"/>
          <w:sz w:val="20"/>
          <w:szCs w:val="20"/>
        </w:rPr>
        <w:t xml:space="preserve">Implement standard contractual clauses (SCCs) for EU-India data transfers</w:t>
      </w:r>
    </w:p>
    <w:p>
      <w:pPr>
        <w:pStyle w:val="ListParagraph"/>
        <w:numPr>
          <w:ilvl w:val="0"/>
          <w:numId w:val="2"/>
        </w:numPr>
        <w:spacing w:after="40" w:before="40"/>
      </w:pPr>
      <w:r>
        <w:rPr>
          <w:rFonts w:ascii="Arial" w:cs="Arial" w:eastAsia="Arial" w:hAnsi="Arial"/>
          <w:b w:val="false"/>
          <w:bCs w:val="false"/>
          <w:color w:val="2D2D2D"/>
          <w:sz w:val="20"/>
          <w:szCs w:val="20"/>
        </w:rPr>
        <w:t xml:space="preserve">Binding Corporate Rules (BCRs) for internal group transfers once multiple entities are established</w:t>
      </w:r>
    </w:p>
    <w:p>
      <w:pPr>
        <w:pStyle w:val="ListParagraph"/>
        <w:numPr>
          <w:ilvl w:val="0"/>
          <w:numId w:val="2"/>
        </w:numPr>
        <w:spacing w:after="40" w:before="40"/>
      </w:pPr>
      <w:r>
        <w:rPr>
          <w:rFonts w:ascii="Arial" w:cs="Arial" w:eastAsia="Arial" w:hAnsi="Arial"/>
          <w:b w:val="false"/>
          <w:bCs w:val="false"/>
          <w:color w:val="2D2D2D"/>
          <w:sz w:val="20"/>
          <w:szCs w:val="20"/>
        </w:rPr>
        <w:t xml:space="preserve">Adequacy assessment for each new jurisdiction before launch</w:t>
      </w:r>
    </w:p>
    <w:p>
      <w:pPr>
        <w:pStyle w:val="ListParagraph"/>
        <w:numPr>
          <w:ilvl w:val="0"/>
          <w:numId w:val="2"/>
        </w:numPr>
        <w:spacing w:after="40" w:before="40"/>
      </w:pPr>
      <w:r>
        <w:rPr>
          <w:rFonts w:ascii="Arial" w:cs="Arial" w:eastAsia="Arial" w:hAnsi="Arial"/>
          <w:b w:val="false"/>
          <w:bCs w:val="false"/>
          <w:color w:val="2D2D2D"/>
          <w:sz w:val="20"/>
          <w:szCs w:val="20"/>
        </w:rPr>
        <w:t xml:space="preserve">Data localisation architecture: region-specific data pods for jurisdictions requiring localisation (India, Indonesia, UAE)</w:t>
      </w:r>
    </w:p>
    <w:p>
      <w:r>
        <w:br w:type="page"/>
      </w:r>
    </w:p>
    <w:p>
      <w:pPr>
        <w:pStyle w:val="Heading1"/>
        <w:pBdr>
          <w:bottom w:val="single" w:color="2C3E7A" w:sz="4" w:space="6"/>
        </w:pBdr>
        <w:spacing w:after="160" w:before="400"/>
      </w:pPr>
      <w:r>
        <w:rPr>
          <w:rFonts w:ascii="Arial" w:cs="Arial" w:eastAsia="Arial" w:hAnsi="Arial"/>
          <w:b/>
          <w:bCs/>
          <w:color w:val="2C3E7A"/>
          <w:sz w:val="32"/>
          <w:szCs w:val="32"/>
        </w:rPr>
        <w:t xml:space="preserve">10. Founder's Master Legal Checklist</w:t>
      </w:r>
    </w:p>
    <w:p>
      <w:pPr>
        <w:spacing w:after="80" w:before="60"/>
      </w:pPr>
      <w:r>
        <w:rPr>
          <w:rFonts w:ascii="Arial" w:cs="Arial" w:eastAsia="Arial" w:hAnsi="Arial"/>
          <w:color w:val="2D2D2D"/>
          <w:sz w:val="20"/>
          <w:szCs w:val="20"/>
        </w:rPr>
        <w:t xml:space="preserve">Use this checklist to track completion of all legal actions. Review with your legal counsel quarterly.</w:t>
      </w:r>
    </w:p>
    <w:p>
      <w:pPr>
        <w:spacing w:after="0" w:before="80"/>
      </w:pPr>
      <w:r>
        <w:t xml:space="preserve"/>
      </w:r>
    </w:p>
    <w:p>
      <w:pPr>
        <w:pStyle w:val="Heading2"/>
        <w:spacing w:after="120" w:before="320"/>
      </w:pPr>
      <w:r>
        <w:rPr>
          <w:rFonts w:ascii="Arial" w:cs="Arial" w:eastAsia="Arial" w:hAnsi="Arial"/>
          <w:b/>
          <w:bCs/>
          <w:color w:val="E74C5A"/>
          <w:sz w:val="26"/>
          <w:szCs w:val="26"/>
        </w:rPr>
        <w:t xml:space="preserve">Phase 1: Pre-Launch (Months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Action Item</w:t>
            </w:r>
          </w:p>
        </w:tc>
        <w:tc>
          <w:tcPr>
            <w:tcW w:type="dxa" w:w="5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Status / Notes</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Incorporate as Private Limited Company</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MoA and AoA drafted and filed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Co-Founder Agreements signed</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IP Assignment Agreements signed by all founders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Trademark filed (Classes 42 &amp; 45)</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Domain names and social handles secured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Startup India / DPIIT recognition obtained</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Privacy Policy drafted and reviewed by counsel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Terms of Service drafted and reviewed by counsel</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Couple Consent Agreement drafted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Grievance Officer appointed and published</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DPO appointed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GST registration obtained</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PCI-DSS compliant payment gateway integrated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Employment agreements for founding team signed</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NDA and IP assignment signed by all contractors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E2EE and data encryption architecture implemented</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Crisis detection protocol implemented and tested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Seed round legal docs (Term Sheet, SHA, SPA) prepared</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bl>
    <w:p>
      <w:pPr>
        <w:spacing w:after="0" w:before="120"/>
      </w:pPr>
      <w:r>
        <w:t xml:space="preserve"/>
      </w:r>
    </w:p>
    <w:p>
      <w:pPr>
        <w:pStyle w:val="Heading2"/>
        <w:spacing w:after="120" w:before="320"/>
      </w:pPr>
      <w:r>
        <w:rPr>
          <w:rFonts w:ascii="Arial" w:cs="Arial" w:eastAsia="Arial" w:hAnsi="Arial"/>
          <w:b/>
          <w:bCs/>
          <w:color w:val="E74C5A"/>
          <w:sz w:val="26"/>
          <w:szCs w:val="26"/>
        </w:rPr>
        <w:t xml:space="preserve">Phase 2: Post-Launch Scale (Months 3–18)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Action Item</w:t>
            </w:r>
          </w:p>
        </w:tc>
        <w:tc>
          <w:tcPr>
            <w:tcW w:type="dxa" w:w="5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Status / Notes</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Therapist onboarding agreement finalised</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B2B MSA and DPA templates prepared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ESOP plan adopted by board</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Annual compliance audit (DPDPA)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AI bias audit conducted</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Penetration test by CERT-In empanelled firm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ISO 27001 certification process initiated</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International TM filings (Madrid Protocol)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US entity incorporated (Delaware)</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CCPA / UK GDPR compliance implemented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bl>
    <w:p>
      <w:pPr>
        <w:spacing w:after="0" w:before="120"/>
      </w:pPr>
      <w:r>
        <w:t xml:space="preserve"/>
      </w:r>
    </w:p>
    <w:p>
      <w:pPr>
        <w:pStyle w:val="Heading2"/>
        <w:spacing w:after="120" w:before="320"/>
      </w:pPr>
      <w:r>
        <w:rPr>
          <w:rFonts w:ascii="Arial" w:cs="Arial" w:eastAsia="Arial" w:hAnsi="Arial"/>
          <w:b/>
          <w:bCs/>
          <w:color w:val="E74C5A"/>
          <w:sz w:val="26"/>
          <w:szCs w:val="26"/>
        </w:rPr>
        <w:t xml:space="preserve">Phase 3: Global Expansion (Month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Action Item</w:t>
            </w:r>
          </w:p>
        </w:tc>
        <w:tc>
          <w:tcPr>
            <w:tcW w:type="dxa" w:w="5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Status / Notes</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Indonesia PT entity incorporated</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KOMINFO registration (Indonesia)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Philippines NPC registration</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UAE data protection representative appointed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SOC 2 Type II certification achieved</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Series A legal docs prepared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Transfer pricing policy documented</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Annual AI Transparency Report published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 Pending  □ In Progress  □ Complete</w:t>
            </w:r>
          </w:p>
        </w:tc>
      </w:tr>
    </w:tbl>
    <w:p>
      <w:r>
        <w:br w:type="page"/>
      </w:r>
    </w:p>
    <w:p>
      <w:pPr>
        <w:pStyle w:val="Heading1"/>
        <w:pBdr>
          <w:bottom w:val="single" w:color="2C3E7A" w:sz="4" w:space="6"/>
        </w:pBdr>
        <w:spacing w:after="160" w:before="400"/>
      </w:pPr>
      <w:r>
        <w:rPr>
          <w:rFonts w:ascii="Arial" w:cs="Arial" w:eastAsia="Arial" w:hAnsi="Arial"/>
          <w:b/>
          <w:bCs/>
          <w:color w:val="2C3E7A"/>
          <w:sz w:val="32"/>
          <w:szCs w:val="32"/>
        </w:rPr>
        <w:t xml:space="preserve">11. Recommended Legal Partners &amp; Budget</w:t>
      </w:r>
    </w:p>
    <w:p>
      <w:pPr>
        <w:pStyle w:val="Heading2"/>
        <w:spacing w:after="120" w:before="320"/>
      </w:pPr>
      <w:r>
        <w:rPr>
          <w:rFonts w:ascii="Arial" w:cs="Arial" w:eastAsia="Arial" w:hAnsi="Arial"/>
          <w:b/>
          <w:bCs/>
          <w:color w:val="E74C5A"/>
          <w:sz w:val="26"/>
          <w:szCs w:val="26"/>
        </w:rPr>
        <w:t xml:space="preserve">11.1  Legal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5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Company Formation &amp; Compliance</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Indian chartered company secretary (CS) — retainer basis. Budget: ₹15,000–25,000/month.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Technology &amp; IP Law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Specialised tech law firm with startup experience (e.g., firms with a startup desk). Budget: ₹50,000–1,00,000 for formation package.</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Data Privacy Counsel</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Specialist in DPDPA + GDPR. Especially critical given LDA's sensitive data profile. Budget: ₹1,00,000–2,00,000 for policy suite + annual retainer.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Employment Law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Required at Series A or 20+ employees. Can use general startup counsel until then.</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International Expansion</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Local counsel in each jurisdiction. Budget: $3,000–8,000 per country for initial setup.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In-House Counsel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Target hire at Series A or once revenue exceeds ₹5 Cr. Until then, manage through external counsel.</w:t>
            </w:r>
          </w:p>
        </w:tc>
      </w:tr>
    </w:tbl>
    <w:p>
      <w:pPr>
        <w:spacing w:after="0" w:before="120"/>
      </w:pPr>
      <w:r>
        <w:t xml:space="preserve"/>
      </w:r>
    </w:p>
    <w:p>
      <w:pPr>
        <w:pStyle w:val="Heading2"/>
        <w:spacing w:after="120" w:before="320"/>
      </w:pPr>
      <w:r>
        <w:rPr>
          <w:rFonts w:ascii="Arial" w:cs="Arial" w:eastAsia="Arial" w:hAnsi="Arial"/>
          <w:b/>
          <w:bCs/>
          <w:color w:val="E74C5A"/>
          <w:sz w:val="26"/>
          <w:szCs w:val="26"/>
        </w:rPr>
        <w:t xml:space="preserve">11.2  Estimated Legal Budget — Seed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Expense Item</w:t>
            </w:r>
          </w:p>
        </w:tc>
        <w:tc>
          <w:tcPr>
            <w:tcW w:type="dxa" w:w="5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Estimated Cost (INR)</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Company incorporation (SPICe+ + professional fees)</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₹25,000 – ₹40,000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Trademark filing (Classes 42 &amp; 45)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₹20,000 – ₹35,000</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Privacy Policy + ToS + Couple Agreement (legal review)</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₹75,000 – ₹1,50,000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Co-Founder + SHA + SPA drafting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₹1,00,000 – ₹2,00,000</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ESOP Policy</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₹30,000 – ₹60,000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GST registration + first return filing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₹5,000 – ₹15,000</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Monthly CS retainer (compliance filings)</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₹15,000 – ₹25,000 p.m.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Annual legal contingency 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₹5,00,000</w:t>
            </w:r>
          </w:p>
        </w:tc>
      </w:tr>
      <w:tr>
        <w:tc>
          <w:tcPr>
            <w:tcW w:type="dxa" w:w="400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b/>
                <w:bCs/>
                <w:color w:val="1A1A2E"/>
                <w:sz w:val="19"/>
                <w:szCs w:val="19"/>
              </w:rPr>
              <w:t xml:space="preserve">Total First-Year Legal Budget (estimate)</w:t>
            </w:r>
          </w:p>
        </w:tc>
        <w:tc>
          <w:tcPr>
            <w:tcW w:type="dxa" w:w="5360"/>
            <w:tcBorders>
              <w:top w:val="single" w:color="CCCCCC" w:sz="1"/>
              <w:left w:val="single" w:color="CCCCCC" w:sz="1"/>
              <w:bottom w:val="single" w:color="CCCCCC" w:sz="1"/>
              <w:right w:val="single" w:color="CCCCCC" w:sz="1"/>
            </w:tcBorders>
            <w:shd w:fill="EEF1F8" w:val="clear"/>
            <w:tcMar>
              <w:top w:type="dxa" w:w="80"/>
              <w:left w:type="dxa" w:w="120"/>
              <w:bottom w:type="dxa" w:w="80"/>
              <w:right w:type="dxa" w:w="120"/>
            </w:tcMar>
          </w:tcPr>
          <w:p>
            <w:r>
              <w:rPr>
                <w:rFonts w:ascii="Arial" w:cs="Arial" w:eastAsia="Arial" w:hAnsi="Arial"/>
                <w:color w:val="2D2D2D"/>
                <w:sz w:val="19"/>
                <w:szCs w:val="19"/>
              </w:rPr>
              <w:t xml:space="preserve">₹8,00,000 – ₹12,00,000</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DEF0" w:val="clear"/>
            <w:tcMar>
              <w:top w:type="dxa" w:w="140"/>
              <w:left w:type="dxa" w:w="200"/>
              <w:bottom w:type="dxa" w:w="140"/>
              <w:right w:type="dxa" w:w="200"/>
            </w:tcMar>
          </w:tcPr>
          <w:p>
            <w:r>
              <w:rPr>
                <w:rFonts w:ascii="Arial" w:cs="Arial" w:eastAsia="Arial" w:hAnsi="Arial"/>
                <w:b/>
                <w:bCs/>
                <w:color w:val="2C3E7A"/>
                <w:sz w:val="22"/>
                <w:szCs w:val="22"/>
              </w:rPr>
              <w:t xml:space="preserve">This document is a strategic legal blueprint for the founding team of Let's Date Again. It must be reviewed, refined, and executed with the guidance of qualified legal counsel in each relevant jurisdiction. Laws change — schedule a quarterly legal review as the company scales.</w:t>
            </w:r>
          </w:p>
        </w:tc>
      </w:tr>
    </w:tbl>
    <w:p>
      <w:pPr>
        <w:spacing w:after="0" w:before="100"/>
      </w:pPr>
      <w:r>
        <w:t xml:space="preserve"/>
      </w:r>
    </w:p>
    <w:p>
      <w:pPr>
        <w:jc w:val="center"/>
      </w:pPr>
      <w:r>
        <w:rPr>
          <w:rFonts w:ascii="Arial" w:cs="Arial" w:eastAsia="Arial" w:hAnsi="Arial"/>
          <w:b/>
          <w:bCs/>
          <w:i/>
          <w:iCs/>
          <w:color w:val="2C3E7A"/>
          <w:sz w:val="22"/>
          <w:szCs w:val="22"/>
        </w:rPr>
        <w:t xml:space="preserve">Let's Date Again — Building India's Daily Relationship Ritual</w:t>
      </w:r>
    </w:p>
    <w:p>
      <w:pPr>
        <w:jc w:val="center"/>
      </w:pPr>
      <w:r>
        <w:rPr>
          <w:rFonts w:ascii="Arial" w:cs="Arial" w:eastAsia="Arial" w:hAnsi="Arial"/>
          <w:color w:val="888888"/>
          <w:sz w:val="18"/>
          <w:szCs w:val="18"/>
        </w:rPr>
        <w:t xml:space="preserve">Confidential | v1.0 |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F0" w:sz="2" w:space="4"/>
      </w:pBdr>
      <w:jc w:val="center"/>
    </w:pPr>
    <w:r>
      <w:rPr>
        <w:rFonts w:ascii="Arial" w:cs="Arial" w:eastAsia="Arial" w:hAnsi="Arial"/>
        <w:color w:val="888888"/>
        <w:sz w:val="16"/>
        <w:szCs w:val="16"/>
      </w:rPr>
      <w:t xml:space="preserve">Let's Date Again Pvt. Ltd.  •  Confidential &amp; Proprietary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7A" w:sz="4" w:space="4"/>
      </w:pBdr>
    </w:pPr>
    <w:r>
      <w:rPr>
        <w:rFonts w:ascii="Arial" w:cs="Arial" w:eastAsia="Arial" w:hAnsi="Arial"/>
        <w:b/>
        <w:bCs/>
        <w:color w:val="2C3E7A"/>
        <w:sz w:val="18"/>
        <w:szCs w:val="18"/>
      </w:rPr>
      <w:t xml:space="preserve">LET'S DATE AGAIN  •  Legal &amp; Compliance Framework</w:t>
    </w:r>
    <w:r>
      <w:rPr>
        <w:rFonts w:ascii="Arial" w:cs="Arial" w:eastAsia="Arial" w:hAnsi="Arial"/>
        <w:color w:val="99999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C3E7A"/>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E74C5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2026-04-02T19:56:31.952Z</dcterms:created>
  <dcterms:modified xsi:type="dcterms:W3CDTF">2026-04-02T19:56:31.953Z</dcterms:modified>
</cp:coreProperties>
</file>

<file path=docProps/custom.xml><?xml version="1.0" encoding="utf-8"?>
<Properties xmlns="http://schemas.openxmlformats.org/officeDocument/2006/custom-properties" xmlns:vt="http://schemas.openxmlformats.org/officeDocument/2006/docPropsVTypes"/>
</file>