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CA404" w14:textId="77777777" w:rsidR="009362A4" w:rsidRPr="009C4837" w:rsidRDefault="009362A4" w:rsidP="009362A4">
      <w:pPr>
        <w:pStyle w:val="Heading1"/>
        <w:tabs>
          <w:tab w:val="num" w:pos="360"/>
        </w:tabs>
      </w:pPr>
      <w:bookmarkStart w:id="0" w:name="_Ref29303711"/>
      <w:bookmarkStart w:id="1" w:name="_Toc43392290"/>
      <w:bookmarkStart w:id="2" w:name="_Toc44936306"/>
      <w:bookmarkStart w:id="3" w:name="_Toc154989582"/>
      <w:r w:rsidRPr="009C4837">
        <w:t>Copyright</w:t>
      </w:r>
      <w:bookmarkEnd w:id="0"/>
      <w:bookmarkEnd w:id="1"/>
      <w:bookmarkEnd w:id="2"/>
      <w:bookmarkEnd w:id="3"/>
    </w:p>
    <w:p w14:paraId="792D2017" w14:textId="77777777" w:rsidR="009362A4" w:rsidRPr="0023116E" w:rsidRDefault="009362A4" w:rsidP="009362A4">
      <w:pPr>
        <w:pStyle w:val="Confidentialnote"/>
      </w:pPr>
      <w:r w:rsidRPr="008B2C3F">
        <w:rPr>
          <w:b/>
          <w:bCs/>
        </w:rPr>
        <w:t>©</w:t>
      </w:r>
      <w:r>
        <w:rPr>
          <w:b/>
          <w:bCs/>
        </w:rPr>
        <w:t>2025</w:t>
      </w:r>
      <w:r w:rsidRPr="008B2C3F">
        <w:rPr>
          <w:b/>
          <w:bCs/>
        </w:rPr>
        <w:t xml:space="preserve"> </w:t>
      </w:r>
      <w:proofErr w:type="spellStart"/>
      <w:r w:rsidRPr="008B2C3F">
        <w:rPr>
          <w:b/>
          <w:bCs/>
        </w:rPr>
        <w:t>Camtek</w:t>
      </w:r>
      <w:proofErr w:type="spellEnd"/>
      <w:r w:rsidRPr="008B2C3F">
        <w:rPr>
          <w:b/>
          <w:bCs/>
        </w:rPr>
        <w:t xml:space="preserve"> Ltd. All rights reserved</w:t>
      </w:r>
      <w:r w:rsidRPr="0023116E">
        <w:t>.</w:t>
      </w:r>
    </w:p>
    <w:p w14:paraId="53350F43" w14:textId="77777777" w:rsidR="009362A4" w:rsidRPr="0023116E" w:rsidRDefault="009362A4" w:rsidP="009362A4">
      <w:pPr>
        <w:pStyle w:val="Confidentialnote"/>
      </w:pPr>
      <w:proofErr w:type="spellStart"/>
      <w:r w:rsidRPr="0023116E">
        <w:t>Camtek</w:t>
      </w:r>
      <w:proofErr w:type="spellEnd"/>
      <w:r w:rsidRPr="0023116E">
        <w:t xml:space="preserve"> is the sole proprietor of all the intellectual property rights of the Product described in this manual and of this manual and/or any other document produced by </w:t>
      </w:r>
      <w:proofErr w:type="spellStart"/>
      <w:r w:rsidRPr="0023116E">
        <w:t>Camtek</w:t>
      </w:r>
      <w:proofErr w:type="spellEnd"/>
      <w:r w:rsidRPr="0023116E">
        <w:t xml:space="preserve"> relating thereto. The Product and any other related documents are protected by applicable intellectual property laws </w:t>
      </w:r>
      <w:proofErr w:type="gramStart"/>
      <w:r w:rsidRPr="0023116E">
        <w:t>including without limitation</w:t>
      </w:r>
      <w:proofErr w:type="gramEnd"/>
      <w:r w:rsidRPr="0023116E">
        <w:t xml:space="preserve"> copyrights, patents, trademarks, know how, trade secrets, design rights, or other forms of protection of intellectual property, whether registered, non-registered or in the process of application and international treaties.</w:t>
      </w:r>
    </w:p>
    <w:p w14:paraId="35974F63" w14:textId="77777777" w:rsidR="009362A4" w:rsidRPr="0023116E" w:rsidRDefault="009362A4" w:rsidP="009362A4">
      <w:pPr>
        <w:pStyle w:val="Confidentialnote"/>
      </w:pPr>
      <w:r w:rsidRPr="0023116E">
        <w:t xml:space="preserve">The purchasing of the Product and the furnishing of any related documents shall not constitute the granting to the user of any proprietary rights to the Product or to the manual and the proprietary rights of the Product and of the </w:t>
      </w:r>
      <w:proofErr w:type="gramStart"/>
      <w:r w:rsidRPr="0023116E">
        <w:t>manual</w:t>
      </w:r>
      <w:proofErr w:type="gramEnd"/>
      <w:r w:rsidRPr="0023116E">
        <w:t xml:space="preserve"> are and shall remain, </w:t>
      </w:r>
      <w:proofErr w:type="gramStart"/>
      <w:r w:rsidRPr="0023116E">
        <w:t>at all times</w:t>
      </w:r>
      <w:proofErr w:type="gramEnd"/>
      <w:r w:rsidRPr="0023116E">
        <w:t xml:space="preserve">, the sole and exclusive property of </w:t>
      </w:r>
      <w:proofErr w:type="spellStart"/>
      <w:r w:rsidRPr="0023116E">
        <w:t>Camtek</w:t>
      </w:r>
      <w:proofErr w:type="spellEnd"/>
      <w:r w:rsidRPr="0023116E">
        <w:t xml:space="preserve">. </w:t>
      </w:r>
    </w:p>
    <w:p w14:paraId="08CD5ED6" w14:textId="77777777" w:rsidR="009362A4" w:rsidRPr="0023116E" w:rsidRDefault="009362A4" w:rsidP="009362A4">
      <w:pPr>
        <w:pStyle w:val="Confidentialnote"/>
      </w:pPr>
      <w:r w:rsidRPr="0023116E">
        <w:t xml:space="preserve">No part of the Product or the manual shall be used, copied, reproduced, translated, converted, modified, adapted, displayed, stored in a retrieval system, communicated or transmitted by any means, for any commercial purpose, including without limitation, sale, </w:t>
      </w:r>
      <w:proofErr w:type="gramStart"/>
      <w:r w:rsidRPr="0023116E">
        <w:t>resale, distribution</w:t>
      </w:r>
      <w:proofErr w:type="gramEnd"/>
      <w:r w:rsidRPr="0023116E">
        <w:t xml:space="preserve">, reproduction, license, rental or lease without receiving written permission from </w:t>
      </w:r>
      <w:proofErr w:type="spellStart"/>
      <w:r w:rsidRPr="0023116E">
        <w:t>Camtek</w:t>
      </w:r>
      <w:proofErr w:type="spellEnd"/>
      <w:r w:rsidRPr="0023116E">
        <w:t xml:space="preserve">.  </w:t>
      </w:r>
    </w:p>
    <w:p w14:paraId="49BBF15D" w14:textId="77777777" w:rsidR="009362A4" w:rsidRPr="0023116E" w:rsidRDefault="009362A4" w:rsidP="009362A4">
      <w:pPr>
        <w:pStyle w:val="Confidentialnote"/>
      </w:pPr>
      <w:proofErr w:type="spellStart"/>
      <w:r w:rsidRPr="0023116E">
        <w:t>Camtek</w:t>
      </w:r>
      <w:proofErr w:type="spellEnd"/>
      <w:r w:rsidRPr="0023116E">
        <w:t xml:space="preserve"> makes no express or implied representation or warranty as to the accuracy or completeness of the contents of this manual, which is provided as is, and assumes no responsibility or liability for any errors or inaccuracies that may appear in this document or for any product that may be provided in association with this document.</w:t>
      </w:r>
    </w:p>
    <w:p w14:paraId="4A274A69" w14:textId="77777777" w:rsidR="009362A4" w:rsidRPr="0023116E" w:rsidRDefault="009362A4" w:rsidP="009362A4">
      <w:pPr>
        <w:pStyle w:val="Confidentialnote"/>
      </w:pPr>
      <w:proofErr w:type="gramStart"/>
      <w:r w:rsidRPr="0038536F">
        <w:t>Product</w:t>
      </w:r>
      <w:proofErr w:type="gramEnd"/>
      <w:r w:rsidRPr="0038536F">
        <w:t>/s described in this manual (with or without a model differentiation that can vary) are covered and protected by patents listed in Camtek.com/patents.</w:t>
      </w:r>
    </w:p>
    <w:p w14:paraId="605E7EE0" w14:textId="77777777" w:rsidR="009362A4" w:rsidRDefault="009362A4" w:rsidP="009362A4">
      <w:pPr>
        <w:pStyle w:val="Confidentialnote"/>
      </w:pPr>
      <w:r w:rsidRPr="0023116E">
        <w:t>The following lists all trademarks mentioned herein:</w:t>
      </w:r>
    </w:p>
    <w:p w14:paraId="24364453" w14:textId="77777777" w:rsidR="009362A4" w:rsidRPr="003F77C8" w:rsidRDefault="009362A4" w:rsidP="009362A4">
      <w:pPr>
        <w:pStyle w:val="Confidentialnote"/>
        <w:rPr>
          <w:lang w:val="en-NZ"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1"/>
        <w:gridCol w:w="5080"/>
      </w:tblGrid>
      <w:tr w:rsidR="009362A4" w:rsidRPr="003F77C8" w14:paraId="4F080D61" w14:textId="77777777" w:rsidTr="004D17A0">
        <w:tc>
          <w:tcPr>
            <w:tcW w:w="3471" w:type="dxa"/>
            <w:tcMar>
              <w:left w:w="108" w:type="dxa"/>
              <w:right w:w="108" w:type="dxa"/>
            </w:tcMar>
          </w:tcPr>
          <w:p w14:paraId="50E7DBAC" w14:textId="77777777" w:rsidR="009362A4" w:rsidRPr="003F77C8" w:rsidRDefault="009362A4" w:rsidP="004D17A0">
            <w:pPr>
              <w:pStyle w:val="Confidentialnote"/>
              <w:rPr>
                <w:szCs w:val="24"/>
                <w:lang w:val="en-NZ" w:eastAsia="zh-CN"/>
              </w:rPr>
            </w:pPr>
            <w:r w:rsidRPr="003F77C8">
              <w:rPr>
                <w:lang w:val="en-NZ" w:eastAsia="zh-CN"/>
              </w:rPr>
              <w:t>The Trademark</w:t>
            </w:r>
          </w:p>
        </w:tc>
        <w:tc>
          <w:tcPr>
            <w:tcW w:w="5080" w:type="dxa"/>
            <w:tcMar>
              <w:left w:w="108" w:type="dxa"/>
              <w:right w:w="108" w:type="dxa"/>
            </w:tcMar>
          </w:tcPr>
          <w:p w14:paraId="69E3462D" w14:textId="77777777" w:rsidR="009362A4" w:rsidRPr="003F77C8" w:rsidRDefault="009362A4" w:rsidP="004D17A0">
            <w:pPr>
              <w:pStyle w:val="Confidentialnote"/>
              <w:rPr>
                <w:szCs w:val="24"/>
                <w:lang w:val="en-NZ" w:eastAsia="zh-CN"/>
              </w:rPr>
            </w:pPr>
            <w:r w:rsidRPr="003F77C8">
              <w:rPr>
                <w:lang w:val="en-NZ" w:eastAsia="zh-CN"/>
              </w:rPr>
              <w:t>The Owner</w:t>
            </w:r>
          </w:p>
        </w:tc>
      </w:tr>
      <w:tr w:rsidR="009362A4" w:rsidRPr="003F77C8" w14:paraId="3C58EE02" w14:textId="77777777" w:rsidTr="004D17A0">
        <w:tc>
          <w:tcPr>
            <w:tcW w:w="3471" w:type="dxa"/>
            <w:tcMar>
              <w:left w:w="108" w:type="dxa"/>
              <w:right w:w="108" w:type="dxa"/>
            </w:tcMar>
          </w:tcPr>
          <w:p w14:paraId="02F624B3" w14:textId="77777777" w:rsidR="009362A4" w:rsidRPr="003F77C8" w:rsidRDefault="009362A4" w:rsidP="004D17A0">
            <w:pPr>
              <w:pStyle w:val="Confidentialnote"/>
              <w:rPr>
                <w:rFonts w:ascii="Verdana" w:hAnsi="Verdana"/>
                <w:color w:val="000000"/>
                <w:sz w:val="18"/>
                <w:szCs w:val="24"/>
                <w:lang w:val="en-NZ" w:eastAsia="zh-CN"/>
              </w:rPr>
            </w:pPr>
            <w:r w:rsidRPr="003F77C8">
              <w:rPr>
                <w:rFonts w:ascii="Verdana" w:hAnsi="Verdana"/>
                <w:color w:val="000000"/>
                <w:sz w:val="18"/>
                <w:szCs w:val="24"/>
                <w:lang w:val="en-NZ" w:eastAsia="zh-CN"/>
              </w:rPr>
              <w:t xml:space="preserve">Windows </w:t>
            </w:r>
            <w:r>
              <w:rPr>
                <w:rFonts w:ascii="Verdana" w:hAnsi="Verdana"/>
                <w:color w:val="000000"/>
                <w:sz w:val="18"/>
                <w:szCs w:val="24"/>
                <w:lang w:val="en-NZ" w:eastAsia="zh-CN"/>
              </w:rPr>
              <w:t>7, Windows 10</w:t>
            </w:r>
          </w:p>
        </w:tc>
        <w:tc>
          <w:tcPr>
            <w:tcW w:w="5080" w:type="dxa"/>
            <w:tcMar>
              <w:left w:w="108" w:type="dxa"/>
              <w:right w:w="108" w:type="dxa"/>
            </w:tcMar>
          </w:tcPr>
          <w:p w14:paraId="37EA8E11" w14:textId="77777777" w:rsidR="009362A4" w:rsidRPr="003F77C8" w:rsidRDefault="009362A4" w:rsidP="004D17A0">
            <w:pPr>
              <w:pStyle w:val="Confidentialnote"/>
              <w:rPr>
                <w:lang w:val="en-NZ" w:eastAsia="zh-CN"/>
              </w:rPr>
            </w:pPr>
            <w:r w:rsidRPr="003F77C8">
              <w:rPr>
                <w:lang w:val="en-NZ" w:eastAsia="zh-CN"/>
              </w:rPr>
              <w:t>Microsoft Corporation</w:t>
            </w:r>
          </w:p>
        </w:tc>
      </w:tr>
    </w:tbl>
    <w:p w14:paraId="3AAF8650" w14:textId="77777777" w:rsidR="009362A4" w:rsidRPr="0023116E" w:rsidRDefault="009362A4" w:rsidP="009362A4">
      <w:pPr>
        <w:pStyle w:val="Confidentialnote"/>
      </w:pPr>
      <w:r w:rsidRPr="0023116E">
        <w:t xml:space="preserve">All trademarks not owned by </w:t>
      </w:r>
      <w:proofErr w:type="spellStart"/>
      <w:r w:rsidRPr="0023116E">
        <w:t>Camtek</w:t>
      </w:r>
      <w:proofErr w:type="spellEnd"/>
      <w:r w:rsidRPr="0023116E">
        <w:t xml:space="preserve"> are used by license.</w:t>
      </w:r>
    </w:p>
    <w:p w14:paraId="7AC07EC1" w14:textId="77777777" w:rsidR="009362A4" w:rsidRDefault="009362A4" w:rsidP="009362A4">
      <w:pPr>
        <w:pStyle w:val="Confidentialnote"/>
      </w:pPr>
      <w:proofErr w:type="gramStart"/>
      <w:r>
        <w:t xml:space="preserve">This software of </w:t>
      </w:r>
      <w:proofErr w:type="spellStart"/>
      <w:r>
        <w:t>Camtek</w:t>
      </w:r>
      <w:proofErr w:type="spellEnd"/>
      <w:proofErr w:type="gramEnd"/>
      <w:r>
        <w:t xml:space="preserve"> Ltd makes use of the following </w:t>
      </w:r>
      <w:proofErr w:type="gramStart"/>
      <w:r>
        <w:t>open source</w:t>
      </w:r>
      <w:proofErr w:type="gramEnd"/>
      <w:r>
        <w:t xml:space="preserve"> software component/s, which bore the copyright notices listed below and which are released under the list of conditions (licenses) which are detailed below:</w:t>
      </w:r>
    </w:p>
    <w:p w14:paraId="45CBAE32" w14:textId="77777777" w:rsidR="009362A4" w:rsidRPr="008B2C3F" w:rsidRDefault="009362A4" w:rsidP="009362A4">
      <w:pPr>
        <w:pStyle w:val="Confidentialnote"/>
        <w:rPr>
          <w:b/>
          <w:bCs/>
        </w:rPr>
      </w:pPr>
      <w:r w:rsidRPr="008B2C3F">
        <w:rPr>
          <w:b/>
          <w:bCs/>
        </w:rPr>
        <w:t>Stateless Copyright © 2015 Nicholas Blumhardt:</w:t>
      </w:r>
    </w:p>
    <w:p w14:paraId="31E68636" w14:textId="77777777" w:rsidR="009362A4" w:rsidRDefault="009362A4" w:rsidP="009362A4">
      <w:pPr>
        <w:pStyle w:val="Confidentialnote"/>
      </w:pPr>
      <w:r>
        <w:t>Licensed under the Apache License, Version 2.0 (the “License”); You may not use this file except in compliance with the License. You may obtain a copy of the License at:</w:t>
      </w:r>
    </w:p>
    <w:p w14:paraId="73B79B7B" w14:textId="77777777" w:rsidR="009362A4" w:rsidRDefault="009362A4" w:rsidP="009362A4">
      <w:pPr>
        <w:pStyle w:val="Confidentialnote"/>
      </w:pPr>
      <w:hyperlink r:id="rId5" w:history="1">
        <w:r w:rsidRPr="008B2C3F">
          <w:rPr>
            <w:rStyle w:val="Hyperlink"/>
          </w:rPr>
          <w:t>http://www.apache.org/licenses/LICENSE-2.0</w:t>
        </w:r>
      </w:hyperlink>
      <w:r>
        <w:t>.</w:t>
      </w:r>
    </w:p>
    <w:p w14:paraId="65D4C407" w14:textId="77777777" w:rsidR="009362A4" w:rsidRDefault="009362A4" w:rsidP="009362A4">
      <w:pPr>
        <w:pStyle w:val="Confidentialnote"/>
      </w:pPr>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p>
    <w:p w14:paraId="2E71349C" w14:textId="77777777" w:rsidR="009362A4" w:rsidRDefault="009362A4" w:rsidP="009362A4">
      <w:pPr>
        <w:pStyle w:val="Confidentialnote"/>
        <w:pageBreakBefore/>
      </w:pPr>
      <w:proofErr w:type="spellStart"/>
      <w:r w:rsidRPr="008B2C3F">
        <w:rPr>
          <w:b/>
          <w:bCs/>
        </w:rPr>
        <w:lastRenderedPageBreak/>
        <w:t>RazorEngine</w:t>
      </w:r>
      <w:proofErr w:type="spellEnd"/>
      <w:r w:rsidRPr="008B2C3F">
        <w:rPr>
          <w:b/>
          <w:bCs/>
        </w:rPr>
        <w:t xml:space="preserve"> Copyright © 2016 Matthew Abbott, Ben </w:t>
      </w:r>
      <w:proofErr w:type="spellStart"/>
      <w:r w:rsidRPr="008B2C3F">
        <w:rPr>
          <w:b/>
          <w:bCs/>
        </w:rPr>
        <w:t>Dornis</w:t>
      </w:r>
      <w:proofErr w:type="spellEnd"/>
      <w:r w:rsidRPr="008B2C3F">
        <w:rPr>
          <w:b/>
          <w:bCs/>
        </w:rPr>
        <w:t>, Matthias Dittrich. All rights reserved</w:t>
      </w:r>
      <w:r>
        <w:t>.</w:t>
      </w:r>
    </w:p>
    <w:p w14:paraId="47FC0602" w14:textId="77777777" w:rsidR="009362A4" w:rsidRDefault="009362A4" w:rsidP="009362A4">
      <w:pPr>
        <w:pStyle w:val="Confidentialnote"/>
      </w:pPr>
      <w:r>
        <w:t>This product includes code from the above sources, licensed by a third party or third parties pursuant to the Apache license version 2.0, contained hereinbelow and that is subject to the following notice: You may not use this file except in compliance with the Apache 2.0 License.</w:t>
      </w:r>
    </w:p>
    <w:p w14:paraId="2A7F638E" w14:textId="77777777" w:rsidR="009362A4" w:rsidRDefault="009362A4" w:rsidP="009362A4">
      <w:pPr>
        <w:pStyle w:val="Confidentialnote"/>
      </w:pPr>
      <w:r>
        <w:t>Unless required by applicable law or agreed to in writing, software distributed under the Apache 2.0 is distributed on an “AS IS” BASIS, WITHOUT WARRANTIES OR CONDITIONS OF ANY KIND, either express or implied.</w:t>
      </w:r>
    </w:p>
    <w:p w14:paraId="741AF67B" w14:textId="77777777" w:rsidR="009362A4" w:rsidRDefault="009362A4" w:rsidP="009362A4">
      <w:pPr>
        <w:pStyle w:val="Confidentialnote"/>
      </w:pPr>
      <w:r>
        <w:t>See the following Apache 2.0 license for the specific language governing permissions and limitations under the license: Apache License Version 2.0, January 2004</w:t>
      </w:r>
    </w:p>
    <w:p w14:paraId="496EB9DB" w14:textId="77777777" w:rsidR="009362A4" w:rsidRDefault="009362A4" w:rsidP="009362A4">
      <w:pPr>
        <w:pStyle w:val="Confidentialnote"/>
      </w:pPr>
      <w:r w:rsidRPr="008B2C3F">
        <w:rPr>
          <w:b/>
          <w:bCs/>
        </w:rPr>
        <w:t>Apache log4net All rights reserved</w:t>
      </w:r>
      <w:r>
        <w:t>.</w:t>
      </w:r>
    </w:p>
    <w:p w14:paraId="37DCD310" w14:textId="77777777" w:rsidR="009362A4" w:rsidRDefault="009362A4" w:rsidP="009362A4">
      <w:pPr>
        <w:pStyle w:val="Confidentialnote"/>
      </w:pPr>
      <w:r>
        <w:t>This product includes code from the above sources, licensed by a third party or third parties pursuant to the Apache license version 2.0, contained hereinbelow and that is subject to the following notice: You may not use this file except in compliance with the Apache 2.0 License.</w:t>
      </w:r>
    </w:p>
    <w:p w14:paraId="2D99D1BF" w14:textId="77777777" w:rsidR="009362A4" w:rsidRDefault="009362A4" w:rsidP="009362A4">
      <w:pPr>
        <w:pStyle w:val="Confidentialnote"/>
      </w:pPr>
      <w:r>
        <w:t>Unless required by applicable law or agreed to in writing, software distributed under the Apache 2.0 is distributed on an “AS IS” BASIS, WITHOUT WARRANTIES OR CONDITIONS OF ANY KIND, either express or implied.</w:t>
      </w:r>
    </w:p>
    <w:p w14:paraId="01106A6D" w14:textId="77777777" w:rsidR="009362A4" w:rsidRDefault="009362A4" w:rsidP="009362A4">
      <w:pPr>
        <w:pStyle w:val="Confidentialnote"/>
      </w:pPr>
      <w:r>
        <w:t>See the following Apache 2.0 license for the specific language governing permissions and limitations under the license: Apache License Version 2.0, January 2004</w:t>
      </w:r>
    </w:p>
    <w:p w14:paraId="6DCF897F" w14:textId="77777777" w:rsidR="009362A4" w:rsidRDefault="009362A4" w:rsidP="009362A4">
      <w:pPr>
        <w:pStyle w:val="Confidentialnote"/>
      </w:pPr>
      <w:hyperlink r:id="rId6" w:history="1">
        <w:r w:rsidRPr="008B2C3F">
          <w:rPr>
            <w:rStyle w:val="Hyperlink"/>
          </w:rPr>
          <w:t>http://www.apache.org/licenses/LICENSE-2.0.txt</w:t>
        </w:r>
      </w:hyperlink>
    </w:p>
    <w:p w14:paraId="4DDACC4A" w14:textId="77777777" w:rsidR="009362A4" w:rsidRDefault="009362A4" w:rsidP="009362A4">
      <w:pPr>
        <w:pStyle w:val="Confidentialnote"/>
      </w:pPr>
      <w:r w:rsidRPr="0023116E">
        <w:t>END OF TERMS AND CONDITIONS</w:t>
      </w:r>
    </w:p>
    <w:p w14:paraId="6B11232D" w14:textId="77777777" w:rsidR="00E46BC3" w:rsidRDefault="00E46BC3"/>
    <w:sectPr w:rsidR="00E46B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A4"/>
    <w:rsid w:val="005A2B13"/>
    <w:rsid w:val="009362A4"/>
    <w:rsid w:val="00CE6199"/>
    <w:rsid w:val="00E46BC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232B"/>
  <w15:chartTrackingRefBased/>
  <w15:docId w15:val="{29A7BD80-899D-4E67-AB9C-F8285345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62A4"/>
    <w:pPr>
      <w:spacing w:after="0" w:line="240" w:lineRule="auto"/>
    </w:pPr>
    <w:rPr>
      <w:rFonts w:ascii="Courier New" w:eastAsia="Times New Roman" w:hAnsi="Courier New" w:cs="Courier New"/>
      <w:kern w:val="0"/>
      <w:sz w:val="22"/>
      <w:szCs w:val="22"/>
      <w:lang w:val="en-US" w:bidi="ar-SA"/>
      <w14:ligatures w14:val="none"/>
    </w:rPr>
  </w:style>
  <w:style w:type="paragraph" w:styleId="Heading1">
    <w:name w:val="heading 1"/>
    <w:basedOn w:val="Normal"/>
    <w:next w:val="Normal"/>
    <w:link w:val="Heading1Char"/>
    <w:uiPriority w:val="9"/>
    <w:qFormat/>
    <w:rsid w:val="00936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6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6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2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2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2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2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2A4"/>
    <w:rPr>
      <w:rFonts w:eastAsiaTheme="majorEastAsia" w:cstheme="majorBidi"/>
      <w:color w:val="272727" w:themeColor="text1" w:themeTint="D8"/>
    </w:rPr>
  </w:style>
  <w:style w:type="paragraph" w:styleId="Title">
    <w:name w:val="Title"/>
    <w:basedOn w:val="Normal"/>
    <w:next w:val="Normal"/>
    <w:link w:val="TitleChar"/>
    <w:uiPriority w:val="10"/>
    <w:qFormat/>
    <w:rsid w:val="009362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2A4"/>
    <w:pPr>
      <w:spacing w:before="160"/>
      <w:jc w:val="center"/>
    </w:pPr>
    <w:rPr>
      <w:i/>
      <w:iCs/>
      <w:color w:val="404040" w:themeColor="text1" w:themeTint="BF"/>
    </w:rPr>
  </w:style>
  <w:style w:type="character" w:customStyle="1" w:styleId="QuoteChar">
    <w:name w:val="Quote Char"/>
    <w:basedOn w:val="DefaultParagraphFont"/>
    <w:link w:val="Quote"/>
    <w:uiPriority w:val="29"/>
    <w:rsid w:val="009362A4"/>
    <w:rPr>
      <w:i/>
      <w:iCs/>
      <w:color w:val="404040" w:themeColor="text1" w:themeTint="BF"/>
    </w:rPr>
  </w:style>
  <w:style w:type="paragraph" w:styleId="ListParagraph">
    <w:name w:val="List Paragraph"/>
    <w:basedOn w:val="Normal"/>
    <w:uiPriority w:val="34"/>
    <w:qFormat/>
    <w:rsid w:val="009362A4"/>
    <w:pPr>
      <w:ind w:left="720"/>
      <w:contextualSpacing/>
    </w:pPr>
  </w:style>
  <w:style w:type="character" w:styleId="IntenseEmphasis">
    <w:name w:val="Intense Emphasis"/>
    <w:basedOn w:val="DefaultParagraphFont"/>
    <w:uiPriority w:val="21"/>
    <w:qFormat/>
    <w:rsid w:val="009362A4"/>
    <w:rPr>
      <w:i/>
      <w:iCs/>
      <w:color w:val="0F4761" w:themeColor="accent1" w:themeShade="BF"/>
    </w:rPr>
  </w:style>
  <w:style w:type="paragraph" w:styleId="IntenseQuote">
    <w:name w:val="Intense Quote"/>
    <w:basedOn w:val="Normal"/>
    <w:next w:val="Normal"/>
    <w:link w:val="IntenseQuoteChar"/>
    <w:uiPriority w:val="30"/>
    <w:qFormat/>
    <w:rsid w:val="00936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2A4"/>
    <w:rPr>
      <w:i/>
      <w:iCs/>
      <w:color w:val="0F4761" w:themeColor="accent1" w:themeShade="BF"/>
    </w:rPr>
  </w:style>
  <w:style w:type="character" w:styleId="IntenseReference">
    <w:name w:val="Intense Reference"/>
    <w:basedOn w:val="DefaultParagraphFont"/>
    <w:uiPriority w:val="32"/>
    <w:qFormat/>
    <w:rsid w:val="009362A4"/>
    <w:rPr>
      <w:b/>
      <w:bCs/>
      <w:smallCaps/>
      <w:color w:val="0F4761" w:themeColor="accent1" w:themeShade="BF"/>
      <w:spacing w:val="5"/>
    </w:rPr>
  </w:style>
  <w:style w:type="paragraph" w:customStyle="1" w:styleId="InstructionH1">
    <w:name w:val="Instruction H1"/>
    <w:basedOn w:val="BodyText"/>
    <w:uiPriority w:val="11"/>
    <w:qFormat/>
    <w:rsid w:val="009362A4"/>
    <w:pPr>
      <w:widowControl w:val="0"/>
      <w:tabs>
        <w:tab w:val="num" w:pos="360"/>
        <w:tab w:val="left" w:pos="567"/>
        <w:tab w:val="left" w:pos="851"/>
        <w:tab w:val="left" w:pos="1134"/>
        <w:tab w:val="left" w:pos="1418"/>
        <w:tab w:val="left" w:pos="1701"/>
      </w:tabs>
      <w:spacing w:before="120" w:after="0"/>
    </w:pPr>
    <w:rPr>
      <w:rFonts w:ascii="Calibri" w:hAnsi="Calibri" w:cs="Times New Roman"/>
      <w:lang w:bidi="he-IL"/>
    </w:rPr>
  </w:style>
  <w:style w:type="character" w:styleId="Hyperlink">
    <w:name w:val="Hyperlink"/>
    <w:uiPriority w:val="99"/>
    <w:unhideWhenUsed/>
    <w:rsid w:val="009362A4"/>
    <w:rPr>
      <w:color w:val="0000FF"/>
      <w:u w:val="single"/>
    </w:rPr>
  </w:style>
  <w:style w:type="paragraph" w:customStyle="1" w:styleId="InstructionH2">
    <w:name w:val="Instruction H2"/>
    <w:basedOn w:val="BodyText"/>
    <w:uiPriority w:val="11"/>
    <w:qFormat/>
    <w:rsid w:val="009362A4"/>
    <w:pPr>
      <w:widowControl w:val="0"/>
      <w:tabs>
        <w:tab w:val="num" w:pos="360"/>
        <w:tab w:val="left" w:pos="567"/>
        <w:tab w:val="left" w:pos="851"/>
        <w:tab w:val="left" w:pos="1134"/>
        <w:tab w:val="left" w:pos="1418"/>
        <w:tab w:val="left" w:pos="1701"/>
      </w:tabs>
      <w:spacing w:before="120" w:after="0"/>
    </w:pPr>
    <w:rPr>
      <w:rFonts w:ascii="Calibri" w:hAnsi="Calibri" w:cs="Times New Roman"/>
      <w:lang w:bidi="he-IL"/>
    </w:rPr>
  </w:style>
  <w:style w:type="paragraph" w:customStyle="1" w:styleId="InstructionH3">
    <w:name w:val="Instruction H3"/>
    <w:basedOn w:val="BodyText"/>
    <w:uiPriority w:val="11"/>
    <w:qFormat/>
    <w:rsid w:val="009362A4"/>
    <w:pPr>
      <w:widowControl w:val="0"/>
      <w:tabs>
        <w:tab w:val="num" w:pos="360"/>
        <w:tab w:val="left" w:pos="851"/>
        <w:tab w:val="left" w:pos="1134"/>
        <w:tab w:val="left" w:pos="1418"/>
        <w:tab w:val="left" w:pos="1701"/>
      </w:tabs>
      <w:spacing w:before="100" w:after="0"/>
    </w:pPr>
    <w:rPr>
      <w:rFonts w:ascii="Calibri" w:hAnsi="Calibri" w:cs="Times New Roman"/>
      <w:lang w:bidi="he-IL"/>
    </w:rPr>
  </w:style>
  <w:style w:type="paragraph" w:customStyle="1" w:styleId="Confidentialnote">
    <w:name w:val="Confidential note"/>
    <w:basedOn w:val="BodyText"/>
    <w:rsid w:val="009362A4"/>
    <w:pPr>
      <w:spacing w:before="120" w:after="0"/>
    </w:pPr>
    <w:rPr>
      <w:rFonts w:ascii="Calibri" w:hAnsi="Calibri" w:cs="Times New Roman"/>
      <w:i/>
      <w:iCs/>
      <w:sz w:val="20"/>
      <w:szCs w:val="20"/>
      <w:lang w:bidi="he-IL"/>
    </w:rPr>
  </w:style>
  <w:style w:type="paragraph" w:styleId="BodyText">
    <w:name w:val="Body Text"/>
    <w:basedOn w:val="Normal"/>
    <w:link w:val="BodyTextChar"/>
    <w:uiPriority w:val="99"/>
    <w:semiHidden/>
    <w:unhideWhenUsed/>
    <w:rsid w:val="009362A4"/>
    <w:pPr>
      <w:spacing w:after="120"/>
    </w:pPr>
  </w:style>
  <w:style w:type="character" w:customStyle="1" w:styleId="BodyTextChar">
    <w:name w:val="Body Text Char"/>
    <w:basedOn w:val="DefaultParagraphFont"/>
    <w:link w:val="BodyText"/>
    <w:uiPriority w:val="99"/>
    <w:semiHidden/>
    <w:rsid w:val="009362A4"/>
    <w:rPr>
      <w:rFonts w:ascii="Courier New" w:eastAsia="Times New Roman" w:hAnsi="Courier New" w:cs="Courier New"/>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licenses/LICENSE-2.0.txt" TargetMode="External"/><Relationship Id="rId5" Type="http://schemas.openxmlformats.org/officeDocument/2006/relationships/hyperlink" Target="http://www.apache.org/licenses/LICENSE-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Snyder</dc:creator>
  <cp:keywords/>
  <dc:description/>
  <cp:lastModifiedBy>Aharon Snyder</cp:lastModifiedBy>
  <cp:revision>1</cp:revision>
  <dcterms:created xsi:type="dcterms:W3CDTF">2025-02-09T13:12:00Z</dcterms:created>
  <dcterms:modified xsi:type="dcterms:W3CDTF">2025-02-09T13:13:00Z</dcterms:modified>
</cp:coreProperties>
</file>