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8"/>
        </w:rPr>
        <w:t>REPORTE DE TESTEO Y CONTROL DE CALIDAD (QA)</w:t>
      </w:r>
    </w:p>
    <w:p>
      <w:pPr>
        <w:spacing w:before="0" w:after="360"/>
      </w:pPr>
      <w:r>
        <w:rPr>
          <w:rFonts w:ascii="Calibri" w:hAnsi="Calibri"/>
          <w:i/>
          <w:color w:val="4A5568"/>
          <w:sz w:val="22"/>
        </w:rPr>
        <w:t>Proyecto M.E.S.S.I. — Entrega 2 | Integrante: Yokio | Fecha: 08 de Octubre de 2026</w:t>
      </w:r>
    </w:p>
    <w:p>
      <w:pPr>
        <w:spacing w:before="240" w:after="120"/>
      </w:pPr>
      <w:r>
        <w:rPr>
          <w:rFonts w:ascii="Calibri" w:hAnsi="Calibri"/>
          <w:b/>
          <w:color w:val="1A365D"/>
          <w:sz w:val="32"/>
        </w:rPr>
        <w:t>1. Resumen Ejecutivo y Alcance</w:t>
      </w:r>
    </w:p>
    <w:p>
      <w:pPr>
        <w:spacing w:after="200" w:line="276" w:lineRule="auto"/>
      </w:pPr>
      <w:r>
        <w:rPr>
          <w:rFonts w:ascii="Calibri" w:hAnsi="Calibri"/>
          <w:color w:val="2D3748"/>
          <w:sz w:val="22"/>
        </w:rPr>
        <w:t xml:space="preserve">El presente informe documenta los resultados de las pruebas de instalación, compatibilidad e integridad funcional ejecutadas sobre el proyecto </w:t>
      </w:r>
      <w:r>
        <w:rPr>
          <w:rFonts w:ascii="Calibri" w:hAnsi="Calibri"/>
          <w:b/>
          <w:color w:val="2D3748"/>
          <w:sz w:val="22"/>
        </w:rPr>
        <w:t>M.E.S.S.I. (Módulo de Evaluación y Seguimiento de Indicadores Escolares)</w:t>
      </w:r>
      <w:r>
        <w:rPr>
          <w:rFonts w:ascii="Calibri" w:hAnsi="Calibri"/>
          <w:color w:val="2D3748"/>
          <w:sz w:val="22"/>
        </w:rPr>
        <w:t>, correspondientes a las actividades asignadas al integrante Yokio dentro de la Entrega 2. El objetivo principal ha sido validar la viabilidad de despliegue en entornos locales reproducibles con distintas arquitecturas de hardware bajo el sistema operativo Windows 10, así como certificar la correcta ejecución de la matriz de casos de prueba con datos sintéticos (D-01 a D-13).</w:t>
      </w:r>
    </w:p>
    <w:p>
      <w:pPr>
        <w:spacing w:before="280" w:after="120"/>
      </w:pPr>
      <w:r>
        <w:rPr>
          <w:rFonts w:ascii="Calibri" w:hAnsi="Calibri"/>
          <w:b/>
          <w:color w:val="1A365D"/>
          <w:sz w:val="32"/>
        </w:rPr>
        <w:t>2. Checklist de Actividades y Cumplimiento de Entregables</w:t>
      </w:r>
    </w:p>
    <w:p>
      <w:pPr>
        <w:pStyle w:val="ListBullet"/>
        <w:spacing w:after="60" w:line="276" w:lineRule="auto"/>
      </w:pPr>
      <w:r>
        <w:rPr>
          <w:rFonts w:ascii="Calibri" w:hAnsi="Calibri"/>
          <w:b/>
          <w:color w:val="2B6CB0"/>
          <w:sz w:val="22"/>
        </w:rPr>
        <w:t xml:space="preserve">Usar la versión común del equipo: </w:t>
      </w:r>
      <w:r>
        <w:rPr>
          <w:rFonts w:ascii="Calibri" w:hAnsi="Calibri"/>
          <w:color w:val="2D3748"/>
          <w:sz w:val="22"/>
        </w:rPr>
        <w:t>Obtención y sincronización del commit integrado entregado por Marco antes de proceder con el testeo.</w:t>
      </w:r>
    </w:p>
    <w:p>
      <w:pPr>
        <w:pStyle w:val="ListBullet"/>
        <w:spacing w:after="60" w:line="276" w:lineRule="auto"/>
      </w:pPr>
      <w:r>
        <w:rPr>
          <w:rFonts w:ascii="Calibri" w:hAnsi="Calibri"/>
          <w:b/>
          <w:color w:val="2B6CB0"/>
          <w:sz w:val="22"/>
        </w:rPr>
        <w:t xml:space="preserve">Preparar un escenario ficticio reproducible: </w:t>
      </w:r>
      <w:r>
        <w:rPr>
          <w:rFonts w:ascii="Calibri" w:hAnsi="Calibri"/>
          <w:color w:val="2D3748"/>
          <w:sz w:val="22"/>
        </w:rPr>
        <w:t>Definición estricta de datos de entrada sintéticos y códigos anónimos (EST-XXX) coordinados con Víctor.</w:t>
      </w:r>
    </w:p>
    <w:p>
      <w:pPr>
        <w:pStyle w:val="ListBullet"/>
        <w:spacing w:after="60" w:line="276" w:lineRule="auto"/>
      </w:pPr>
      <w:r>
        <w:rPr>
          <w:rFonts w:ascii="Calibri" w:hAnsi="Calibri"/>
          <w:b/>
          <w:color w:val="2B6CB0"/>
          <w:sz w:val="22"/>
        </w:rPr>
        <w:t xml:space="preserve">Probar la instalación en otra computadora disponible: </w:t>
      </w:r>
      <w:r>
        <w:rPr>
          <w:rFonts w:ascii="Calibri" w:hAnsi="Calibri"/>
          <w:color w:val="2D3748"/>
          <w:sz w:val="22"/>
        </w:rPr>
        <w:t>Pruebas de instalación y arranque multiplataforma sin dependencias externas de Python, MySQL ni acceso a Internet.</w:t>
      </w:r>
    </w:p>
    <w:p>
      <w:pPr>
        <w:pStyle w:val="ListBullet"/>
        <w:spacing w:after="60" w:line="276" w:lineRule="auto"/>
      </w:pPr>
      <w:r>
        <w:rPr>
          <w:rFonts w:ascii="Calibri" w:hAnsi="Calibri"/>
          <w:b/>
          <w:color w:val="2B6CB0"/>
          <w:sz w:val="22"/>
        </w:rPr>
        <w:t xml:space="preserve">Completar el recorrido funcional: </w:t>
      </w:r>
      <w:r>
        <w:rPr>
          <w:rFonts w:ascii="Calibri" w:hAnsi="Calibri"/>
          <w:color w:val="2D3748"/>
          <w:sz w:val="22"/>
        </w:rPr>
        <w:t>Carga de escenarios, navegación entre vistas (Docente, Tutor, Estudiante) y prueba de ciclo de vida completo.</w:t>
      </w:r>
    </w:p>
    <w:p>
      <w:pPr>
        <w:pStyle w:val="ListBullet"/>
        <w:spacing w:after="60" w:line="276" w:lineRule="auto"/>
      </w:pPr>
      <w:r>
        <w:rPr>
          <w:rFonts w:ascii="Calibri" w:hAnsi="Calibri"/>
          <w:b/>
          <w:color w:val="2B6CB0"/>
          <w:sz w:val="22"/>
        </w:rPr>
        <w:t xml:space="preserve">Comprobar actualización y conservación de datos: </w:t>
      </w:r>
      <w:r>
        <w:rPr>
          <w:rFonts w:ascii="Calibri" w:hAnsi="Calibri"/>
          <w:color w:val="2D3748"/>
          <w:sz w:val="22"/>
        </w:rPr>
        <w:t>Validación de persistencia y verificación de registros guardados tras reinicios del sistema.</w:t>
      </w:r>
    </w:p>
    <w:p>
      <w:pPr>
        <w:pStyle w:val="ListBullet"/>
        <w:spacing w:after="60" w:line="276" w:lineRule="auto"/>
      </w:pPr>
      <w:r>
        <w:rPr>
          <w:rFonts w:ascii="Calibri" w:hAnsi="Calibri"/>
          <w:b/>
          <w:color w:val="2B6CB0"/>
          <w:sz w:val="22"/>
        </w:rPr>
        <w:t xml:space="preserve">Entregar evidencia a Víctor para el informe de QA: </w:t>
      </w:r>
      <w:r>
        <w:rPr>
          <w:rFonts w:ascii="Calibri" w:hAnsi="Calibri"/>
          <w:color w:val="2D3748"/>
          <w:sz w:val="22"/>
        </w:rPr>
        <w:t>Recopilación de logs, imágenes fechadas, estados de casos de prueba y detalles de entorno.</w:t>
      </w:r>
    </w:p>
    <w:p>
      <w:pPr>
        <w:pStyle w:val="ListBullet"/>
        <w:spacing w:after="60" w:line="276" w:lineRule="auto"/>
      </w:pPr>
      <w:r>
        <w:rPr>
          <w:rFonts w:ascii="Calibri" w:hAnsi="Calibri"/>
          <w:b/>
          <w:color w:val="2B6CB0"/>
          <w:sz w:val="22"/>
        </w:rPr>
        <w:t xml:space="preserve">Probar la claridad del manual: </w:t>
      </w:r>
      <w:r>
        <w:rPr>
          <w:rFonts w:ascii="Calibri" w:hAnsi="Calibri"/>
          <w:color w:val="2D3748"/>
          <w:sz w:val="22"/>
        </w:rPr>
        <w:t>Evaluación a ciegas de las instrucciones del manual con Víctor y Salomón para detectar ambigüedades.</w:t>
      </w:r>
    </w:p>
    <w:p>
      <w:pPr>
        <w:pStyle w:val="ListBullet"/>
        <w:spacing w:after="60" w:line="276" w:lineRule="auto"/>
      </w:pPr>
      <w:r>
        <w:rPr>
          <w:rFonts w:ascii="Calibri" w:hAnsi="Calibri"/>
          <w:b/>
          <w:color w:val="2B6CB0"/>
          <w:sz w:val="22"/>
        </w:rPr>
        <w:t xml:space="preserve">Enviar observaciones de claridad a Salomón: </w:t>
      </w:r>
      <w:r>
        <w:rPr>
          <w:rFonts w:ascii="Calibri" w:hAnsi="Calibri"/>
          <w:color w:val="2D3748"/>
          <w:sz w:val="22"/>
        </w:rPr>
        <w:t>Retroalimentación formal sobre redacción, estructura y secuencias de pasos del manual de usuario.</w:t>
      </w:r>
    </w:p>
    <w:p>
      <w:pPr>
        <w:pStyle w:val="ListBullet"/>
        <w:spacing w:after="60" w:line="276" w:lineRule="auto"/>
      </w:pPr>
      <w:r>
        <w:rPr>
          <w:rFonts w:ascii="Calibri" w:hAnsi="Calibri"/>
          <w:b/>
          <w:color w:val="2B6CB0"/>
          <w:sz w:val="22"/>
        </w:rPr>
        <w:t xml:space="preserve">Preparar y ensayar una explicación breve: </w:t>
      </w:r>
      <w:r>
        <w:rPr>
          <w:rFonts w:ascii="Calibri" w:hAnsi="Calibri"/>
          <w:color w:val="2D3748"/>
          <w:sz w:val="22"/>
        </w:rPr>
        <w:t>Estructuración de la presentación ejecutiva sobre arquitectura, alcance de la IA y resultados de QA.</w:t>
      </w:r>
    </w:p>
    <w:p>
      <w:pPr>
        <w:pStyle w:val="ListBullet"/>
        <w:spacing w:after="60" w:line="276" w:lineRule="auto"/>
      </w:pPr>
      <w:r>
        <w:rPr>
          <w:rFonts w:ascii="Calibri" w:hAnsi="Calibri"/>
          <w:b/>
          <w:color w:val="2B6CB0"/>
          <w:sz w:val="22"/>
        </w:rPr>
        <w:t xml:space="preserve">Documentar cualquier script aportado: </w:t>
      </w:r>
      <w:r>
        <w:rPr>
          <w:rFonts w:ascii="Calibri" w:hAnsi="Calibri"/>
          <w:color w:val="2D3748"/>
          <w:sz w:val="22"/>
        </w:rPr>
        <w:t>Documentación detallada del propósito, entradas y salidas de scripts auxiliares desarrollados.</w:t>
      </w:r>
    </w:p>
    <w:p>
      <w:pPr>
        <w:spacing w:before="320" w:after="120"/>
      </w:pPr>
      <w:r>
        <w:rPr>
          <w:rFonts w:ascii="Calibri" w:hAnsi="Calibri"/>
          <w:b/>
          <w:color w:val="1A365D"/>
          <w:sz w:val="32"/>
        </w:rPr>
        <w:t>3. Ordenador Gráfico: Análisis Comparativo de Entornos de Prueba</w:t>
      </w:r>
    </w:p>
    <w:p>
      <w:pPr>
        <w:spacing w:after="160"/>
      </w:pPr>
      <w:r>
        <w:rPr>
          <w:rFonts w:ascii="Calibri" w:hAnsi="Calibri"/>
          <w:color w:val="2D3748"/>
          <w:sz w:val="22"/>
        </w:rPr>
        <w:t>Se realizaron pruebas de instalación y arranque en tres máquinas virtuales configuradas con el sistema operativo Windows 10 en distintas arquitecturas y asignaciones de recursos de hardware. A continuación, se presenta la tabla comparativa con los resultados obtenidos: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E2E8F0"/>
          <w:left w:val="none"/>
          <w:right w:val="none"/>
          <w:insideV w:val="none"/>
        </w:tblBorders>
      </w:tblPr>
      <w:tblGrid>
        <w:gridCol w:w="1872"/>
        <w:gridCol w:w="1872"/>
        <w:gridCol w:w="1872"/>
        <w:gridCol w:w="1872"/>
        <w:gridCol w:w="1872"/>
      </w:tblGrid>
      <w:tr>
        <w:tc>
          <w:tcPr>
            <w:tcW w:type="dxa" w:w="1296"/>
            <w:shd w:fill="1A365D"/>
            <w:tcMar>
              <w:top w:w="120" w:type="dxa"/>
              <w:bottom w:w="120" w:type="dxa"/>
              <w:left w:w="100" w:type="dxa"/>
              <w:right w:w="100" w:type="dxa"/>
            </w:tcMar>
          </w:tcPr>
          <w:p>
            <w:pPr>
              <w:jc w:val="center"/>
            </w:pPr>
            <w:r>
              <w:rPr>
                <w:rFonts w:ascii="Calibri" w:hAnsi="Calibri"/>
                <w:b/>
                <w:color w:val="FFFFFF"/>
                <w:sz w:val="20"/>
              </w:rPr>
              <w:t>Entorno</w:t>
            </w:r>
          </w:p>
        </w:tc>
        <w:tc>
          <w:tcPr>
            <w:tcW w:type="dxa" w:w="1584"/>
            <w:shd w:fill="1A365D"/>
            <w:tcMar>
              <w:top w:w="120" w:type="dxa"/>
              <w:bottom w:w="120" w:type="dxa"/>
              <w:left w:w="100" w:type="dxa"/>
              <w:right w:w="100" w:type="dxa"/>
            </w:tcMar>
          </w:tcPr>
          <w:p>
            <w:pPr>
              <w:jc w:val="center"/>
            </w:pPr>
            <w:r>
              <w:rPr>
                <w:rFonts w:ascii="Calibri" w:hAnsi="Calibri"/>
                <w:b/>
                <w:color w:val="FFFFFF"/>
                <w:sz w:val="20"/>
              </w:rPr>
              <w:t>Arquitectura</w:t>
            </w:r>
          </w:p>
        </w:tc>
        <w:tc>
          <w:tcPr>
            <w:tcW w:type="dxa" w:w="2016"/>
            <w:shd w:fill="1A365D"/>
            <w:tcMar>
              <w:top w:w="120" w:type="dxa"/>
              <w:bottom w:w="120" w:type="dxa"/>
              <w:left w:w="100" w:type="dxa"/>
              <w:right w:w="100" w:type="dxa"/>
            </w:tcMar>
          </w:tcPr>
          <w:p>
            <w:pPr>
              <w:jc w:val="center"/>
            </w:pPr>
            <w:r>
              <w:rPr>
                <w:rFonts w:ascii="Calibri" w:hAnsi="Calibri"/>
                <w:b/>
                <w:color w:val="FFFFFF"/>
                <w:sz w:val="20"/>
              </w:rPr>
              <w:t>Recursos (RAM / CPU)</w:t>
            </w:r>
          </w:p>
        </w:tc>
        <w:tc>
          <w:tcPr>
            <w:tcW w:type="dxa" w:w="2016"/>
            <w:shd w:fill="1A365D"/>
            <w:tcMar>
              <w:top w:w="120" w:type="dxa"/>
              <w:bottom w:w="120" w:type="dxa"/>
              <w:left w:w="100" w:type="dxa"/>
              <w:right w:w="100" w:type="dxa"/>
            </w:tcMar>
          </w:tcPr>
          <w:p>
            <w:pPr>
              <w:jc w:val="center"/>
            </w:pPr>
            <w:r>
              <w:rPr>
                <w:rFonts w:ascii="Calibri" w:hAnsi="Calibri"/>
                <w:b/>
                <w:color w:val="FFFFFF"/>
                <w:sz w:val="20"/>
              </w:rPr>
              <w:t>Resultado de Instalación</w:t>
            </w:r>
          </w:p>
        </w:tc>
        <w:tc>
          <w:tcPr>
            <w:tcW w:type="dxa" w:w="3168"/>
            <w:shd w:fill="1A365D"/>
            <w:tcMar>
              <w:top w:w="120" w:type="dxa"/>
              <w:bottom w:w="120" w:type="dxa"/>
              <w:left w:w="100" w:type="dxa"/>
              <w:right w:w="100" w:type="dxa"/>
            </w:tcMar>
          </w:tcPr>
          <w:p>
            <w:pPr>
              <w:jc w:val="center"/>
            </w:pPr>
            <w:r>
              <w:rPr>
                <w:rFonts w:ascii="Calibri" w:hAnsi="Calibri"/>
                <w:b/>
                <w:color w:val="FFFFFF"/>
                <w:sz w:val="20"/>
              </w:rPr>
              <w:t>Diagnóstico y Observaciones</w:t>
            </w:r>
          </w:p>
        </w:tc>
      </w:tr>
      <w:tr>
        <w:tc>
          <w:tcPr>
            <w:tcW w:type="dxa" w:w="1296"/>
            <w:shd w:fill="F7FAFC"/>
            <w:tcMar>
              <w:top w:w="100" w:type="dxa"/>
              <w:bottom w:w="100" w:type="dxa"/>
              <w:left w:w="100" w:type="dxa"/>
              <w:right w:w="100" w:type="dxa"/>
            </w:tcMar>
          </w:tcPr>
          <w:p>
            <w:pPr>
              <w:jc w:val="center"/>
            </w:pPr>
            <w:r>
              <w:rPr>
                <w:rFonts w:ascii="Calibri" w:hAnsi="Calibri"/>
                <w:color w:val="2D3748"/>
                <w:sz w:val="19"/>
              </w:rPr>
              <w:t>Entorno 1</w:t>
            </w:r>
          </w:p>
        </w:tc>
        <w:tc>
          <w:tcPr>
            <w:tcW w:type="dxa" w:w="1584"/>
            <w:shd w:fill="F7FAFC"/>
            <w:tcMar>
              <w:top w:w="100" w:type="dxa"/>
              <w:bottom w:w="100" w:type="dxa"/>
              <w:left w:w="100" w:type="dxa"/>
              <w:right w:w="100" w:type="dxa"/>
            </w:tcMar>
          </w:tcPr>
          <w:p>
            <w:pPr>
              <w:jc w:val="center"/>
            </w:pPr>
            <w:r>
              <w:rPr>
                <w:rFonts w:ascii="Calibri" w:hAnsi="Calibri"/>
                <w:color w:val="2D3748"/>
                <w:sz w:val="19"/>
              </w:rPr>
              <w:t>Windows 10</w:t>
              <w:br/>
              <w:t>32-bits</w:t>
            </w:r>
          </w:p>
        </w:tc>
        <w:tc>
          <w:tcPr>
            <w:tcW w:type="dxa" w:w="2016"/>
            <w:shd w:fill="F7FAFC"/>
            <w:tcMar>
              <w:top w:w="100" w:type="dxa"/>
              <w:bottom w:w="100" w:type="dxa"/>
              <w:left w:w="100" w:type="dxa"/>
              <w:right w:w="100" w:type="dxa"/>
            </w:tcMar>
          </w:tcPr>
          <w:p>
            <w:pPr>
              <w:jc w:val="center"/>
            </w:pPr>
            <w:r>
              <w:rPr>
                <w:rFonts w:ascii="Calibri" w:hAnsi="Calibri"/>
                <w:color w:val="2D3748"/>
                <w:sz w:val="19"/>
              </w:rPr>
              <w:t>4 GB RAM</w:t>
              <w:br/>
              <w:t>4 Núcleos</w:t>
            </w:r>
          </w:p>
        </w:tc>
        <w:tc>
          <w:tcPr>
            <w:tcW w:type="dxa" w:w="2016"/>
            <w:shd w:fill="F7FAFC"/>
            <w:tcMar>
              <w:top w:w="100" w:type="dxa"/>
              <w:bottom w:w="100" w:type="dxa"/>
              <w:left w:w="100" w:type="dxa"/>
              <w:right w:w="100" w:type="dxa"/>
            </w:tcMar>
          </w:tcPr>
          <w:p>
            <w:pPr>
              <w:jc w:val="center"/>
            </w:pPr>
            <w:r>
              <w:rPr>
                <w:rFonts w:ascii="Calibri" w:hAnsi="Calibri"/>
                <w:b/>
                <w:color w:val="C53030"/>
                <w:sz w:val="19"/>
              </w:rPr>
              <w:t>Incompatible</w:t>
            </w:r>
          </w:p>
        </w:tc>
        <w:tc>
          <w:tcPr>
            <w:tcW w:type="dxa" w:w="3168"/>
            <w:shd w:fill="F7FAFC"/>
            <w:tcMar>
              <w:top w:w="100" w:type="dxa"/>
              <w:bottom w:w="100" w:type="dxa"/>
              <w:left w:w="100" w:type="dxa"/>
              <w:right w:w="100" w:type="dxa"/>
            </w:tcMar>
          </w:tcPr>
          <w:p>
            <w:r>
              <w:rPr>
                <w:rFonts w:ascii="Calibri" w:hAnsi="Calibri"/>
                <w:color w:val="2D3748"/>
                <w:sz w:val="19"/>
              </w:rPr>
              <w:t>Incompatibilidad directa del ejecutable/instalador con la arquitectura x86 (32 bits). No es posible instalar.</w:t>
            </w:r>
          </w:p>
        </w:tc>
      </w:tr>
      <w:tr>
        <w:tc>
          <w:tcPr>
            <w:tcW w:type="dxa" w:w="1296"/>
            <w:shd w:fill="FFFFFF"/>
            <w:tcMar>
              <w:top w:w="100" w:type="dxa"/>
              <w:bottom w:w="100" w:type="dxa"/>
              <w:left w:w="100" w:type="dxa"/>
              <w:right w:w="100" w:type="dxa"/>
            </w:tcMar>
          </w:tcPr>
          <w:p>
            <w:pPr>
              <w:jc w:val="center"/>
            </w:pPr>
            <w:r>
              <w:rPr>
                <w:rFonts w:ascii="Calibri" w:hAnsi="Calibri"/>
                <w:color w:val="2D3748"/>
                <w:sz w:val="19"/>
              </w:rPr>
              <w:t>Entorno 2</w:t>
            </w:r>
          </w:p>
        </w:tc>
        <w:tc>
          <w:tcPr>
            <w:tcW w:type="dxa" w:w="1584"/>
            <w:shd w:fill="FFFFFF"/>
            <w:tcMar>
              <w:top w:w="100" w:type="dxa"/>
              <w:bottom w:w="100" w:type="dxa"/>
              <w:left w:w="100" w:type="dxa"/>
              <w:right w:w="100" w:type="dxa"/>
            </w:tcMar>
          </w:tcPr>
          <w:p>
            <w:pPr>
              <w:jc w:val="center"/>
            </w:pPr>
            <w:r>
              <w:rPr>
                <w:rFonts w:ascii="Calibri" w:hAnsi="Calibri"/>
                <w:color w:val="2D3748"/>
                <w:sz w:val="19"/>
              </w:rPr>
              <w:t>Windows 10</w:t>
              <w:br/>
              <w:t>64-bits</w:t>
            </w:r>
          </w:p>
        </w:tc>
        <w:tc>
          <w:tcPr>
            <w:tcW w:type="dxa" w:w="2016"/>
            <w:shd w:fill="FFFFFF"/>
            <w:tcMar>
              <w:top w:w="100" w:type="dxa"/>
              <w:bottom w:w="100" w:type="dxa"/>
              <w:left w:w="100" w:type="dxa"/>
              <w:right w:w="100" w:type="dxa"/>
            </w:tcMar>
          </w:tcPr>
          <w:p>
            <w:pPr>
              <w:jc w:val="center"/>
            </w:pPr>
            <w:r>
              <w:rPr>
                <w:rFonts w:ascii="Calibri" w:hAnsi="Calibri"/>
                <w:color w:val="2D3748"/>
                <w:sz w:val="19"/>
              </w:rPr>
              <w:t>2 GB RAM</w:t>
              <w:br/>
              <w:t>1 Núcleo</w:t>
            </w:r>
          </w:p>
        </w:tc>
        <w:tc>
          <w:tcPr>
            <w:tcW w:type="dxa" w:w="2016"/>
            <w:shd w:fill="FFFFFF"/>
            <w:tcMar>
              <w:top w:w="100" w:type="dxa"/>
              <w:bottom w:w="100" w:type="dxa"/>
              <w:left w:w="100" w:type="dxa"/>
              <w:right w:w="100" w:type="dxa"/>
            </w:tcMar>
          </w:tcPr>
          <w:p>
            <w:pPr>
              <w:jc w:val="center"/>
            </w:pPr>
            <w:r>
              <w:rPr>
                <w:rFonts w:ascii="Calibri" w:hAnsi="Calibri"/>
                <w:b/>
                <w:color w:val="C53030"/>
                <w:sz w:val="19"/>
              </w:rPr>
              <w:t>Instalado / No Ejecutado</w:t>
            </w:r>
          </w:p>
        </w:tc>
        <w:tc>
          <w:tcPr>
            <w:tcW w:type="dxa" w:w="3168"/>
            <w:shd w:fill="FFFFFF"/>
            <w:tcMar>
              <w:top w:w="100" w:type="dxa"/>
              <w:bottom w:w="100" w:type="dxa"/>
              <w:left w:w="100" w:type="dxa"/>
              <w:right w:w="100" w:type="dxa"/>
            </w:tcMar>
          </w:tcPr>
          <w:p>
            <w:r>
              <w:rPr>
                <w:rFonts w:ascii="Calibri" w:hAnsi="Calibri"/>
                <w:color w:val="2D3748"/>
                <w:sz w:val="19"/>
              </w:rPr>
              <w:t>La instalación finalizó, pero al ejecutar la app no se desplegó la interfaz ni cargaron pantallas debido a inanición de recursos del procesador.</w:t>
            </w:r>
          </w:p>
        </w:tc>
      </w:tr>
      <w:tr>
        <w:tc>
          <w:tcPr>
            <w:tcW w:type="dxa" w:w="1296"/>
            <w:shd w:fill="F7FAFC"/>
            <w:tcMar>
              <w:top w:w="100" w:type="dxa"/>
              <w:bottom w:w="100" w:type="dxa"/>
              <w:left w:w="100" w:type="dxa"/>
              <w:right w:w="100" w:type="dxa"/>
            </w:tcMar>
          </w:tcPr>
          <w:p>
            <w:pPr>
              <w:jc w:val="center"/>
            </w:pPr>
            <w:r>
              <w:rPr>
                <w:rFonts w:ascii="Calibri" w:hAnsi="Calibri"/>
                <w:color w:val="2D3748"/>
                <w:sz w:val="19"/>
              </w:rPr>
              <w:t>Entorno 3</w:t>
            </w:r>
          </w:p>
        </w:tc>
        <w:tc>
          <w:tcPr>
            <w:tcW w:type="dxa" w:w="1584"/>
            <w:shd w:fill="F7FAFC"/>
            <w:tcMar>
              <w:top w:w="100" w:type="dxa"/>
              <w:bottom w:w="100" w:type="dxa"/>
              <w:left w:w="100" w:type="dxa"/>
              <w:right w:w="100" w:type="dxa"/>
            </w:tcMar>
          </w:tcPr>
          <w:p>
            <w:pPr>
              <w:jc w:val="center"/>
            </w:pPr>
            <w:r>
              <w:rPr>
                <w:rFonts w:ascii="Calibri" w:hAnsi="Calibri"/>
                <w:color w:val="2D3748"/>
                <w:sz w:val="19"/>
              </w:rPr>
              <w:t>Windows 10</w:t>
              <w:br/>
              <w:t>64-bits</w:t>
            </w:r>
          </w:p>
        </w:tc>
        <w:tc>
          <w:tcPr>
            <w:tcW w:type="dxa" w:w="2016"/>
            <w:shd w:fill="F7FAFC"/>
            <w:tcMar>
              <w:top w:w="100" w:type="dxa"/>
              <w:bottom w:w="100" w:type="dxa"/>
              <w:left w:w="100" w:type="dxa"/>
              <w:right w:w="100" w:type="dxa"/>
            </w:tcMar>
          </w:tcPr>
          <w:p>
            <w:pPr>
              <w:jc w:val="center"/>
            </w:pPr>
            <w:r>
              <w:rPr>
                <w:rFonts w:ascii="Calibri" w:hAnsi="Calibri"/>
                <w:color w:val="2D3748"/>
                <w:sz w:val="19"/>
              </w:rPr>
              <w:t>5 GB RAM</w:t>
              <w:br/>
              <w:t>8 Núcleos</w:t>
            </w:r>
          </w:p>
        </w:tc>
        <w:tc>
          <w:tcPr>
            <w:tcW w:type="dxa" w:w="2016"/>
            <w:shd w:fill="F7FAFC"/>
            <w:tcMar>
              <w:top w:w="100" w:type="dxa"/>
              <w:bottom w:w="100" w:type="dxa"/>
              <w:left w:w="100" w:type="dxa"/>
              <w:right w:w="100" w:type="dxa"/>
            </w:tcMar>
          </w:tcPr>
          <w:p>
            <w:pPr>
              <w:jc w:val="center"/>
            </w:pPr>
            <w:r>
              <w:rPr>
                <w:rFonts w:ascii="Calibri" w:hAnsi="Calibri"/>
                <w:b/>
                <w:color w:val="276749"/>
                <w:sz w:val="19"/>
              </w:rPr>
              <w:t>Exitoso / Aprobado</w:t>
            </w:r>
          </w:p>
        </w:tc>
        <w:tc>
          <w:tcPr>
            <w:tcW w:type="dxa" w:w="3168"/>
            <w:shd w:fill="F7FAFC"/>
            <w:tcMar>
              <w:top w:w="100" w:type="dxa"/>
              <w:bottom w:w="100" w:type="dxa"/>
              <w:left w:w="100" w:type="dxa"/>
              <w:right w:w="100" w:type="dxa"/>
            </w:tcMar>
          </w:tcPr>
          <w:p>
            <w:r>
              <w:rPr>
                <w:rFonts w:ascii="Calibri" w:hAnsi="Calibri"/>
                <w:color w:val="2D3748"/>
                <w:sz w:val="19"/>
              </w:rPr>
              <w:t>Instalación y ejecución óptimas. Pruebas de lectura de datos, evaluación, creación de archivos e interfaz funcionaron sin errores.</w:t>
            </w:r>
          </w:p>
        </w:tc>
      </w:tr>
    </w:tbl>
    <w:p>
      <w:pPr>
        <w:spacing w:before="320" w:after="120"/>
      </w:pPr>
      <w:r>
        <w:rPr>
          <w:rFonts w:ascii="Calibri" w:hAnsi="Calibri"/>
          <w:b/>
          <w:color w:val="1A365D"/>
          <w:sz w:val="32"/>
        </w:rPr>
        <w:t>4. Resultados de la Matriz de Pruebas con Datos Ficticios</w:t>
      </w:r>
    </w:p>
    <w:p>
      <w:pPr>
        <w:spacing w:after="160"/>
      </w:pPr>
      <w:r>
        <w:rPr>
          <w:rFonts w:ascii="Calibri" w:hAnsi="Calibri"/>
          <w:color w:val="2D3748"/>
          <w:sz w:val="22"/>
        </w:rPr>
        <w:t>A continuación se resume el comportamiento de los casos de prueba de datos sintéticos ejecutados sobre el Entorno 3 de 64-bits: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E2E8F0"/>
          <w:left w:val="none"/>
          <w:right w:val="none"/>
          <w:insideV w:val="none"/>
        </w:tblBorders>
      </w:tblPr>
      <w:tblGrid>
        <w:gridCol w:w="2340"/>
        <w:gridCol w:w="2340"/>
        <w:gridCol w:w="2340"/>
        <w:gridCol w:w="2340"/>
      </w:tblGrid>
      <w:tr>
        <w:tc>
          <w:tcPr>
            <w:tcW w:type="dxa" w:w="1008"/>
            <w:shd w:fill="1A365D"/>
            <w:tcMar>
              <w:top w:w="120" w:type="dxa"/>
              <w:bottom w:w="120" w:type="dxa"/>
              <w:left w:w="100" w:type="dxa"/>
              <w:right w:w="100" w:type="dxa"/>
            </w:tcMar>
          </w:tcPr>
          <w:p>
            <w:pPr>
              <w:jc w:val="center"/>
            </w:pPr>
            <w:r>
              <w:rPr>
                <w:rFonts w:ascii="Calibri" w:hAnsi="Calibri"/>
                <w:b/>
                <w:color w:val="FFFFFF"/>
                <w:sz w:val="20"/>
              </w:rPr>
              <w:t>ID</w:t>
            </w:r>
          </w:p>
        </w:tc>
        <w:tc>
          <w:tcPr>
            <w:tcW w:type="dxa" w:w="4032"/>
            <w:shd w:fill="1A365D"/>
            <w:tcMar>
              <w:top w:w="120" w:type="dxa"/>
              <w:bottom w:w="120" w:type="dxa"/>
              <w:left w:w="100" w:type="dxa"/>
              <w:right w:w="100" w:type="dxa"/>
            </w:tcMar>
          </w:tcPr>
          <w:p>
            <w:pPr>
              <w:jc w:val="center"/>
            </w:pPr>
            <w:r>
              <w:rPr>
                <w:rFonts w:ascii="Calibri" w:hAnsi="Calibri"/>
                <w:b/>
                <w:color w:val="FFFFFF"/>
                <w:sz w:val="20"/>
              </w:rPr>
              <w:t>Prueba y Datos Ingresados</w:t>
            </w:r>
          </w:p>
        </w:tc>
        <w:tc>
          <w:tcPr>
            <w:tcW w:type="dxa" w:w="3888"/>
            <w:shd w:fill="1A365D"/>
            <w:tcMar>
              <w:top w:w="120" w:type="dxa"/>
              <w:bottom w:w="120" w:type="dxa"/>
              <w:left w:w="100" w:type="dxa"/>
              <w:right w:w="100" w:type="dxa"/>
            </w:tcMar>
          </w:tcPr>
          <w:p>
            <w:pPr>
              <w:jc w:val="center"/>
            </w:pPr>
            <w:r>
              <w:rPr>
                <w:rFonts w:ascii="Calibri" w:hAnsi="Calibri"/>
                <w:b/>
                <w:color w:val="FFFFFF"/>
                <w:sz w:val="20"/>
              </w:rPr>
              <w:t>Resultado Esperado</w:t>
            </w:r>
          </w:p>
        </w:tc>
        <w:tc>
          <w:tcPr>
            <w:tcW w:type="dxa" w:w="1152"/>
            <w:shd w:fill="1A365D"/>
            <w:tcMar>
              <w:top w:w="120" w:type="dxa"/>
              <w:bottom w:w="120" w:type="dxa"/>
              <w:left w:w="100" w:type="dxa"/>
              <w:right w:w="100" w:type="dxa"/>
            </w:tcMar>
          </w:tcPr>
          <w:p>
            <w:pPr>
              <w:jc w:val="center"/>
            </w:pPr>
            <w:r>
              <w:rPr>
                <w:rFonts w:ascii="Calibri" w:hAnsi="Calibri"/>
                <w:b/>
                <w:color w:val="FFFFFF"/>
                <w:sz w:val="20"/>
              </w:rPr>
              <w:t>Estado</w:t>
            </w:r>
          </w:p>
        </w:tc>
      </w:tr>
      <w:tr>
        <w:tc>
          <w:tcPr>
            <w:tcW w:type="dxa" w:w="1008"/>
            <w:shd w:fill="F7FAFC"/>
            <w:tcMar>
              <w:top w:w="80" w:type="dxa"/>
              <w:bottom w:w="80" w:type="dxa"/>
              <w:left w:w="100" w:type="dxa"/>
              <w:right w:w="100" w:type="dxa"/>
            </w:tcMar>
          </w:tcPr>
          <w:p>
            <w:pPr>
              <w:jc w:val="center"/>
            </w:pPr>
            <w:r>
              <w:rPr>
                <w:rFonts w:ascii="Calibri" w:hAnsi="Calibri"/>
                <w:color w:val="2D3748"/>
                <w:sz w:val="18"/>
              </w:rPr>
              <w:t>D-01</w:t>
            </w:r>
          </w:p>
        </w:tc>
        <w:tc>
          <w:tcPr>
            <w:tcW w:type="dxa" w:w="4032"/>
            <w:shd w:fill="F7FAFC"/>
            <w:tcMar>
              <w:top w:w="80" w:type="dxa"/>
              <w:bottom w:w="80" w:type="dxa"/>
              <w:left w:w="100" w:type="dxa"/>
              <w:right w:w="100" w:type="dxa"/>
            </w:tcMar>
          </w:tcPr>
          <w:p>
            <w:r>
              <w:rPr>
                <w:rFonts w:ascii="Calibri" w:hAnsi="Calibri"/>
                <w:color w:val="2D3748"/>
                <w:sz w:val="18"/>
              </w:rPr>
              <w:t>CSV válido con 3 filas (EST-901, EST-902, EST-903)</w:t>
            </w:r>
          </w:p>
        </w:tc>
        <w:tc>
          <w:tcPr>
            <w:tcW w:type="dxa" w:w="3888"/>
            <w:shd w:fill="F7FAFC"/>
            <w:tcMar>
              <w:top w:w="80" w:type="dxa"/>
              <w:bottom w:w="80" w:type="dxa"/>
              <w:left w:w="100" w:type="dxa"/>
              <w:right w:w="100" w:type="dxa"/>
            </w:tcMar>
          </w:tcPr>
          <w:p>
            <w:r>
              <w:rPr>
                <w:rFonts w:ascii="Calibri" w:hAnsi="Calibri"/>
                <w:color w:val="2D3748"/>
                <w:sz w:val="18"/>
              </w:rPr>
              <w:t>Aceptación de 3 estudiantes y conservación de datos.</w:t>
            </w:r>
          </w:p>
        </w:tc>
        <w:tc>
          <w:tcPr>
            <w:tcW w:type="dxa" w:w="1152"/>
            <w:shd w:fill="F7FAFC"/>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FFFFF"/>
            <w:tcMar>
              <w:top w:w="80" w:type="dxa"/>
              <w:bottom w:w="80" w:type="dxa"/>
              <w:left w:w="100" w:type="dxa"/>
              <w:right w:w="100" w:type="dxa"/>
            </w:tcMar>
          </w:tcPr>
          <w:p>
            <w:pPr>
              <w:jc w:val="center"/>
            </w:pPr>
            <w:r>
              <w:rPr>
                <w:rFonts w:ascii="Calibri" w:hAnsi="Calibri"/>
                <w:color w:val="2D3748"/>
                <w:sz w:val="18"/>
              </w:rPr>
              <w:t>D-02</w:t>
            </w:r>
          </w:p>
        </w:tc>
        <w:tc>
          <w:tcPr>
            <w:tcW w:type="dxa" w:w="4032"/>
            <w:shd w:fill="FFFFFF"/>
            <w:tcMar>
              <w:top w:w="80" w:type="dxa"/>
              <w:bottom w:w="80" w:type="dxa"/>
              <w:left w:w="100" w:type="dxa"/>
              <w:right w:w="100" w:type="dxa"/>
            </w:tcMar>
          </w:tcPr>
          <w:p>
            <w:r>
              <w:rPr>
                <w:rFonts w:ascii="Calibri" w:hAnsi="Calibri"/>
                <w:color w:val="2D3748"/>
                <w:sz w:val="18"/>
              </w:rPr>
              <w:t>Captura directa por porcentajes (EST-904, nota 6, asist 80%, tareas 70%)</w:t>
            </w:r>
          </w:p>
        </w:tc>
        <w:tc>
          <w:tcPr>
            <w:tcW w:type="dxa" w:w="3888"/>
            <w:shd w:fill="FFFFFF"/>
            <w:tcMar>
              <w:top w:w="80" w:type="dxa"/>
              <w:bottom w:w="80" w:type="dxa"/>
              <w:left w:w="100" w:type="dxa"/>
              <w:right w:w="100" w:type="dxa"/>
            </w:tcMar>
          </w:tcPr>
          <w:p>
            <w:r>
              <w:rPr>
                <w:rFonts w:ascii="Calibri" w:hAnsi="Calibri"/>
                <w:color w:val="2D3748"/>
                <w:sz w:val="18"/>
              </w:rPr>
              <w:t>Inserción correcta del estudiante con porcentajes asignados.</w:t>
            </w:r>
          </w:p>
        </w:tc>
        <w:tc>
          <w:tcPr>
            <w:tcW w:type="dxa" w:w="1152"/>
            <w:shd w:fill="FFFFFF"/>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7FAFC"/>
            <w:tcMar>
              <w:top w:w="80" w:type="dxa"/>
              <w:bottom w:w="80" w:type="dxa"/>
              <w:left w:w="100" w:type="dxa"/>
              <w:right w:w="100" w:type="dxa"/>
            </w:tcMar>
          </w:tcPr>
          <w:p>
            <w:pPr>
              <w:jc w:val="center"/>
            </w:pPr>
            <w:r>
              <w:rPr>
                <w:rFonts w:ascii="Calibri" w:hAnsi="Calibri"/>
                <w:color w:val="2D3748"/>
                <w:sz w:val="18"/>
              </w:rPr>
              <w:t>D-03</w:t>
            </w:r>
          </w:p>
        </w:tc>
        <w:tc>
          <w:tcPr>
            <w:tcW w:type="dxa" w:w="4032"/>
            <w:shd w:fill="F7FAFC"/>
            <w:tcMar>
              <w:top w:w="80" w:type="dxa"/>
              <w:bottom w:w="80" w:type="dxa"/>
              <w:left w:w="100" w:type="dxa"/>
              <w:right w:w="100" w:type="dxa"/>
            </w:tcMar>
          </w:tcPr>
          <w:p>
            <w:r>
              <w:rPr>
                <w:rFonts w:ascii="Calibri" w:hAnsi="Calibri"/>
                <w:color w:val="2D3748"/>
                <w:sz w:val="18"/>
              </w:rPr>
              <w:t>Captura directa por cantidades (EST-905, 8/10 asist, 7/10 tareas)</w:t>
            </w:r>
          </w:p>
        </w:tc>
        <w:tc>
          <w:tcPr>
            <w:tcW w:type="dxa" w:w="3888"/>
            <w:shd w:fill="F7FAFC"/>
            <w:tcMar>
              <w:top w:w="80" w:type="dxa"/>
              <w:bottom w:w="80" w:type="dxa"/>
              <w:left w:w="100" w:type="dxa"/>
              <w:right w:w="100" w:type="dxa"/>
            </w:tcMar>
          </w:tcPr>
          <w:p>
            <w:r>
              <w:rPr>
                <w:rFonts w:ascii="Calibri" w:hAnsi="Calibri"/>
                <w:color w:val="2D3748"/>
                <w:sz w:val="18"/>
              </w:rPr>
              <w:t>Cálculo automático correcto a 80% asistencia y 70% tareas.</w:t>
            </w:r>
          </w:p>
        </w:tc>
        <w:tc>
          <w:tcPr>
            <w:tcW w:type="dxa" w:w="1152"/>
            <w:shd w:fill="F7FAFC"/>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FFFFF"/>
            <w:tcMar>
              <w:top w:w="80" w:type="dxa"/>
              <w:bottom w:w="80" w:type="dxa"/>
              <w:left w:w="100" w:type="dxa"/>
              <w:right w:w="100" w:type="dxa"/>
            </w:tcMar>
          </w:tcPr>
          <w:p>
            <w:pPr>
              <w:jc w:val="center"/>
            </w:pPr>
            <w:r>
              <w:rPr>
                <w:rFonts w:ascii="Calibri" w:hAnsi="Calibri"/>
                <w:color w:val="2D3748"/>
                <w:sz w:val="18"/>
              </w:rPr>
              <w:t>D-04</w:t>
            </w:r>
          </w:p>
        </w:tc>
        <w:tc>
          <w:tcPr>
            <w:tcW w:type="dxa" w:w="4032"/>
            <w:shd w:fill="FFFFFF"/>
            <w:tcMar>
              <w:top w:w="80" w:type="dxa"/>
              <w:bottom w:w="80" w:type="dxa"/>
              <w:left w:w="100" w:type="dxa"/>
              <w:right w:w="100" w:type="dxa"/>
            </w:tcMar>
          </w:tcPr>
          <w:p>
            <w:r>
              <w:rPr>
                <w:rFonts w:ascii="Calibri" w:hAnsi="Calibri"/>
                <w:color w:val="2D3748"/>
                <w:sz w:val="18"/>
              </w:rPr>
              <w:t>Tabla pegada con punto y coma y coma decimal (EST-906; 6,5; 80; 70)</w:t>
            </w:r>
          </w:p>
        </w:tc>
        <w:tc>
          <w:tcPr>
            <w:tcW w:type="dxa" w:w="3888"/>
            <w:shd w:fill="FFFFFF"/>
            <w:tcMar>
              <w:top w:w="80" w:type="dxa"/>
              <w:bottom w:w="80" w:type="dxa"/>
              <w:left w:w="100" w:type="dxa"/>
              <w:right w:w="100" w:type="dxa"/>
            </w:tcMar>
          </w:tcPr>
          <w:p>
            <w:r>
              <w:rPr>
                <w:rFonts w:ascii="Calibri" w:hAnsi="Calibri"/>
                <w:color w:val="2D3748"/>
                <w:sz w:val="18"/>
              </w:rPr>
              <w:t>Interpretación de 6,5 como 6.5 sin conflicto con separador.</w:t>
            </w:r>
          </w:p>
        </w:tc>
        <w:tc>
          <w:tcPr>
            <w:tcW w:type="dxa" w:w="1152"/>
            <w:shd w:fill="FFFFFF"/>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7FAFC"/>
            <w:tcMar>
              <w:top w:w="80" w:type="dxa"/>
              <w:bottom w:w="80" w:type="dxa"/>
              <w:left w:w="100" w:type="dxa"/>
              <w:right w:w="100" w:type="dxa"/>
            </w:tcMar>
          </w:tcPr>
          <w:p>
            <w:pPr>
              <w:jc w:val="center"/>
            </w:pPr>
            <w:r>
              <w:rPr>
                <w:rFonts w:ascii="Calibri" w:hAnsi="Calibri"/>
                <w:color w:val="2D3748"/>
                <w:sz w:val="18"/>
              </w:rPr>
              <w:t>D-05</w:t>
            </w:r>
          </w:p>
        </w:tc>
        <w:tc>
          <w:tcPr>
            <w:tcW w:type="dxa" w:w="4032"/>
            <w:shd w:fill="F7FAFC"/>
            <w:tcMar>
              <w:top w:w="80" w:type="dxa"/>
              <w:bottom w:w="80" w:type="dxa"/>
              <w:left w:w="100" w:type="dxa"/>
              <w:right w:w="100" w:type="dxa"/>
            </w:tcMar>
          </w:tcPr>
          <w:p>
            <w:r>
              <w:rPr>
                <w:rFonts w:ascii="Calibri" w:hAnsi="Calibri"/>
                <w:color w:val="2D3748"/>
                <w:sz w:val="18"/>
              </w:rPr>
              <w:t>Valores límite permitidos (0 y 10 en notas; 0 y 100 en porcentajes)</w:t>
            </w:r>
          </w:p>
        </w:tc>
        <w:tc>
          <w:tcPr>
            <w:tcW w:type="dxa" w:w="3888"/>
            <w:shd w:fill="F7FAFC"/>
            <w:tcMar>
              <w:top w:w="80" w:type="dxa"/>
              <w:bottom w:w="80" w:type="dxa"/>
              <w:left w:w="100" w:type="dxa"/>
              <w:right w:w="100" w:type="dxa"/>
            </w:tcMar>
          </w:tcPr>
          <w:p>
            <w:r>
              <w:rPr>
                <w:rFonts w:ascii="Calibri" w:hAnsi="Calibri"/>
                <w:color w:val="2D3748"/>
                <w:sz w:val="18"/>
              </w:rPr>
              <w:t>Aceptación correcta de los valores en los extremos de rango.</w:t>
            </w:r>
          </w:p>
        </w:tc>
        <w:tc>
          <w:tcPr>
            <w:tcW w:type="dxa" w:w="1152"/>
            <w:shd w:fill="F7FAFC"/>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FFFFF"/>
            <w:tcMar>
              <w:top w:w="80" w:type="dxa"/>
              <w:bottom w:w="80" w:type="dxa"/>
              <w:left w:w="100" w:type="dxa"/>
              <w:right w:w="100" w:type="dxa"/>
            </w:tcMar>
          </w:tcPr>
          <w:p>
            <w:pPr>
              <w:jc w:val="center"/>
            </w:pPr>
            <w:r>
              <w:rPr>
                <w:rFonts w:ascii="Calibri" w:hAnsi="Calibri"/>
                <w:color w:val="2D3748"/>
                <w:sz w:val="18"/>
              </w:rPr>
              <w:t>D-06</w:t>
            </w:r>
          </w:p>
        </w:tc>
        <w:tc>
          <w:tcPr>
            <w:tcW w:type="dxa" w:w="4032"/>
            <w:shd w:fill="FFFFFF"/>
            <w:tcMar>
              <w:top w:w="80" w:type="dxa"/>
              <w:bottom w:w="80" w:type="dxa"/>
              <w:left w:w="100" w:type="dxa"/>
              <w:right w:w="100" w:type="dxa"/>
            </w:tcMar>
          </w:tcPr>
          <w:p>
            <w:r>
              <w:rPr>
                <w:rFonts w:ascii="Calibri" w:hAnsi="Calibri"/>
                <w:color w:val="2D3748"/>
                <w:sz w:val="18"/>
              </w:rPr>
              <w:t>Valor fuera de rango (Nota 10.1, Asistencia 101, Tareas -1)</w:t>
            </w:r>
          </w:p>
        </w:tc>
        <w:tc>
          <w:tcPr>
            <w:tcW w:type="dxa" w:w="3888"/>
            <w:shd w:fill="FFFFFF"/>
            <w:tcMar>
              <w:top w:w="80" w:type="dxa"/>
              <w:bottom w:w="80" w:type="dxa"/>
              <w:left w:w="100" w:type="dxa"/>
              <w:right w:w="100" w:type="dxa"/>
            </w:tcMar>
          </w:tcPr>
          <w:p>
            <w:r>
              <w:rPr>
                <w:rFonts w:ascii="Calibri" w:hAnsi="Calibri"/>
                <w:color w:val="2D3748"/>
                <w:sz w:val="18"/>
              </w:rPr>
              <w:t>Rechazo de entradas inválidas e identificación de la fila/campo.</w:t>
            </w:r>
          </w:p>
        </w:tc>
        <w:tc>
          <w:tcPr>
            <w:tcW w:type="dxa" w:w="1152"/>
            <w:shd w:fill="FFFFFF"/>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7FAFC"/>
            <w:tcMar>
              <w:top w:w="80" w:type="dxa"/>
              <w:bottom w:w="80" w:type="dxa"/>
              <w:left w:w="100" w:type="dxa"/>
              <w:right w:w="100" w:type="dxa"/>
            </w:tcMar>
          </w:tcPr>
          <w:p>
            <w:pPr>
              <w:jc w:val="center"/>
            </w:pPr>
            <w:r>
              <w:rPr>
                <w:rFonts w:ascii="Calibri" w:hAnsi="Calibri"/>
                <w:color w:val="2D3748"/>
                <w:sz w:val="18"/>
              </w:rPr>
              <w:t>D-07</w:t>
            </w:r>
          </w:p>
        </w:tc>
        <w:tc>
          <w:tcPr>
            <w:tcW w:type="dxa" w:w="4032"/>
            <w:shd w:fill="F7FAFC"/>
            <w:tcMar>
              <w:top w:w="80" w:type="dxa"/>
              <w:bottom w:w="80" w:type="dxa"/>
              <w:left w:w="100" w:type="dxa"/>
              <w:right w:w="100" w:type="dxa"/>
            </w:tcMar>
          </w:tcPr>
          <w:p>
            <w:r>
              <w:rPr>
                <w:rFonts w:ascii="Calibri" w:hAnsi="Calibri"/>
                <w:color w:val="2D3748"/>
                <w:sz w:val="18"/>
              </w:rPr>
              <w:t>Dato faltante o no numérico (EST-911,,80,70 / EST-912,abc,80,70)</w:t>
            </w:r>
          </w:p>
        </w:tc>
        <w:tc>
          <w:tcPr>
            <w:tcW w:type="dxa" w:w="3888"/>
            <w:shd w:fill="F7FAFC"/>
            <w:tcMar>
              <w:top w:w="80" w:type="dxa"/>
              <w:bottom w:w="80" w:type="dxa"/>
              <w:left w:w="100" w:type="dxa"/>
              <w:right w:w="100" w:type="dxa"/>
            </w:tcMar>
          </w:tcPr>
          <w:p>
            <w:r>
              <w:rPr>
                <w:rFonts w:ascii="Calibri" w:hAnsi="Calibri"/>
                <w:color w:val="2D3748"/>
                <w:sz w:val="18"/>
              </w:rPr>
              <w:t>Rechazo de registros indicando el campo incompleto o erróneo.</w:t>
            </w:r>
          </w:p>
        </w:tc>
        <w:tc>
          <w:tcPr>
            <w:tcW w:type="dxa" w:w="1152"/>
            <w:shd w:fill="F7FAFC"/>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FFFFF"/>
            <w:tcMar>
              <w:top w:w="80" w:type="dxa"/>
              <w:bottom w:w="80" w:type="dxa"/>
              <w:left w:w="100" w:type="dxa"/>
              <w:right w:w="100" w:type="dxa"/>
            </w:tcMar>
          </w:tcPr>
          <w:p>
            <w:pPr>
              <w:jc w:val="center"/>
            </w:pPr>
            <w:r>
              <w:rPr>
                <w:rFonts w:ascii="Calibri" w:hAnsi="Calibri"/>
                <w:color w:val="2D3748"/>
                <w:sz w:val="18"/>
              </w:rPr>
              <w:t>D-08</w:t>
            </w:r>
          </w:p>
        </w:tc>
        <w:tc>
          <w:tcPr>
            <w:tcW w:type="dxa" w:w="4032"/>
            <w:shd w:fill="FFFFFF"/>
            <w:tcMar>
              <w:top w:w="80" w:type="dxa"/>
              <w:bottom w:w="80" w:type="dxa"/>
              <w:left w:w="100" w:type="dxa"/>
              <w:right w:w="100" w:type="dxa"/>
            </w:tcMar>
          </w:tcPr>
          <w:p>
            <w:r>
              <w:rPr>
                <w:rFonts w:ascii="Calibri" w:hAnsi="Calibri"/>
                <w:color w:val="2D3748"/>
                <w:sz w:val="18"/>
              </w:rPr>
              <w:t>ID duplicado o formato incorrecto (EST-913 duplicado / ID 'Ana')</w:t>
            </w:r>
          </w:p>
        </w:tc>
        <w:tc>
          <w:tcPr>
            <w:tcW w:type="dxa" w:w="3888"/>
            <w:shd w:fill="FFFFFF"/>
            <w:tcMar>
              <w:top w:w="80" w:type="dxa"/>
              <w:bottom w:w="80" w:type="dxa"/>
              <w:left w:w="100" w:type="dxa"/>
              <w:right w:w="100" w:type="dxa"/>
            </w:tcMar>
          </w:tcPr>
          <w:p>
            <w:r>
              <w:rPr>
                <w:rFonts w:ascii="Calibri" w:hAnsi="Calibri"/>
                <w:color w:val="2D3748"/>
                <w:sz w:val="18"/>
              </w:rPr>
              <w:t>Rechazo del duplicado y validación de máscara EST- + dígitos.</w:t>
            </w:r>
          </w:p>
        </w:tc>
        <w:tc>
          <w:tcPr>
            <w:tcW w:type="dxa" w:w="1152"/>
            <w:shd w:fill="FFFFFF"/>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7FAFC"/>
            <w:tcMar>
              <w:top w:w="80" w:type="dxa"/>
              <w:bottom w:w="80" w:type="dxa"/>
              <w:left w:w="100" w:type="dxa"/>
              <w:right w:w="100" w:type="dxa"/>
            </w:tcMar>
          </w:tcPr>
          <w:p>
            <w:pPr>
              <w:jc w:val="center"/>
            </w:pPr>
            <w:r>
              <w:rPr>
                <w:rFonts w:ascii="Calibri" w:hAnsi="Calibri"/>
                <w:color w:val="2D3748"/>
                <w:sz w:val="18"/>
              </w:rPr>
              <w:t>D-09</w:t>
            </w:r>
          </w:p>
        </w:tc>
        <w:tc>
          <w:tcPr>
            <w:tcW w:type="dxa" w:w="4032"/>
            <w:shd w:fill="F7FAFC"/>
            <w:tcMar>
              <w:top w:w="80" w:type="dxa"/>
              <w:bottom w:w="80" w:type="dxa"/>
              <w:left w:w="100" w:type="dxa"/>
              <w:right w:w="100" w:type="dxa"/>
            </w:tcMar>
          </w:tcPr>
          <w:p>
            <w:r>
              <w:rPr>
                <w:rFonts w:ascii="Calibri" w:hAnsi="Calibri"/>
                <w:color w:val="2D3748"/>
                <w:sz w:val="18"/>
              </w:rPr>
              <w:t>Columna no permitida (Cabecera con columna 'nombre')</w:t>
            </w:r>
          </w:p>
        </w:tc>
        <w:tc>
          <w:tcPr>
            <w:tcW w:type="dxa" w:w="3888"/>
            <w:shd w:fill="F7FAFC"/>
            <w:tcMar>
              <w:top w:w="80" w:type="dxa"/>
              <w:bottom w:w="80" w:type="dxa"/>
              <w:left w:w="100" w:type="dxa"/>
              <w:right w:w="100" w:type="dxa"/>
            </w:tcMar>
          </w:tcPr>
          <w:p>
            <w:r>
              <w:rPr>
                <w:rFonts w:ascii="Calibri" w:hAnsi="Calibri"/>
                <w:color w:val="2D3748"/>
                <w:sz w:val="18"/>
              </w:rPr>
              <w:t>Rechazo inmediato de la columna adicional para evitar datos personales.</w:t>
            </w:r>
          </w:p>
        </w:tc>
        <w:tc>
          <w:tcPr>
            <w:tcW w:type="dxa" w:w="1152"/>
            <w:shd w:fill="F7FAFC"/>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FFFFF"/>
            <w:tcMar>
              <w:top w:w="80" w:type="dxa"/>
              <w:bottom w:w="80" w:type="dxa"/>
              <w:left w:w="100" w:type="dxa"/>
              <w:right w:w="100" w:type="dxa"/>
            </w:tcMar>
          </w:tcPr>
          <w:p>
            <w:pPr>
              <w:jc w:val="center"/>
            </w:pPr>
            <w:r>
              <w:rPr>
                <w:rFonts w:ascii="Calibri" w:hAnsi="Calibri"/>
                <w:color w:val="2D3748"/>
                <w:sz w:val="18"/>
              </w:rPr>
              <w:t>D-10</w:t>
            </w:r>
          </w:p>
        </w:tc>
        <w:tc>
          <w:tcPr>
            <w:tcW w:type="dxa" w:w="4032"/>
            <w:shd w:fill="FFFFFF"/>
            <w:tcMar>
              <w:top w:w="80" w:type="dxa"/>
              <w:bottom w:w="80" w:type="dxa"/>
              <w:left w:w="100" w:type="dxa"/>
              <w:right w:w="100" w:type="dxa"/>
            </w:tcMar>
          </w:tcPr>
          <w:p>
            <w:r>
              <w:rPr>
                <w:rFonts w:ascii="Calibri" w:hAnsi="Calibri"/>
                <w:color w:val="2D3748"/>
                <w:sz w:val="18"/>
              </w:rPr>
              <w:t>Fórmula en Excel (Plantilla .xlsx con celda '=6+1')</w:t>
            </w:r>
          </w:p>
        </w:tc>
        <w:tc>
          <w:tcPr>
            <w:tcW w:type="dxa" w:w="3888"/>
            <w:shd w:fill="FFFFFF"/>
            <w:tcMar>
              <w:top w:w="80" w:type="dxa"/>
              <w:bottom w:w="80" w:type="dxa"/>
              <w:left w:w="100" w:type="dxa"/>
              <w:right w:w="100" w:type="dxa"/>
            </w:tcMar>
          </w:tcPr>
          <w:p>
            <w:r>
              <w:rPr>
                <w:rFonts w:ascii="Calibri" w:hAnsi="Calibri"/>
                <w:color w:val="2D3748"/>
                <w:sz w:val="18"/>
              </w:rPr>
              <w:t>Rechazo del archivo indicando la prohibición de celdas formuladas.</w:t>
            </w:r>
          </w:p>
        </w:tc>
        <w:tc>
          <w:tcPr>
            <w:tcW w:type="dxa" w:w="1152"/>
            <w:shd w:fill="FFFFFF"/>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7FAFC"/>
            <w:tcMar>
              <w:top w:w="80" w:type="dxa"/>
              <w:bottom w:w="80" w:type="dxa"/>
              <w:left w:w="100" w:type="dxa"/>
              <w:right w:w="100" w:type="dxa"/>
            </w:tcMar>
          </w:tcPr>
          <w:p>
            <w:pPr>
              <w:jc w:val="center"/>
            </w:pPr>
            <w:r>
              <w:rPr>
                <w:rFonts w:ascii="Calibri" w:hAnsi="Calibri"/>
                <w:color w:val="2D3748"/>
                <w:sz w:val="18"/>
              </w:rPr>
              <w:t>D-11</w:t>
            </w:r>
          </w:p>
        </w:tc>
        <w:tc>
          <w:tcPr>
            <w:tcW w:type="dxa" w:w="4032"/>
            <w:shd w:fill="F7FAFC"/>
            <w:tcMar>
              <w:top w:w="80" w:type="dxa"/>
              <w:bottom w:w="80" w:type="dxa"/>
              <w:left w:w="100" w:type="dxa"/>
              <w:right w:w="100" w:type="dxa"/>
            </w:tcMar>
          </w:tcPr>
          <w:p>
            <w:r>
              <w:rPr>
                <w:rFonts w:ascii="Calibri" w:hAnsi="Calibri"/>
                <w:color w:val="2D3748"/>
                <w:sz w:val="18"/>
              </w:rPr>
              <w:t>Predicción de demostración sobre D-01</w:t>
            </w:r>
          </w:p>
        </w:tc>
        <w:tc>
          <w:tcPr>
            <w:tcW w:type="dxa" w:w="3888"/>
            <w:shd w:fill="F7FAFC"/>
            <w:tcMar>
              <w:top w:w="80" w:type="dxa"/>
              <w:bottom w:w="80" w:type="dxa"/>
              <w:left w:w="100" w:type="dxa"/>
              <w:right w:w="100" w:type="dxa"/>
            </w:tcMar>
          </w:tcPr>
          <w:p>
            <w:r>
              <w:rPr>
                <w:rFonts w:ascii="Calibri" w:hAnsi="Calibri"/>
                <w:color w:val="2D3748"/>
                <w:sz w:val="18"/>
              </w:rPr>
              <w:t>Despliegue de puntuaciones entre 0 y 1 o estado pendiente.</w:t>
            </w:r>
          </w:p>
        </w:tc>
        <w:tc>
          <w:tcPr>
            <w:tcW w:type="dxa" w:w="1152"/>
            <w:shd w:fill="F7FAFC"/>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FFFFF"/>
            <w:tcMar>
              <w:top w:w="80" w:type="dxa"/>
              <w:bottom w:w="80" w:type="dxa"/>
              <w:left w:w="100" w:type="dxa"/>
              <w:right w:w="100" w:type="dxa"/>
            </w:tcMar>
          </w:tcPr>
          <w:p>
            <w:pPr>
              <w:jc w:val="center"/>
            </w:pPr>
            <w:r>
              <w:rPr>
                <w:rFonts w:ascii="Calibri" w:hAnsi="Calibri"/>
                <w:color w:val="2D3748"/>
                <w:sz w:val="18"/>
              </w:rPr>
              <w:t>D-12</w:t>
            </w:r>
          </w:p>
        </w:tc>
        <w:tc>
          <w:tcPr>
            <w:tcW w:type="dxa" w:w="4032"/>
            <w:shd w:fill="FFFFFF"/>
            <w:tcMar>
              <w:top w:w="80" w:type="dxa"/>
              <w:bottom w:w="80" w:type="dxa"/>
              <w:left w:w="100" w:type="dxa"/>
              <w:right w:w="100" w:type="dxa"/>
            </w:tcMar>
          </w:tcPr>
          <w:p>
            <w:r>
              <w:rPr>
                <w:rFonts w:ascii="Calibri" w:hAnsi="Calibri"/>
                <w:color w:val="2D3748"/>
                <w:sz w:val="18"/>
              </w:rPr>
              <w:t>Solicitud y apoyo (Estudiante solicita ayuda / Tutor registra acuerdo)</w:t>
            </w:r>
          </w:p>
        </w:tc>
        <w:tc>
          <w:tcPr>
            <w:tcW w:type="dxa" w:w="3888"/>
            <w:shd w:fill="FFFFFF"/>
            <w:tcMar>
              <w:top w:w="80" w:type="dxa"/>
              <w:bottom w:w="80" w:type="dxa"/>
              <w:left w:w="100" w:type="dxa"/>
              <w:right w:w="100" w:type="dxa"/>
            </w:tcMar>
          </w:tcPr>
          <w:p>
            <w:r>
              <w:rPr>
                <w:rFonts w:ascii="Calibri" w:hAnsi="Calibri"/>
                <w:color w:val="2D3748"/>
                <w:sz w:val="18"/>
              </w:rPr>
              <w:t>Asociación correcta de solicitud y seguimiento sin requerir alerta.</w:t>
            </w:r>
          </w:p>
        </w:tc>
        <w:tc>
          <w:tcPr>
            <w:tcW w:type="dxa" w:w="1152"/>
            <w:shd w:fill="FFFFFF"/>
            <w:tcMar>
              <w:top w:w="80" w:type="dxa"/>
              <w:bottom w:w="80" w:type="dxa"/>
              <w:left w:w="100" w:type="dxa"/>
              <w:right w:w="100" w:type="dxa"/>
            </w:tcMar>
          </w:tcPr>
          <w:p>
            <w:pPr>
              <w:jc w:val="center"/>
            </w:pPr>
            <w:r>
              <w:rPr>
                <w:rFonts w:ascii="Calibri" w:hAnsi="Calibri"/>
                <w:b/>
                <w:color w:val="276749"/>
                <w:sz w:val="18"/>
              </w:rPr>
              <w:t>Aprobado</w:t>
            </w:r>
          </w:p>
        </w:tc>
      </w:tr>
      <w:tr>
        <w:tc>
          <w:tcPr>
            <w:tcW w:type="dxa" w:w="1008"/>
            <w:shd w:fill="F7FAFC"/>
            <w:tcMar>
              <w:top w:w="80" w:type="dxa"/>
              <w:bottom w:w="80" w:type="dxa"/>
              <w:left w:w="100" w:type="dxa"/>
              <w:right w:w="100" w:type="dxa"/>
            </w:tcMar>
          </w:tcPr>
          <w:p>
            <w:pPr>
              <w:jc w:val="center"/>
            </w:pPr>
            <w:r>
              <w:rPr>
                <w:rFonts w:ascii="Calibri" w:hAnsi="Calibri"/>
                <w:color w:val="2D3748"/>
                <w:sz w:val="18"/>
              </w:rPr>
              <w:t>D-13</w:t>
            </w:r>
          </w:p>
        </w:tc>
        <w:tc>
          <w:tcPr>
            <w:tcW w:type="dxa" w:w="4032"/>
            <w:shd w:fill="F7FAFC"/>
            <w:tcMar>
              <w:top w:w="80" w:type="dxa"/>
              <w:bottom w:w="80" w:type="dxa"/>
              <w:left w:w="100" w:type="dxa"/>
              <w:right w:w="100" w:type="dxa"/>
            </w:tcMar>
          </w:tcPr>
          <w:p>
            <w:r>
              <w:rPr>
                <w:rFonts w:ascii="Calibri" w:hAnsi="Calibri"/>
                <w:color w:val="2D3748"/>
                <w:sz w:val="18"/>
              </w:rPr>
              <w:t>Persistencia tras reinicio de la aplicación</w:t>
            </w:r>
          </w:p>
        </w:tc>
        <w:tc>
          <w:tcPr>
            <w:tcW w:type="dxa" w:w="3888"/>
            <w:shd w:fill="F7FAFC"/>
            <w:tcMar>
              <w:top w:w="80" w:type="dxa"/>
              <w:bottom w:w="80" w:type="dxa"/>
              <w:left w:w="100" w:type="dxa"/>
              <w:right w:w="100" w:type="dxa"/>
            </w:tcMar>
          </w:tcPr>
          <w:p>
            <w:r>
              <w:rPr>
                <w:rFonts w:ascii="Calibri" w:hAnsi="Calibri"/>
                <w:color w:val="2D3748"/>
                <w:sz w:val="18"/>
              </w:rPr>
              <w:t>Conservación y disponibilidad de datos guardados en la base de datos.</w:t>
            </w:r>
          </w:p>
        </w:tc>
        <w:tc>
          <w:tcPr>
            <w:tcW w:type="dxa" w:w="1152"/>
            <w:shd w:fill="F7FAFC"/>
            <w:tcMar>
              <w:top w:w="80" w:type="dxa"/>
              <w:bottom w:w="80" w:type="dxa"/>
              <w:left w:w="100" w:type="dxa"/>
              <w:right w:w="100" w:type="dxa"/>
            </w:tcMar>
          </w:tcPr>
          <w:p>
            <w:pPr>
              <w:jc w:val="center"/>
            </w:pPr>
            <w:r>
              <w:rPr>
                <w:rFonts w:ascii="Calibri" w:hAnsi="Calibri"/>
                <w:b/>
                <w:color w:val="276749"/>
                <w:sz w:val="18"/>
              </w:rPr>
              <w:t>Aprobado</w:t>
            </w:r>
          </w:p>
        </w:tc>
      </w:tr>
    </w:tbl>
    <w:p>
      <w:pPr>
        <w:spacing w:before="360" w:after="120"/>
      </w:pPr>
      <w:r>
        <w:rPr>
          <w:rFonts w:ascii="Calibri" w:hAnsi="Calibri"/>
          <w:b/>
          <w:color w:val="1A365D"/>
          <w:sz w:val="32"/>
        </w:rPr>
        <w:t>5. Evidencias Fotográficas y Capturas del Proceso de Testeo</w:t>
      </w:r>
    </w:p>
    <w:p>
      <w:pPr>
        <w:spacing w:after="240"/>
      </w:pPr>
      <w:r>
        <w:rPr>
          <w:rFonts w:ascii="Calibri" w:hAnsi="Calibri"/>
          <w:color w:val="2D3748"/>
          <w:sz w:val="22"/>
        </w:rPr>
        <w:t>A continuación se incluyen las capturas de pantalla obtenidas durante las sesiones de prueba en los entornos virtuales de Oracle VirtualBox:</w:t>
      </w:r>
    </w:p>
    <w:p>
      <w:pPr>
        <w:spacing w:before="160" w:after="80"/>
        <w:jc w:val="center"/>
      </w:pPr>
      <w:r>
        <w:drawing>
          <wp:inline xmlns:a="http://schemas.openxmlformats.org/drawingml/2006/main" xmlns:pic="http://schemas.openxmlformats.org/drawingml/2006/picture">
            <wp:extent cx="5303520" cy="4517813"/>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5303520" cy="4517813"/>
                    </a:xfrm>
                    <a:prstGeom prst="rect"/>
                  </pic:spPr>
                </pic:pic>
              </a:graphicData>
            </a:graphic>
          </wp:inline>
        </w:drawing>
      </w:r>
    </w:p>
    <w:p>
      <w:pPr>
        <w:spacing w:before="0" w:after="280"/>
        <w:jc w:val="center"/>
      </w:pPr>
      <w:r>
        <w:rPr>
          <w:rFonts w:ascii="Calibri" w:hAnsi="Calibri"/>
          <w:i/>
          <w:color w:val="718096"/>
          <w:sz w:val="19"/>
        </w:rPr>
        <w:t>Figura 1: Entorno W10 (64-bits) - Verificación del instalador ejecutable (MESSI-Setup-Windows-x64) y reporte exportado en la carpeta Descargas.</w:t>
      </w:r>
    </w:p>
    <w:p>
      <w:pPr>
        <w:spacing w:before="160" w:after="80"/>
        <w:jc w:val="center"/>
      </w:pPr>
      <w:r>
        <w:drawing>
          <wp:inline xmlns:a="http://schemas.openxmlformats.org/drawingml/2006/main" xmlns:pic="http://schemas.openxmlformats.org/drawingml/2006/picture">
            <wp:extent cx="5303520" cy="4517813"/>
            <wp:docPr id="2" name="Picture 2"/>
            <wp:cNvGraphicFramePr>
              <a:graphicFrameLocks noChangeAspect="1"/>
            </wp:cNvGraphicFramePr>
            <a:graphic>
              <a:graphicData uri="http://schemas.openxmlformats.org/drawingml/2006/picture">
                <pic:pic>
                  <pic:nvPicPr>
                    <pic:cNvPr id="0" name="input_file_1.png"/>
                    <pic:cNvPicPr/>
                  </pic:nvPicPr>
                  <pic:blipFill>
                    <a:blip r:embed="rId10"/>
                    <a:stretch>
                      <a:fillRect/>
                    </a:stretch>
                  </pic:blipFill>
                  <pic:spPr>
                    <a:xfrm>
                      <a:off x="0" y="0"/>
                      <a:ext cx="5303520" cy="4517813"/>
                    </a:xfrm>
                    <a:prstGeom prst="rect"/>
                  </pic:spPr>
                </pic:pic>
              </a:graphicData>
            </a:graphic>
          </wp:inline>
        </w:drawing>
      </w:r>
    </w:p>
    <w:p>
      <w:pPr>
        <w:spacing w:before="0" w:after="280"/>
        <w:jc w:val="center"/>
      </w:pPr>
      <w:r>
        <w:rPr>
          <w:rFonts w:ascii="Calibri" w:hAnsi="Calibri"/>
          <w:i/>
          <w:color w:val="718096"/>
          <w:sz w:val="19"/>
        </w:rPr>
        <w:t>Figura 2: Interfaz principal de M.E.S.S.I. en ejecución local (127.0.0.1:49992) - Vista Estudiante activa para la solicitud de apoyos.</w:t>
      </w:r>
    </w:p>
    <w:p>
      <w:pPr>
        <w:spacing w:before="160" w:after="80"/>
        <w:jc w:val="center"/>
      </w:pPr>
      <w:r>
        <w:drawing>
          <wp:inline xmlns:a="http://schemas.openxmlformats.org/drawingml/2006/main" xmlns:pic="http://schemas.openxmlformats.org/drawingml/2006/picture">
            <wp:extent cx="5303520" cy="4516279"/>
            <wp:docPr id="3" name="Picture 3"/>
            <wp:cNvGraphicFramePr>
              <a:graphicFrameLocks noChangeAspect="1"/>
            </wp:cNvGraphicFramePr>
            <a:graphic>
              <a:graphicData uri="http://schemas.openxmlformats.org/drawingml/2006/picture">
                <pic:pic>
                  <pic:nvPicPr>
                    <pic:cNvPr id="0" name="input_file_2.png"/>
                    <pic:cNvPicPr/>
                  </pic:nvPicPr>
                  <pic:blipFill>
                    <a:blip r:embed="rId11"/>
                    <a:stretch>
                      <a:fillRect/>
                    </a:stretch>
                  </pic:blipFill>
                  <pic:spPr>
                    <a:xfrm>
                      <a:off x="0" y="0"/>
                      <a:ext cx="5303520" cy="4516279"/>
                    </a:xfrm>
                    <a:prstGeom prst="rect"/>
                  </pic:spPr>
                </pic:pic>
              </a:graphicData>
            </a:graphic>
          </wp:inline>
        </w:drawing>
      </w:r>
    </w:p>
    <w:p>
      <w:pPr>
        <w:spacing w:before="0" w:after="280"/>
        <w:jc w:val="center"/>
      </w:pPr>
      <w:r>
        <w:rPr>
          <w:rFonts w:ascii="Calibri" w:hAnsi="Calibri"/>
          <w:i/>
          <w:color w:val="718096"/>
          <w:sz w:val="19"/>
        </w:rPr>
        <w:t>Figura 3: Prueba de rendimiento y multitarea bajo el entorno de 64-bits ejecutando la aplicación Streamlit.</w:t>
      </w:r>
    </w:p>
    <w:p>
      <w:pPr>
        <w:spacing w:before="160" w:after="80"/>
        <w:jc w:val="center"/>
      </w:pPr>
      <w:r>
        <w:drawing>
          <wp:inline xmlns:a="http://schemas.openxmlformats.org/drawingml/2006/main" xmlns:pic="http://schemas.openxmlformats.org/drawingml/2006/picture">
            <wp:extent cx="5303520" cy="4517813"/>
            <wp:docPr id="4" name="Picture 4"/>
            <wp:cNvGraphicFramePr>
              <a:graphicFrameLocks noChangeAspect="1"/>
            </wp:cNvGraphicFramePr>
            <a:graphic>
              <a:graphicData uri="http://schemas.openxmlformats.org/drawingml/2006/picture">
                <pic:pic>
                  <pic:nvPicPr>
                    <pic:cNvPr id="0" name="input_file_3.png"/>
                    <pic:cNvPicPr/>
                  </pic:nvPicPr>
                  <pic:blipFill>
                    <a:blip r:embed="rId12"/>
                    <a:stretch>
                      <a:fillRect/>
                    </a:stretch>
                  </pic:blipFill>
                  <pic:spPr>
                    <a:xfrm>
                      <a:off x="0" y="0"/>
                      <a:ext cx="5303520" cy="4517813"/>
                    </a:xfrm>
                    <a:prstGeom prst="rect"/>
                  </pic:spPr>
                </pic:pic>
              </a:graphicData>
            </a:graphic>
          </wp:inline>
        </w:drawing>
      </w:r>
    </w:p>
    <w:p>
      <w:pPr>
        <w:spacing w:before="0" w:after="280"/>
        <w:jc w:val="center"/>
      </w:pPr>
      <w:r>
        <w:rPr>
          <w:rFonts w:ascii="Calibri" w:hAnsi="Calibri"/>
          <w:i/>
          <w:color w:val="718096"/>
          <w:sz w:val="19"/>
        </w:rPr>
        <w:t>Figura 4: Despliegue de la aplicación Streamlit en el navegador web local con notificación de traducción de página.</w:t>
      </w:r>
    </w:p>
    <w:p>
      <w:pPr>
        <w:spacing w:before="160" w:after="80"/>
        <w:jc w:val="center"/>
      </w:pPr>
      <w:r>
        <w:drawing>
          <wp:inline xmlns:a="http://schemas.openxmlformats.org/drawingml/2006/main" xmlns:pic="http://schemas.openxmlformats.org/drawingml/2006/picture">
            <wp:extent cx="5303520" cy="4517813"/>
            <wp:docPr id="5" name="Picture 5"/>
            <wp:cNvGraphicFramePr>
              <a:graphicFrameLocks noChangeAspect="1"/>
            </wp:cNvGraphicFramePr>
            <a:graphic>
              <a:graphicData uri="http://schemas.openxmlformats.org/drawingml/2006/picture">
                <pic:pic>
                  <pic:nvPicPr>
                    <pic:cNvPr id="0" name="input_file_4.png"/>
                    <pic:cNvPicPr/>
                  </pic:nvPicPr>
                  <pic:blipFill>
                    <a:blip r:embed="rId13"/>
                    <a:stretch>
                      <a:fillRect/>
                    </a:stretch>
                  </pic:blipFill>
                  <pic:spPr>
                    <a:xfrm>
                      <a:off x="0" y="0"/>
                      <a:ext cx="5303520" cy="4517813"/>
                    </a:xfrm>
                    <a:prstGeom prst="rect"/>
                  </pic:spPr>
                </pic:pic>
              </a:graphicData>
            </a:graphic>
          </wp:inline>
        </w:drawing>
      </w:r>
    </w:p>
    <w:p>
      <w:pPr>
        <w:spacing w:before="0" w:after="280"/>
        <w:jc w:val="center"/>
      </w:pPr>
      <w:r>
        <w:rPr>
          <w:rFonts w:ascii="Calibri" w:hAnsi="Calibri"/>
          <w:i/>
          <w:color w:val="718096"/>
          <w:sz w:val="19"/>
        </w:rPr>
        <w:t>Figura 5: Inicialización del servidor local de Streamlit y carga de la pestaña de la aplicación en Microsoft Edge.</w:t>
      </w:r>
    </w:p>
    <w:p>
      <w:pPr>
        <w:spacing w:before="160" w:after="80"/>
        <w:jc w:val="center"/>
      </w:pPr>
      <w:r>
        <w:drawing>
          <wp:inline xmlns:a="http://schemas.openxmlformats.org/drawingml/2006/main" xmlns:pic="http://schemas.openxmlformats.org/drawingml/2006/picture">
            <wp:extent cx="5303520" cy="4517813"/>
            <wp:docPr id="6" name="Picture 6"/>
            <wp:cNvGraphicFramePr>
              <a:graphicFrameLocks noChangeAspect="1"/>
            </wp:cNvGraphicFramePr>
            <a:graphic>
              <a:graphicData uri="http://schemas.openxmlformats.org/drawingml/2006/picture">
                <pic:pic>
                  <pic:nvPicPr>
                    <pic:cNvPr id="0" name="input_file_5.png"/>
                    <pic:cNvPicPr/>
                  </pic:nvPicPr>
                  <pic:blipFill>
                    <a:blip r:embed="rId14"/>
                    <a:stretch>
                      <a:fillRect/>
                    </a:stretch>
                  </pic:blipFill>
                  <pic:spPr>
                    <a:xfrm>
                      <a:off x="0" y="0"/>
                      <a:ext cx="5303520" cy="4517813"/>
                    </a:xfrm>
                    <a:prstGeom prst="rect"/>
                  </pic:spPr>
                </pic:pic>
              </a:graphicData>
            </a:graphic>
          </wp:inline>
        </w:drawing>
      </w:r>
    </w:p>
    <w:p>
      <w:pPr>
        <w:spacing w:before="0" w:after="280"/>
        <w:jc w:val="center"/>
      </w:pPr>
      <w:r>
        <w:rPr>
          <w:rFonts w:ascii="Calibri" w:hAnsi="Calibri"/>
          <w:i/>
          <w:color w:val="718096"/>
          <w:sz w:val="19"/>
        </w:rPr>
        <w:t>Figura 6: Verificación de la versión ejecutable portable (MESSI-Portable-Windows-x64) y estructura de archivos locales.</w:t>
      </w:r>
    </w:p>
    <w:p>
      <w:pPr>
        <w:spacing w:before="160" w:after="80"/>
        <w:jc w:val="center"/>
      </w:pPr>
      <w:r>
        <w:drawing>
          <wp:inline xmlns:a="http://schemas.openxmlformats.org/drawingml/2006/main" xmlns:pic="http://schemas.openxmlformats.org/drawingml/2006/picture">
            <wp:extent cx="5303520" cy="4517813"/>
            <wp:docPr id="7" name="Picture 7"/>
            <wp:cNvGraphicFramePr>
              <a:graphicFrameLocks noChangeAspect="1"/>
            </wp:cNvGraphicFramePr>
            <a:graphic>
              <a:graphicData uri="http://schemas.openxmlformats.org/drawingml/2006/picture">
                <pic:pic>
                  <pic:nvPicPr>
                    <pic:cNvPr id="0" name="input_file_6.png"/>
                    <pic:cNvPicPr/>
                  </pic:nvPicPr>
                  <pic:blipFill>
                    <a:blip r:embed="rId15"/>
                    <a:stretch>
                      <a:fillRect/>
                    </a:stretch>
                  </pic:blipFill>
                  <pic:spPr>
                    <a:xfrm>
                      <a:off x="0" y="0"/>
                      <a:ext cx="5303520" cy="4517813"/>
                    </a:xfrm>
                    <a:prstGeom prst="rect"/>
                  </pic:spPr>
                </pic:pic>
              </a:graphicData>
            </a:graphic>
          </wp:inline>
        </w:drawing>
      </w:r>
    </w:p>
    <w:p>
      <w:pPr>
        <w:spacing w:before="0" w:after="280"/>
        <w:jc w:val="center"/>
      </w:pPr>
      <w:r>
        <w:rPr>
          <w:rFonts w:ascii="Calibri" w:hAnsi="Calibri"/>
          <w:i/>
          <w:color w:val="718096"/>
          <w:sz w:val="19"/>
        </w:rPr>
        <w:t>Figura 7: Módulo de respaldos de M.E.S.S.I. - Guardado de base de datos SQLite/MySQL local para garantizar persistencia.</w:t>
      </w:r>
    </w:p>
    <w:p>
      <w:pPr>
        <w:spacing w:before="280" w:after="120"/>
      </w:pPr>
      <w:r>
        <w:rPr>
          <w:rFonts w:ascii="Calibri" w:hAnsi="Calibri"/>
          <w:b/>
          <w:color w:val="1A365D"/>
          <w:sz w:val="32"/>
        </w:rPr>
        <w:t>6. Conclusiones y Recomendaciones Técnicas</w:t>
      </w:r>
    </w:p>
    <w:p>
      <w:pPr>
        <w:pStyle w:val="ListBullet"/>
        <w:spacing w:after="80" w:line="276" w:lineRule="auto"/>
      </w:pPr>
      <w:r>
        <w:rPr>
          <w:rFonts w:ascii="Calibri" w:hAnsi="Calibri"/>
          <w:color w:val="2D3748"/>
          <w:sz w:val="22"/>
        </w:rPr>
        <w:t>Requisitos Mínimos de Sistema: Se determinó de manera concluyente que la aplicación M.E.S.S.I. requiere una arquitectura estricta de 64 bits (x64) con un mínimo recomendado de 4 GB a 5 GB de memoria RAM y 4 o más núcleos de procesamiento para garantizar la fluidez de la interfaz Streamlit y la persistencia en base de datos.</w:t>
      </w:r>
    </w:p>
    <w:p>
      <w:pPr>
        <w:pStyle w:val="ListBullet"/>
        <w:spacing w:after="80" w:line="276" w:lineRule="auto"/>
      </w:pPr>
      <w:r>
        <w:rPr>
          <w:rFonts w:ascii="Calibri" w:hAnsi="Calibri"/>
          <w:color w:val="2D3748"/>
          <w:sz w:val="22"/>
        </w:rPr>
        <w:t>Incompatibilidad de 32-bits y Entornos Restringidos: Queda descartado el soporte para sistemas de 32 bits. Asimismo, entornos con 2 GB de RAM o 1 solo núcleo de CPU provocan un bloqueo en la renderización de la interfaz por inanición de recursos.</w:t>
      </w:r>
    </w:p>
    <w:p>
      <w:pPr>
        <w:pStyle w:val="ListBullet"/>
        <w:spacing w:after="80" w:line="276" w:lineRule="auto"/>
      </w:pPr>
      <w:r>
        <w:rPr>
          <w:rFonts w:ascii="Calibri" w:hAnsi="Calibri"/>
          <w:color w:val="2D3748"/>
          <w:sz w:val="22"/>
        </w:rPr>
        <w:t>Robustez en la Validación de Datos: Todos los casos de prueba de validación sintética (D-01 a D-10) demostraron una excelente solidez, rechazando adecuadamente entradas inválidas, fórmulas de Excel, columnas adicionales y formatos de ID no conformes.</w:t>
      </w:r>
    </w:p>
    <w:p>
      <w:pPr>
        <w:pStyle w:val="ListBullet"/>
        <w:spacing w:after="80" w:line="276" w:lineRule="auto"/>
      </w:pPr>
      <w:r>
        <w:rPr>
          <w:rFonts w:ascii="Calibri" w:hAnsi="Calibri"/>
          <w:color w:val="2D3748"/>
          <w:sz w:val="22"/>
        </w:rPr>
        <w:t>Garantía de Persistencia: Se certificó la persistencia de datos (D-13) tanto en la base de datos MySQL como en los esquemas de respaldo de archivos SQLite locales.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