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240" w:beforeLines="100" w:after="240"/>
        <w:rPr>
          <w:rFonts w:hint="eastAsia"/>
          <w:color w:val="auto"/>
          <w:lang w:val="en-US" w:eastAsia="zh-CN"/>
        </w:rPr>
      </w:pPr>
      <w:r>
        <w:rPr>
          <w:rFonts w:hint="eastAsia"/>
          <w:color w:val="auto"/>
          <w:lang w:val="en-US" w:eastAsia="zh-CN"/>
        </w:rPr>
        <w:t>應用序列到序列生成模型於情感型聊天機器人之研究</w:t>
      </w:r>
    </w:p>
    <w:p>
      <w:pPr>
        <w:pStyle w:val="8"/>
        <w:spacing w:before="240" w:beforeLines="100" w:after="240"/>
        <w:rPr>
          <w:rFonts w:hint="eastAsia"/>
          <w:color w:val="auto"/>
          <w:lang w:val="en-US" w:eastAsia="zh-CN"/>
        </w:rPr>
      </w:pPr>
    </w:p>
    <w:p>
      <w:pPr>
        <w:ind w:firstLine="1319" w:firstLineChars="0"/>
        <w:jc w:val="center"/>
        <w:rPr>
          <w:rFonts w:eastAsia="標楷體"/>
          <w:color w:val="auto"/>
          <w:szCs w:val="24"/>
        </w:rPr>
      </w:pPr>
    </w:p>
    <w:p>
      <w:pPr>
        <w:widowControl/>
        <w:jc w:val="center"/>
        <w:rPr>
          <w:rFonts w:hAnsi="標楷體" w:eastAsia="標楷體"/>
          <w:b/>
          <w:bCs/>
          <w:color w:val="auto"/>
          <w:sz w:val="28"/>
          <w:szCs w:val="28"/>
        </w:rPr>
      </w:pPr>
      <w:r>
        <w:rPr>
          <w:rFonts w:hAnsi="標楷體" w:eastAsia="標楷體"/>
          <w:b/>
          <w:bCs/>
          <w:color w:val="auto"/>
          <w:sz w:val="28"/>
          <w:szCs w:val="28"/>
        </w:rPr>
        <w:t>摘要</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受益於深度學習演算法的發展，商業聊天機器人中應用深度神經網路的方法變得愈發普及。在2018舉辦的NTCIR-14，CECG子任務內，傳統生成式聊天機器人中加入了情感分類的元素，旨在針對同一問句，為不同情感標籤生成不同的回應。</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受此啟發，本文主要研究的生成式聊天機器人，透過深度學習的架構，使用seq2seq模型進行訓練，并以情感標籤為之分類。</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最後，本文將透過便利抽樣的方式對30位使用簡體中文的微博用戶進行調查，以此來評測聊天機器人在加入情感標籤條件下與普通生成模型的表現差異。</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研究發現以情感標籤為分類的模型，在多個角度的評估上都略勝傳統模型。</w:t>
      </w:r>
    </w:p>
    <w:p>
      <w:pPr>
        <w:widowControl/>
        <w:snapToGrid w:val="0"/>
        <w:ind w:firstLine="420" w:firstLineChars="0"/>
        <w:jc w:val="both"/>
        <w:rPr>
          <w:rFonts w:hint="eastAsia" w:hAnsi="標楷體" w:eastAsia="標楷體"/>
          <w:color w:val="auto"/>
          <w:szCs w:val="24"/>
          <w:lang w:val="en-US" w:eastAsia="zh-CN"/>
        </w:rPr>
      </w:pP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關鍵詞：聊天機器人、自然語言生成、深度學習、情感分析</w:t>
      </w:r>
    </w:p>
    <w:p>
      <w:pPr>
        <w:rPr>
          <w:color w:val="auto"/>
        </w:rPr>
      </w:pPr>
    </w:p>
    <w:p>
      <w:pPr>
        <w:pStyle w:val="8"/>
        <w:spacing w:before="240" w:beforeLines="100" w:after="240"/>
        <w:rPr>
          <w:rFonts w:eastAsia="標楷體"/>
          <w:color w:val="auto"/>
        </w:rPr>
      </w:pPr>
      <w:r>
        <w:rPr>
          <w:color w:val="auto"/>
        </w:rPr>
        <w:br w:type="page"/>
      </w:r>
    </w:p>
    <w:p>
      <w:pPr>
        <w:pStyle w:val="9"/>
        <w:numPr>
          <w:ilvl w:val="0"/>
          <w:numId w:val="1"/>
        </w:numPr>
        <w:tabs>
          <w:tab w:val="clear" w:pos="3240"/>
        </w:tabs>
        <w:spacing w:before="360" w:beforeLines="150" w:after="120" w:afterLines="50"/>
        <w:ind w:left="0" w:firstLine="0"/>
        <w:rPr>
          <w:b/>
          <w:bCs/>
          <w:color w:val="auto"/>
        </w:rPr>
      </w:pPr>
      <w:r>
        <w:rPr>
          <w:b/>
          <w:bCs/>
          <w:color w:val="auto"/>
        </w:rPr>
        <w:t>導論</w:t>
      </w:r>
    </w:p>
    <w:p>
      <w:pPr>
        <w:numPr>
          <w:ilvl w:val="0"/>
          <w:numId w:val="2"/>
        </w:numPr>
        <w:adjustRightInd/>
        <w:snapToGrid w:val="0"/>
        <w:spacing w:before="240" w:beforeLines="100" w:line="240" w:lineRule="auto"/>
        <w:ind w:left="480" w:hanging="480"/>
        <w:textAlignment w:val="auto"/>
        <w:rPr>
          <w:rFonts w:eastAsia="標楷體"/>
          <w:color w:val="auto"/>
          <w:szCs w:val="24"/>
        </w:rPr>
      </w:pPr>
      <w:r>
        <w:rPr>
          <w:rFonts w:eastAsia="標楷體"/>
          <w:color w:val="auto"/>
          <w:sz w:val="28"/>
          <w:szCs w:val="28"/>
        </w:rPr>
        <w:t>研究背景</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近年來微博微信等新興SNS（Social Networking Services）飛速崛起，每天都有數以億計的對話在網路上傳播。在這些對話中又有著極大一部分來自於聊天機器人。</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從回應答句的角度來看，可以將聊天機器人大致分成兩類：</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（一）檢索式聊天機器人：回答是預設的，其中會使用到規則引擎、正則表達匹配或是使用深度學習預先訓練好的模型，从已有的知識庫中檢索一句最優答句進行匹配。</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二）生成式聊天機器人：不依賴也不使用已存在的回答句，可以自動產生新的答句。這種模型在訓練的過程中要求較大量的時間和語料，而語料通常包含post和response兩個部分。時下生成式聊天機器人大多會使用LSTM和RNN來訓練生成模型。這種方法早先在機器翻譯的領域中取得過非常好的成效。</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目前而言，聊天機器人的商業化程度已有相當的規模，但受制于傳統聊天機器人大多是檢索式聊天機器人，預設的回答漸漸無法滿足企業與客戶溝通的需求。</w:t>
      </w:r>
    </w:p>
    <w:p>
      <w:pPr>
        <w:pStyle w:val="9"/>
        <w:numPr>
          <w:ilvl w:val="0"/>
          <w:numId w:val="2"/>
        </w:numPr>
        <w:spacing w:before="360" w:beforeLines="150" w:after="120" w:afterLines="50"/>
        <w:ind w:left="480" w:leftChars="0" w:hanging="480" w:firstLineChars="0"/>
        <w:jc w:val="both"/>
        <w:rPr>
          <w:rFonts w:eastAsia="標楷體"/>
          <w:color w:val="auto"/>
          <w:sz w:val="28"/>
          <w:szCs w:val="24"/>
        </w:rPr>
      </w:pPr>
      <w:r>
        <w:rPr>
          <w:rFonts w:eastAsia="標楷體"/>
          <w:color w:val="auto"/>
          <w:sz w:val="28"/>
          <w:szCs w:val="24"/>
        </w:rPr>
        <w:t>研究</w:t>
      </w:r>
      <w:r>
        <w:rPr>
          <w:rFonts w:hint="eastAsia"/>
          <w:color w:val="auto"/>
          <w:sz w:val="28"/>
          <w:szCs w:val="24"/>
          <w:lang w:val="en-US" w:eastAsia="zh-CN"/>
        </w:rPr>
        <w:t>動機</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2"/>
          <w:lang w:val="en-US" w:eastAsia="zh-CN"/>
        </w:rPr>
        <w:tab/>
      </w:r>
      <w:r>
        <w:rPr>
          <w:rFonts w:hint="eastAsia"/>
          <w:color w:val="auto"/>
          <w:sz w:val="24"/>
          <w:szCs w:val="22"/>
          <w:lang w:val="en-US" w:eastAsia="zh-CN"/>
        </w:rPr>
        <w:t>美國雲端通</w:t>
      </w:r>
      <w:r>
        <w:rPr>
          <w:rFonts w:hint="eastAsia"/>
          <w:color w:val="auto"/>
          <w:sz w:val="24"/>
          <w:szCs w:val="24"/>
          <w:lang w:val="en-US" w:eastAsia="zh-CN"/>
        </w:rPr>
        <w:t>訊公司</w:t>
      </w:r>
      <w:r>
        <w:rPr>
          <w:rFonts w:hint="eastAsia" w:eastAsia="標楷體"/>
          <w:color w:val="auto"/>
          <w:sz w:val="24"/>
          <w:szCs w:val="24"/>
          <w:lang w:val="en-US" w:eastAsia="zh-CN"/>
        </w:rPr>
        <w:t>Twilio</w:t>
      </w:r>
      <w:r>
        <w:rPr>
          <w:rFonts w:hint="eastAsia"/>
          <w:color w:val="auto"/>
          <w:sz w:val="24"/>
          <w:szCs w:val="24"/>
          <w:lang w:val="en-US" w:eastAsia="zh-CN"/>
        </w:rPr>
        <w:t>在2016年的報告中指出，有接近89%的用戶更希望透過訊息（messaging）的方式跟企業或商家直接溝通，而不是電話或者郵件。但是只有48%的企業去實現了這種溝通的可能。</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現在，生成式聊天機器人也許能為企業和客戶溝通建立一座新的桥梁。前文提到的傳統聊天機器人（檢索式聊天機器人）有一些缺陷，而生成式聊天機器人所倚賴的巨量資料和運算時間，在當今科技飛速的發展下也已然不是很大的問題。在Tensorflow、Keras、Pytorch等開源深度學習框架，以及強悍的GPU</w:t>
      </w:r>
      <w:r>
        <w:rPr>
          <w:rFonts w:hint="eastAsia"/>
          <w:color w:val="auto"/>
          <w:position w:val="-4"/>
          <w:sz w:val="24"/>
          <w:szCs w:val="24"/>
          <w:lang w:val="en-US" w:eastAsia="zh-CN"/>
        </w:rPr>
        <w:object>
          <v:shape id="_x0000_i1025" o:spt="75" type="#_x0000_t75" style="height:16pt;width:11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color w:val="auto"/>
          <w:sz w:val="24"/>
          <w:szCs w:val="24"/>
          <w:lang w:val="en-US" w:eastAsia="zh-CN"/>
        </w:rPr>
        <w:t>設備支持下，使用深度學習訓練生成式模型的時間，已經被壓縮在一個完全可以接受的範圍內。此外，在這個資訊爆炸的年代，想要在網路上收集到大量資料用於此種研究，也不再是一件難事了。於是如何才能夠提升生成答句的質量，成為了生成式聊天機器人研究的重點。</w:t>
      </w:r>
    </w:p>
    <w:p>
      <w:pPr>
        <w:pStyle w:val="9"/>
        <w:numPr>
          <w:ilvl w:val="0"/>
          <w:numId w:val="0"/>
        </w:numPr>
        <w:spacing w:before="360" w:beforeLines="150" w:after="120" w:afterLines="50"/>
        <w:ind w:leftChars="0"/>
        <w:jc w:val="both"/>
        <w:rPr>
          <w:rFonts w:hint="eastAsia" w:hAnsi="標楷體" w:eastAsia="宋体"/>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w:t>
      </w:r>
      <w:r>
        <w:rPr>
          <w:rFonts w:hint="eastAsia" w:hAnsi="標楷體" w:eastAsia="宋体"/>
          <w:color w:val="auto"/>
          <w:sz w:val="24"/>
          <w:szCs w:val="24"/>
          <w:lang w:val="en-US" w:eastAsia="zh-CN"/>
        </w:rPr>
        <w:t>NTCIR-14</w:t>
      </w:r>
      <w:r>
        <w:rPr>
          <w:rFonts w:hint="eastAsia" w:hAnsi="標楷體" w:eastAsia="宋体"/>
          <w:color w:val="auto"/>
          <w:position w:val="-4"/>
          <w:sz w:val="24"/>
          <w:szCs w:val="24"/>
          <w:lang w:val="en-US" w:eastAsia="zh-CN"/>
        </w:rPr>
        <w:object>
          <v:shape id="_x0000_i1026" o:spt="75" type="#_x0000_t75" style="height:16pt;width:11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hAnsi="標楷體" w:eastAsia="宋体"/>
          <w:color w:val="auto"/>
          <w:sz w:val="24"/>
          <w:szCs w:val="24"/>
          <w:lang w:val="en-US" w:eastAsia="zh-CN"/>
        </w:rPr>
        <w:t>，CECG子任務中釋出的資料集里，除了問答對之外，還包含了句子（</w:t>
      </w:r>
      <w:r>
        <w:rPr>
          <w:rFonts w:hint="eastAsia" w:eastAsia="標楷體"/>
          <w:color w:val="auto"/>
          <w:sz w:val="24"/>
          <w:szCs w:val="22"/>
          <w:lang w:val="en-US" w:eastAsia="zh-CN"/>
        </w:rPr>
        <w:t>post</w:t>
      </w:r>
      <w:r>
        <w:rPr>
          <w:rFonts w:hint="eastAsia"/>
          <w:color w:val="auto"/>
          <w:sz w:val="24"/>
          <w:szCs w:val="22"/>
          <w:lang w:val="en-US" w:eastAsia="zh-CN"/>
        </w:rPr>
        <w:t xml:space="preserve"> &amp; </w:t>
      </w:r>
      <w:r>
        <w:rPr>
          <w:rFonts w:hint="eastAsia" w:eastAsia="標楷體"/>
          <w:color w:val="auto"/>
          <w:sz w:val="24"/>
          <w:szCs w:val="22"/>
          <w:lang w:val="en-US" w:eastAsia="zh-CN"/>
        </w:rPr>
        <w:t>response</w:t>
      </w:r>
      <w:r>
        <w:rPr>
          <w:rFonts w:hint="eastAsia" w:hAnsi="標楷體" w:eastAsia="宋体"/>
          <w:color w:val="auto"/>
          <w:sz w:val="24"/>
          <w:szCs w:val="24"/>
          <w:lang w:val="en-US" w:eastAsia="zh-CN"/>
        </w:rPr>
        <w:t>）本身的客觀情感標籤，共分成6類（Other,Like,Sadness,Disgust,Anger，Happiness）。這個資料集啟發我，將情感標籤也加入生成模型的訓練，透過類神經網路，模型將會學習到類似自然人類高情商（Emotional Quotient）的概念，從而生成更合適的自然語言表達。</w:t>
      </w: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3"/>
        <w:ind w:left="300" w:hanging="300" w:hangingChars="200"/>
        <w:jc w:val="left"/>
        <w:rPr>
          <w:rFonts w:hint="eastAsia" w:eastAsia="宋体"/>
          <w:sz w:val="15"/>
          <w:szCs w:val="15"/>
          <w:lang w:val="en-US" w:eastAsia="zh-CN"/>
        </w:rPr>
      </w:pPr>
      <w:r>
        <w:rPr>
          <w:rFonts w:hint="eastAsia" w:eastAsia="宋体"/>
          <w:sz w:val="15"/>
          <w:szCs w:val="15"/>
          <w:lang w:val="en-US" w:eastAsia="zh-CN"/>
        </w:rPr>
        <w:t>①GPU：圖形處理器（graphics processing unit），雖然GPU在遊戲中以3D彩現而聞名，但它們對執行分析、深度學習和機器學習演算法</w:t>
      </w:r>
    </w:p>
    <w:p>
      <w:pPr>
        <w:pStyle w:val="3"/>
        <w:ind w:left="299" w:leftChars="62" w:hanging="150" w:hangingChars="100"/>
        <w:jc w:val="left"/>
        <w:rPr>
          <w:rFonts w:hint="eastAsia" w:eastAsia="宋体"/>
          <w:sz w:val="15"/>
          <w:szCs w:val="15"/>
          <w:lang w:val="en-US" w:eastAsia="zh-CN"/>
        </w:rPr>
      </w:pPr>
      <w:r>
        <w:rPr>
          <w:rFonts w:hint="eastAsia" w:eastAsia="宋体"/>
          <w:sz w:val="15"/>
          <w:szCs w:val="15"/>
          <w:lang w:val="en-US" w:eastAsia="zh-CN"/>
        </w:rPr>
        <w:t>尤其有用。GPU允許某些計算比傳統CPU上執行相同的計算速度快10倍至100倍。</w:t>
      </w:r>
    </w:p>
    <w:p>
      <w:pPr>
        <w:pStyle w:val="3"/>
        <w:jc w:val="left"/>
        <w:rPr>
          <w:rFonts w:hint="eastAsia" w:eastAsia="宋体"/>
          <w:sz w:val="15"/>
          <w:szCs w:val="15"/>
          <w:lang w:val="en-US" w:eastAsia="zh-CN"/>
        </w:rPr>
      </w:pPr>
      <w:r>
        <w:rPr>
          <w:rFonts w:hint="eastAsia" w:eastAsia="宋体"/>
          <w:sz w:val="15"/>
          <w:szCs w:val="15"/>
          <w:lang w:val="en-US" w:eastAsia="zh-CN"/>
        </w:rPr>
        <w:t>②NTCIR-14： (NII Test Collection for IR Systems) ，針對亞洲語種的跨語言資訊檢索會議，2019年為第14屆。</w:t>
      </w:r>
    </w:p>
    <w:p>
      <w:pPr>
        <w:pStyle w:val="9"/>
        <w:numPr>
          <w:ilvl w:val="0"/>
          <w:numId w:val="2"/>
        </w:numPr>
        <w:spacing w:before="360" w:beforeLines="150" w:after="120" w:afterLines="50"/>
        <w:ind w:left="480" w:leftChars="0" w:hanging="480" w:firstLineChars="0"/>
        <w:jc w:val="both"/>
        <w:rPr>
          <w:rFonts w:hint="eastAsia"/>
          <w:color w:val="auto"/>
          <w:sz w:val="24"/>
          <w:szCs w:val="22"/>
          <w:lang w:val="en-US" w:eastAsia="zh-CN"/>
        </w:rPr>
      </w:pPr>
      <w:r>
        <w:rPr>
          <w:rFonts w:hint="eastAsia"/>
          <w:color w:val="auto"/>
          <w:sz w:val="28"/>
          <w:szCs w:val="24"/>
          <w:lang w:val="en-US" w:eastAsia="zh-CN"/>
        </w:rPr>
        <w:t>研究目的</w:t>
      </w: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r>
        <w:rPr>
          <w:rFonts w:hint="eastAsia"/>
          <w:color w:val="auto"/>
          <w:sz w:val="24"/>
          <w:szCs w:val="22"/>
          <w:lang w:val="en-US" w:eastAsia="zh-CN"/>
        </w:rPr>
        <w:t>如上文所述，本研究將在序列到序列的生成中，加入情感標籤為參考要素，使用Pytorch的開源架構來實作生成式聊天機器人，以實現聊天機器人在大部分情況下，能夠透過問句及其情感，來生成更相關且更合適的回應。</w:t>
      </w: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r>
        <w:rPr>
          <w:rFonts w:hint="eastAsia"/>
          <w:color w:val="auto"/>
          <w:sz w:val="24"/>
          <w:szCs w:val="22"/>
          <w:lang w:val="en-US" w:eastAsia="zh-CN"/>
        </w:rPr>
        <w:t>為了讓實驗結果更有可信度，本研究會將部分的測試問答句，通過簡單抽樣的方式設計成問卷，交由簡體中文微博</w:t>
      </w:r>
      <w:r>
        <w:rPr>
          <w:rFonts w:hint="eastAsia"/>
          <w:color w:val="auto"/>
          <w:position w:val="-4"/>
          <w:sz w:val="24"/>
          <w:szCs w:val="22"/>
          <w:lang w:val="en-US" w:eastAsia="zh-CN"/>
        </w:rPr>
        <w:object>
          <v:shape id="_x0000_i1027" o:spt="75" type="#_x0000_t75" style="height:16pt;width:11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color w:val="auto"/>
          <w:sz w:val="24"/>
          <w:szCs w:val="22"/>
          <w:lang w:val="en-US" w:eastAsia="zh-CN"/>
        </w:rPr>
        <w:t>用戶，從語言流暢度，問答相關度和情感表達度三個方面進行評測，以全方位展示實驗的結果。</w:t>
      </w:r>
    </w:p>
    <w:p>
      <w:pPr>
        <w:pStyle w:val="9"/>
        <w:numPr>
          <w:ilvl w:val="0"/>
          <w:numId w:val="2"/>
        </w:numPr>
        <w:spacing w:before="360" w:beforeLines="150" w:after="120" w:afterLines="50"/>
        <w:ind w:left="480" w:leftChars="0" w:hanging="480" w:firstLineChars="0"/>
        <w:jc w:val="both"/>
        <w:rPr>
          <w:rFonts w:hint="eastAsia"/>
          <w:color w:val="auto"/>
          <w:sz w:val="24"/>
          <w:szCs w:val="22"/>
          <w:lang w:val="en-US" w:eastAsia="zh-CN"/>
        </w:rPr>
      </w:pPr>
      <w:r>
        <w:rPr>
          <w:rFonts w:hint="eastAsia"/>
          <w:color w:val="auto"/>
          <w:sz w:val="28"/>
          <w:szCs w:val="24"/>
          <w:lang w:val="en-US" w:eastAsia="zh-CN"/>
        </w:rPr>
        <w:t>論文架構</w:t>
      </w: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r>
        <w:rPr>
          <w:rFonts w:hint="eastAsia"/>
          <w:color w:val="auto"/>
          <w:sz w:val="24"/>
          <w:szCs w:val="22"/>
          <w:lang w:val="en-US" w:eastAsia="zh-CN"/>
        </w:rPr>
        <w:t>本論文共分五個章節，前述的部分為導論，闡述本研究的背景，動機及目的。其後第二章是文獻探討，將討論與本研究相關的各個技術，其在發展過程中產生的變化與影響。第三章將會對本研究的研究方法加以介紹。第四章將會說明本研究的實驗環境，實驗設計和結果。最後會在第五章總結本研究的實際成果與研究限制，並提出未來可能得以延伸的研究方向。</w:t>
      </w: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p>
    <w:p>
      <w:pPr>
        <w:pStyle w:val="3"/>
        <w:jc w:val="left"/>
        <w:rPr>
          <w:rFonts w:hint="eastAsia"/>
          <w:color w:val="auto"/>
          <w:sz w:val="24"/>
          <w:szCs w:val="22"/>
          <w:lang w:val="en-US" w:eastAsia="zh-CN"/>
        </w:rPr>
      </w:pPr>
      <w:r>
        <w:rPr>
          <w:rFonts w:hint="eastAsia" w:eastAsia="宋体"/>
          <w:sz w:val="15"/>
          <w:szCs w:val="15"/>
          <w:lang w:val="en-US" w:eastAsia="zh-CN"/>
        </w:rPr>
        <w:t>③微博： 在這裡指新浪微博，是中國大陸地區使用者最多的微部落格服務網站。至2018年，微博的平均每日活躍用戶量超過兩億。</w:t>
      </w: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文獻探討</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2.1 NTCIR-14</w:t>
      </w:r>
    </w:p>
    <w:p>
      <w:pPr>
        <w:pStyle w:val="9"/>
        <w:numPr>
          <w:ilvl w:val="0"/>
          <w:numId w:val="0"/>
        </w:numPr>
        <w:spacing w:before="360" w:beforeLines="150" w:after="120" w:afterLines="50"/>
        <w:ind w:leftChars="0"/>
        <w:jc w:val="both"/>
        <w:rPr>
          <w:rFonts w:hint="eastAsia"/>
          <w:b w:val="0"/>
          <w:bCs w:val="0"/>
          <w:color w:val="auto"/>
          <w:sz w:val="24"/>
          <w:szCs w:val="24"/>
          <w:lang w:val="en-US" w:eastAsia="zh-CN"/>
        </w:rPr>
      </w:pPr>
      <w:r>
        <w:rPr>
          <w:rFonts w:hint="eastAsia"/>
          <w:b w:val="0"/>
          <w:bCs w:val="0"/>
          <w:color w:val="auto"/>
          <w:lang w:val="en-US" w:eastAsia="zh-CN"/>
        </w:rPr>
        <w:tab/>
      </w:r>
      <w:r>
        <w:rPr>
          <w:rFonts w:hint="eastAsia" w:eastAsia="宋体"/>
          <w:b w:val="0"/>
          <w:bCs w:val="0"/>
          <w:color w:val="auto"/>
          <w:sz w:val="24"/>
          <w:szCs w:val="24"/>
          <w:lang w:val="en-US" w:eastAsia="zh-CN"/>
        </w:rPr>
        <w:t>NTCIR是一個針對資訊架構（IA）技術的競賽，其中包含問題回答，資訊檢索，資訊萃取和文本摘要等。NTCIR最早由國立情報學研究所（NACSIS）和日本學術振興會（JSPS）聯合贊助，並於1998年開始籌備，並最終在1999年成功舉辦首屆workshop。經過二十年的發展NTCIR已然成為一項國際重要賽事，它設置了一系列基於中文，日文，英文三種語言的評估任務，目前舉辦至第十四屆。</w:t>
      </w:r>
    </w:p>
    <w:p>
      <w:pPr>
        <w:pStyle w:val="9"/>
        <w:numPr>
          <w:ilvl w:val="0"/>
          <w:numId w:val="0"/>
        </w:numPr>
        <w:spacing w:before="360" w:beforeLines="150" w:after="120" w:afterLines="50"/>
        <w:ind w:leftChars="0"/>
        <w:jc w:val="both"/>
        <w:rPr>
          <w:rFonts w:hint="eastAsia" w:eastAsia="宋体"/>
          <w:b w:val="0"/>
          <w:bCs w:val="0"/>
          <w:color w:val="auto"/>
          <w:sz w:val="24"/>
          <w:szCs w:val="24"/>
          <w:lang w:val="en-US" w:eastAsia="zh-CN"/>
        </w:rPr>
      </w:pPr>
      <w:r>
        <w:rPr>
          <w:rFonts w:hint="eastAsia"/>
          <w:b w:val="0"/>
          <w:bCs w:val="0"/>
          <w:color w:val="auto"/>
          <w:sz w:val="24"/>
          <w:szCs w:val="24"/>
          <w:lang w:val="en-US" w:eastAsia="zh-CN"/>
        </w:rPr>
        <w:tab/>
      </w:r>
      <w:r>
        <w:rPr>
          <w:rFonts w:hint="eastAsia" w:eastAsia="宋体"/>
          <w:b w:val="0"/>
          <w:bCs w:val="0"/>
          <w:color w:val="auto"/>
          <w:sz w:val="24"/>
          <w:szCs w:val="24"/>
          <w:lang w:val="en-US" w:eastAsia="zh-CN"/>
        </w:rPr>
        <w:t>在 2016 年，第十二屆 NTCIR 中首次設置了中、日兩種語料的評測新任務，即短文本對話任務（STC），這也是目前國際上唯一的“語言開放域”對話方面的</w:t>
      </w:r>
      <w:bookmarkStart w:id="0" w:name="_GoBack"/>
      <w:bookmarkEnd w:id="0"/>
      <w:r>
        <w:rPr>
          <w:rFonts w:hint="eastAsia" w:eastAsia="宋体"/>
          <w:b w:val="0"/>
          <w:bCs w:val="0"/>
          <w:color w:val="auto"/>
          <w:sz w:val="24"/>
          <w:szCs w:val="24"/>
          <w:lang w:val="en-US" w:eastAsia="zh-CN"/>
        </w:rPr>
        <w:t>評測比賽。</w:t>
      </w:r>
    </w:p>
    <w:p>
      <w:pPr>
        <w:pStyle w:val="9"/>
        <w:numPr>
          <w:ilvl w:val="0"/>
          <w:numId w:val="0"/>
        </w:numPr>
        <w:spacing w:before="360" w:beforeLines="150" w:after="120" w:afterLines="50"/>
        <w:ind w:leftChars="0"/>
        <w:jc w:val="both"/>
        <w:rPr>
          <w:rFonts w:hint="eastAsia" w:eastAsia="宋体"/>
          <w:b w:val="0"/>
          <w:bCs w:val="0"/>
          <w:color w:val="auto"/>
          <w:sz w:val="24"/>
          <w:szCs w:val="24"/>
          <w:lang w:val="en-US" w:eastAsia="zh-CN"/>
        </w:rPr>
      </w:pPr>
      <w:r>
        <w:rPr>
          <w:rFonts w:hint="eastAsia" w:eastAsia="宋体"/>
          <w:b w:val="0"/>
          <w:bCs w:val="0"/>
          <w:color w:val="auto"/>
          <w:sz w:val="24"/>
          <w:szCs w:val="24"/>
          <w:lang w:val="en-US" w:eastAsia="zh-CN"/>
        </w:rPr>
        <w:tab/>
      </w:r>
      <w:r>
        <w:rPr>
          <w:rFonts w:hint="eastAsia" w:eastAsia="宋体"/>
          <w:b w:val="0"/>
          <w:bCs w:val="0"/>
          <w:color w:val="auto"/>
          <w:sz w:val="24"/>
          <w:szCs w:val="24"/>
          <w:lang w:val="en-US" w:eastAsia="zh-CN"/>
        </w:rPr>
        <w:t>第十三屆STC競賽中，來自搜狗公司和清華大學的冠軍隊伍，ZhaoH （2017）等人使用S2SAttn模型，在對話的生成上取得了不錯的效果。這種模型是結合注意力機制的seq2seq深度學習模型，表現上來說會優於檢索式模型。</w:t>
      </w:r>
    </w:p>
    <w:p>
      <w:pPr>
        <w:pStyle w:val="9"/>
        <w:numPr>
          <w:ilvl w:val="0"/>
          <w:numId w:val="0"/>
        </w:numPr>
        <w:spacing w:before="360" w:beforeLines="150" w:after="120" w:afterLines="50"/>
        <w:ind w:leftChars="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eastAsia="宋体"/>
          <w:b w:val="0"/>
          <w:bCs w:val="0"/>
          <w:color w:val="auto"/>
          <w:sz w:val="24"/>
          <w:szCs w:val="24"/>
          <w:lang w:val="en-US" w:eastAsia="zh-CN"/>
        </w:rPr>
        <w:t>在今年的比賽中，依然有中文評測任務，而其中的短文本對話任務NTCIR14-STC3，在上一屆引入基於深度學習的生成模型對話的任務設置之後，又結合了情感標籤的元素，提出基於情感標籤的對話生成任務CECG。</w:t>
      </w:r>
    </w:p>
    <w:p>
      <w:pPr>
        <w:pStyle w:val="9"/>
        <w:numPr>
          <w:ilvl w:val="0"/>
          <w:numId w:val="0"/>
        </w:numPr>
        <w:spacing w:before="360" w:beforeLines="150" w:after="120" w:afterLines="50"/>
        <w:ind w:leftChars="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eastAsia="宋体"/>
          <w:b w:val="0"/>
          <w:bCs w:val="0"/>
          <w:color w:val="auto"/>
          <w:sz w:val="24"/>
          <w:szCs w:val="24"/>
          <w:lang w:val="en-US" w:eastAsia="zh-CN"/>
        </w:rPr>
        <w:t>我們團隊有幸參加了此次NTCIR 14-STC3的CECG子任務，也正是本次的比賽啟發我使用情感標籤分類，作為提升句子生成質量的一種管道。</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2.2檢索式聊天機器人</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2.2.1樣板式</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樣板式聊天機器人的技術原理是經過人工在聊天庫中設定一些對話場景，然後根據不同場景塑造相對應的對話範本，並根據每一個問題設計其可能會出現的答案。基於這個技術的優點是精確性高，缺點是人工工作量大，可擴展性差，不同的場景要有不同的設定。大名鼎鼎的對話機器人Siri就是使用這樣的技術生成的，相比於其他技術的對話機器人其精確性非常高。</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2.2.2規則式</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eastAsia="宋体"/>
          <w:color w:val="auto"/>
          <w:sz w:val="24"/>
          <w:szCs w:val="24"/>
          <w:lang w:val="en-US" w:eastAsia="zh-CN"/>
        </w:rPr>
        <w:t>規則式聊天機器人的回應句也是提前設定好的。它的技術類似於搜索引擎，在製作一個這樣的聊天系統之前，需要創建一個聊天對話庫並建立索引，根據輸入的問題，在聊天對話庫中進行搜索查詢來進行模糊匹配，並根據我們預先設定的規則計算相對匹配度最高的問句，取得其索引值，將索引值相對應的答句返回給用戶。要提升這一類聊天機器人，很大程度上倚賴語料庫的擴增和搜尋匹配演算法的提升。</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2.3生成式聊天機器人</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eastAsia="宋体"/>
          <w:color w:val="auto"/>
          <w:sz w:val="24"/>
          <w:szCs w:val="24"/>
          <w:lang w:val="en-US" w:eastAsia="zh-CN"/>
        </w:rPr>
        <w:t>近年在NLP領域中出現了很多新的模型，而在生成式聊天機器人中大部分都是在Seq2Seq模型框架下進行改進的。這種框架的好處主要有兩點，一是在未來的擴展上有很大空間，二是生成模型的泛用性也可根據訓練語料來調整。以下主要介紹本研究中所使用的生成式聊天機器人相關的幾個技術。在詞表示方面有word embedding，深度學習模型方面有RNN，GRU，Attention-Based-GRU模型等等。</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2.4 sequence-to-sequence模型</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seq2seq 可以簡單看做是兩個RNN組成的模型，一個Encoder–Decoder 結構的網路，它的輸入是一個序列，輸出也是一個序列， Encoder 的作用是將一個可變長度的序列轉成固定長度的表示向量，而Decoder 將這個固定長度的表示向量變成可變長度的目標的序列。</w:t>
      </w:r>
      <w:r>
        <w:rPr>
          <w:rFonts w:hint="eastAsia"/>
          <w:color w:val="auto"/>
          <w:sz w:val="24"/>
          <w:szCs w:val="24"/>
          <w:lang w:val="en-US" w:eastAsia="zh-CN"/>
        </w:rPr>
        <w:t>在實際應用中，seq2seq活躍在機器翻譯，對話生成，文本摘要等領域。因為要求輸出要與輸入相關，所以模型本身要能夠記憶輸入序列的訊息。下面將介紹seq2seq模型的運作原理。</w:t>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drawing>
          <wp:inline distT="0" distB="0" distL="114300" distR="114300">
            <wp:extent cx="5020945" cy="1570355"/>
            <wp:effectExtent l="0" t="0" r="8255" b="10795"/>
            <wp:docPr id="12" name="图片 12" descr="seq2seq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eq2seq模型"/>
                    <pic:cNvPicPr>
                      <a:picLocks noChangeAspect="1"/>
                    </pic:cNvPicPr>
                  </pic:nvPicPr>
                  <pic:blipFill>
                    <a:blip r:embed="rId11"/>
                    <a:stretch>
                      <a:fillRect/>
                    </a:stretch>
                  </pic:blipFill>
                  <pic:spPr>
                    <a:xfrm>
                      <a:off x="0" y="0"/>
                      <a:ext cx="5020945" cy="157035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圖1、Seq2Seq模型示意圖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2.4.1 深度學習</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深度學習是經過構建大量訓練數據和大量隱藏層，學習更有用特徵，以達到提高分類或預測準確性的目的的機器學習模型。深度學習與傳統淺層學習的主要區別在於模型結構的深度，深度學習模型結構的深度通常會有5層以上。此外，在深度學習中，特徵學習的重要性被明確的強調，即經過一層層的特徵變換，將原始空間中的特徵表示轉換到新的特徵空間，使得模型分類與預測更加的簡單。</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學習特徵的方法有兩種：基於人工規則和使用大數據。前者適用於提升一些規則已知的學習，後者則可以更好地體現出數據本身所要表達的資訊。深度學習是一種端到端的結構，以實際例子來說可以從數據訓練直接到最終結果，不需要額外的特徵提取環節，或者也可以理解成所有的特徵都包含在隱藏層中。</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sz w:val="24"/>
          <w:szCs w:val="24"/>
          <w:lang w:val="en-US" w:eastAsia="zh-CN"/>
        </w:rPr>
        <w:tab/>
      </w:r>
      <w:r>
        <w:rPr>
          <w:rFonts w:hint="eastAsia"/>
          <w:color w:val="auto"/>
          <w:sz w:val="24"/>
          <w:szCs w:val="24"/>
          <w:lang w:val="en-US" w:eastAsia="zh-CN"/>
        </w:rPr>
        <w:t>深度學習有許多經典的模型，像是深信网络模型（DBN），限制玻尔兹曼机(RBMs)，卷積神經網路（CNN），循環神經網路（RNN）等。</w:t>
      </w:r>
    </w:p>
    <w:p>
      <w:pPr>
        <w:pStyle w:val="9"/>
        <w:numPr>
          <w:ilvl w:val="0"/>
          <w:numId w:val="0"/>
        </w:numPr>
        <w:spacing w:before="360" w:beforeLines="150" w:after="120" w:afterLines="50"/>
        <w:ind w:leftChars="0"/>
        <w:jc w:val="both"/>
        <w:rPr>
          <w:rFonts w:hint="eastAsia"/>
          <w:color w:val="auto"/>
          <w:lang w:val="en-US" w:eastAsia="zh-CN"/>
        </w:rPr>
      </w:pP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2.4.2 RNN（循環神經網路）</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RNN是為了解決DNN（Deep neural network前饋人工神經網路）存在著無法對時間序列上的變化進行建模的問題（如自然語言處理、語音識別、手寫體識別），出現的另一種神經網路結構，循環神經網路。</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RNN循環神經網路，顧名思義其每一個節點的輸出，也會成為下一節點的輸入，即一個序列的輸出會與前面所有的輸出有關。具體的表現形式可以理解成整個網路會對前面的部分資訊進行記憶，即隱藏層之間的節點將會是有連接的，並且隱藏層的輸入通常會包括原始輸入和上一時間點的輸入。</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一般來說，RNN可以處理任意長度的序列。</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4184015" cy="2205990"/>
            <wp:effectExtent l="0" t="0" r="6985" b="3810"/>
            <wp:docPr id="11" name="图片 11" descr="RNN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NN模型示意图"/>
                    <pic:cNvPicPr>
                      <a:picLocks noChangeAspect="1"/>
                    </pic:cNvPicPr>
                  </pic:nvPicPr>
                  <pic:blipFill>
                    <a:blip r:embed="rId12"/>
                    <a:stretch>
                      <a:fillRect/>
                    </a:stretch>
                  </pic:blipFill>
                  <pic:spPr>
                    <a:xfrm>
                      <a:off x="0" y="0"/>
                      <a:ext cx="4184015" cy="220599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t>圖2、RNN模型示意圖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2.4.3 LSTM和GRU單元</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 xml:space="preserve">由於梯度消失問題，S-RNN（Simple RNN） 很難高效訓練。在反向傳播的（backpropagation）過程中，前面環節的誤差信號（梯度）消失的很快，於是就無法提取到更前面的輸入信號，使得S-RNN 在捕獲大範圍的依賴上效果不佳。Long short-term memory (LSTM) 結構是 Hochreiter and Schmidhuber （2017） 設計來解決梯度消失問題的，他們首創地引入了門閘機制。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 xml:space="preserve">S-RNN 結構中每層都複用相同的矩陣 W，這將導致梯度計算包含多次的矩陣 W 的乘積運算，這很容易導致梯度值消失或者爆炸，門閘機制解決這個問題的主要方法就是避免單個矩陣的重複乘積計算。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 xml:space="preserve">如果把 RNN 看做一個計算黑箱，其中狀態 s_i 代表一個有限的記憶。函數 R 的作用就是讀取輸入 x_i+1 和目前狀態 s_i，然後將處理結果保存為新的狀態 s_i+1。從這個角度看，S-RNN 顯然沒有提供控制記憶的方式，每次計算都是讀取整個記憶然後寫入整個記憶。在這裡，門閘結構提供的機制就是控制記憶存取。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 xml:space="preserve">門閘機制，即通過門閘向量，動態的控制對當前記憶狀態 s_i 的讀取，即可以被當前記憶狀態和輸入所控制，且其行為是可以學習的。該機制保證了和記憶部分相關的梯度，即使經過很長的時間跨度，也能保持較高的值，避免了梯度消失。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當訓練 LSTM 網路時，Jozefowics （2015） 強烈推薦總是將遺忘門的 bias 部分初始化接近1。</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雖然 LSTM 結構效果很好，但由於結構相對複雜，導致難以分析，且運算成本高。 Gated recurrent unit (GRU) 是 Cho（2014） 作為 LSTM 替代品提出的。 GRU 雖然基於門閘機制，但減少了門閘的數量，並取消了切分 memory 的思路。</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目前 GRU 在語言模型和機器翻譯任務重表現很好，雖然相較LSTM孰優孰劣尚未有所定論，但可以肯定的是GRU在簡潔性上有優勢，可以有效降低訓練模型的時間成本。</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drawing>
          <wp:inline distT="0" distB="0" distL="114300" distR="114300">
            <wp:extent cx="4140835" cy="1677670"/>
            <wp:effectExtent l="0" t="0" r="12065" b="17780"/>
            <wp:docPr id="10" name="图片 10" descr="LSTM and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STM and GRU"/>
                    <pic:cNvPicPr>
                      <a:picLocks noChangeAspect="1"/>
                    </pic:cNvPicPr>
                  </pic:nvPicPr>
                  <pic:blipFill>
                    <a:blip r:embed="rId13"/>
                    <a:stretch>
                      <a:fillRect/>
                    </a:stretch>
                  </pic:blipFill>
                  <pic:spPr>
                    <a:xfrm>
                      <a:off x="0" y="0"/>
                      <a:ext cx="4140835" cy="167767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圖3、LSTM和GRU模型示意圖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2.5 Word-embedding</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Word Embedding是指透過特定算法將詞語轉換成向量編碼的表示法，</w:t>
      </w:r>
      <w:r>
        <w:rPr>
          <w:rFonts w:hint="eastAsia" w:eastAsia="宋体"/>
          <w:color w:val="auto"/>
          <w:sz w:val="24"/>
          <w:szCs w:val="24"/>
          <w:lang w:val="en-US" w:eastAsia="zh-CN"/>
        </w:rPr>
        <w:t>表示方法主要有one-hot，N-gram，分佈式表示(distributed representation)、共現矩陣等</w:t>
      </w:r>
      <w:r>
        <w:rPr>
          <w:rFonts w:hint="eastAsia"/>
          <w:color w:val="auto"/>
          <w:sz w:val="24"/>
          <w:szCs w:val="24"/>
          <w:lang w:val="en-US" w:eastAsia="zh-CN"/>
        </w:rPr>
        <w:t>。</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在早年很多機器翻譯的任務中，詞表示會使用One-Hot-Encoding。</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One-Hot-Encoding是一種稀疏向量表示法，它將需要表示的元素總數作為向量的統一維度，每一個元素的對應向量，只有在特定的某一維表示為1，其餘均為0。這種詞表示法的優點是簡單，缺點也顯而易見。當語料的數量較大時，使用這種詞表示法容易產生維度災難。此外，這種詞表示法中每個詞都是獨立的，因此也無法計算詞之間的相似度。</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本文中使用到的是另一種分佈式詞表示法（distributed representation）。該方法以深度學習為基礎，將文本中的每個詞訓練成不同的短向量，并將它們集中在一個向量空間中。在這個空間里有距離的概念，如餘弦相似度（Cosine similarity）。這樣一來，我們就可以用詞之間的距離來表示相關度。</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最常用的詞向量訓練法有兩種：CBOW和Skip-Gram。兩者的原理類似，實現的方式相反，在此不多贅述。</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2.6 Attention Mechanism</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固定長度向量承擔編碼輸入序列的整個“含義”的負擔，無論可能有多長。 由於語言的差異，這是一個非常難的問題。 想像一下兩個幾乎相同的句子，二十個單詞長，只有一個單詞不同。 編碼器和解碼器都必須細緻入微，以便將這種變化表示為空間中略微不同的點。</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Bahdanau等人（2016）在論文中提出注意機制。 通過給Encoder提供一種“注意”部分輸入的方式來解決這個問題，而不是依賴於單獨的特定向量。Decoder可以根據輸入是句子的不同部分這一觀點，來考慮生成輸出。</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在Multiplicative attention(Luong et al., 2015)中提到了三種attention score的計算方法，本文會採用第一種。</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2800350" cy="768985"/>
            <wp:effectExtent l="0" t="0" r="0" b="12065"/>
            <wp:docPr id="9" name="图片 9" descr="Luong 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uong Attention"/>
                    <pic:cNvPicPr>
                      <a:picLocks noChangeAspect="1"/>
                    </pic:cNvPicPr>
                  </pic:nvPicPr>
                  <pic:blipFill>
                    <a:blip r:embed="rId14"/>
                    <a:stretch>
                      <a:fillRect/>
                    </a:stretch>
                  </pic:blipFill>
                  <pic:spPr>
                    <a:xfrm>
                      <a:off x="0" y="0"/>
                      <a:ext cx="2800350" cy="768985"/>
                    </a:xfrm>
                    <a:prstGeom prst="rect">
                      <a:avLst/>
                    </a:prstGeom>
                  </pic:spPr>
                </pic:pic>
              </a:graphicData>
            </a:graphic>
          </wp:inline>
        </w:drawing>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注意力的計算與Decoder中的另一個前饋層有關。 該前饋層將使用當前的輸入和隱藏狀態來創建新的向量，該向量與輸入序列的大小相同（即是固定的最大長度）。 該向量通過softmax處理以創建注意力權重，該注意力權重乘以Encoder的輸出以創建新的上下文向量，然後用於預測下一個輸出。</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3482975" cy="1927225"/>
            <wp:effectExtent l="0" t="0" r="3175" b="15875"/>
            <wp:docPr id="13" name="图片 13" descr="Attention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ttention计算示意图"/>
                    <pic:cNvPicPr>
                      <a:picLocks noChangeAspect="1"/>
                    </pic:cNvPicPr>
                  </pic:nvPicPr>
                  <pic:blipFill>
                    <a:blip r:embed="rId15"/>
                    <a:stretch>
                      <a:fillRect/>
                    </a:stretch>
                  </pic:blipFill>
                  <pic:spPr>
                    <a:xfrm>
                      <a:off x="0" y="0"/>
                      <a:ext cx="3482975" cy="192722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sz w:val="24"/>
          <w:szCs w:val="24"/>
          <w:lang w:val="en-US" w:eastAsia="zh-CN"/>
        </w:rPr>
        <w:t>圖4、Attention計算示意圖</w:t>
      </w: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方法介紹</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3.1簡介</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在早年商用聊天機器人的研究中，我們不難發現一個現象，即在問句的回答中，很容易出現讓人覺得尷尬的回應。所謂尷尬指的是該回應合理，卻不合情。比如當一位顧客在反應購買的商品有問題時，不排除客服機器人會發生以下這種情況。</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問：</w:t>
      </w:r>
      <w:r>
        <w:rPr>
          <w:rFonts w:hint="eastAsia" w:eastAsia="宋体"/>
          <w:color w:val="auto"/>
          <w:sz w:val="24"/>
          <w:szCs w:val="24"/>
          <w:lang w:val="en-US" w:eastAsia="zh-CN"/>
        </w:rPr>
        <w:t>我买到商品为什么是坏的？</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答：哈哈哈哈，我的也是。</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sz w:val="24"/>
          <w:szCs w:val="24"/>
          <w:lang w:val="en-US" w:eastAsia="zh-CN"/>
        </w:rPr>
        <w:tab/>
      </w:r>
      <w:r>
        <w:rPr>
          <w:rFonts w:hint="eastAsia"/>
          <w:color w:val="auto"/>
          <w:sz w:val="24"/>
          <w:szCs w:val="24"/>
          <w:lang w:val="en-US" w:eastAsia="zh-CN"/>
        </w:rPr>
        <w:t>這種回答合乎語法，也與問句相關，但顯然不是好的回答。為了解決這一問題，我們建置了一個基於seq2seq模型的聊天機器人系統，並加入情感標籤元素，讓系統可以在特定的情感標籤下生成對應的輸出，以提升聊天機器人對話的質量。</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3.2系統架構</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sz w:val="24"/>
          <w:szCs w:val="24"/>
          <w:lang w:val="en-US" w:eastAsia="zh-CN"/>
        </w:rPr>
        <w:t>本研究的系統架構如下圖，可分成兩部分來看。模型1是對照組，模型2是實驗組，實驗組是五個由不同情感標籤的資料集分別訓練的。模型的本質都是Seq2Seq神經網路，透過模型1和模型2，會對同樣的問句產生兩種答句，最後再由人工的方式，對抽樣後的兩種答句進行評估。</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5747385" cy="3328670"/>
            <wp:effectExtent l="0" t="0" r="5715" b="5080"/>
            <wp:docPr id="5" name="图片 5" descr="中一論文系統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一論文系統架構圖"/>
                    <pic:cNvPicPr>
                      <a:picLocks noChangeAspect="1"/>
                    </pic:cNvPicPr>
                  </pic:nvPicPr>
                  <pic:blipFill>
                    <a:blip r:embed="rId16"/>
                    <a:stretch>
                      <a:fillRect/>
                    </a:stretch>
                  </pic:blipFill>
                  <pic:spPr>
                    <a:xfrm>
                      <a:off x="0" y="0"/>
                      <a:ext cx="5747385" cy="332867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sz w:val="24"/>
          <w:szCs w:val="24"/>
          <w:lang w:val="en-US" w:eastAsia="zh-CN"/>
        </w:rPr>
        <w:t>圖5、系統架構圖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3.3前處理</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由於NTCIR官方提供的資料結構比較規範，在斷詞方面也已經處理完畢，因此本研究中沒有再進行重新斷詞。首先我們刪去了情感標籤的元素，為模型1的訓練做準備。</w:t>
      </w:r>
    </w:p>
    <w:p>
      <w:pPr>
        <w:pStyle w:val="9"/>
        <w:numPr>
          <w:ilvl w:val="0"/>
          <w:numId w:val="0"/>
        </w:numPr>
        <w:spacing w:before="360" w:beforeLines="150" w:after="120" w:afterLines="50"/>
        <w:ind w:leftChars="0"/>
        <w:jc w:val="both"/>
        <w:rPr>
          <w:rFonts w:hint="eastAsia" w:hAnsi="標楷體" w:eastAsia="宋体"/>
          <w:color w:val="auto"/>
          <w:sz w:val="22"/>
          <w:szCs w:val="22"/>
          <w:lang w:val="en-US" w:eastAsia="zh-CN"/>
        </w:rPr>
      </w:pPr>
      <w:r>
        <w:rPr>
          <w:rFonts w:hint="eastAsia"/>
          <w:color w:val="auto"/>
          <w:sz w:val="24"/>
          <w:szCs w:val="24"/>
          <w:lang w:val="en-US" w:eastAsia="zh-CN"/>
        </w:rPr>
        <w:tab/>
      </w:r>
      <w:r>
        <w:rPr>
          <w:rFonts w:hint="eastAsia"/>
          <w:color w:val="auto"/>
          <w:sz w:val="24"/>
          <w:szCs w:val="24"/>
          <w:lang w:val="en-US" w:eastAsia="zh-CN"/>
        </w:rPr>
        <w:t>由於模型2包含5個子模型，所以我們根據有效情感標籤（不含標籤0），將資料集分成5份。下圖中橫軸的Q1到Q5分別表示情感標籤為</w:t>
      </w:r>
      <w:r>
        <w:rPr>
          <w:rFonts w:hint="eastAsia" w:hAnsi="標楷體" w:eastAsia="宋体"/>
          <w:color w:val="auto"/>
          <w:sz w:val="22"/>
          <w:szCs w:val="22"/>
          <w:lang w:val="en-US" w:eastAsia="zh-CN"/>
        </w:rPr>
        <w:t>Like,Sadness,Disgust,Anger，Happiness的問句，縱軸表示該情感問句對應不同情感答句的數量分佈。</w:t>
      </w:r>
    </w:p>
    <w:p>
      <w:pPr>
        <w:pStyle w:val="9"/>
        <w:numPr>
          <w:ilvl w:val="0"/>
          <w:numId w:val="0"/>
        </w:numPr>
        <w:spacing w:before="360" w:beforeLines="150" w:after="120" w:afterLines="50"/>
        <w:ind w:leftChars="0"/>
        <w:jc w:val="both"/>
        <w:rPr>
          <w:rFonts w:hint="eastAsia" w:hAnsi="標楷體" w:eastAsia="宋体"/>
          <w:color w:val="auto"/>
          <w:sz w:val="22"/>
          <w:szCs w:val="22"/>
          <w:lang w:val="en-US" w:eastAsia="zh-CN"/>
        </w:rPr>
      </w:pP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4091305" cy="2555240"/>
            <wp:effectExtent l="0" t="0" r="4445" b="16510"/>
            <wp:docPr id="14" name="图片 14" descr="资料集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资料集预览"/>
                    <pic:cNvPicPr>
                      <a:picLocks noChangeAspect="1"/>
                    </pic:cNvPicPr>
                  </pic:nvPicPr>
                  <pic:blipFill>
                    <a:blip r:embed="rId17"/>
                    <a:stretch>
                      <a:fillRect/>
                    </a:stretch>
                  </pic:blipFill>
                  <pic:spPr>
                    <a:xfrm>
                      <a:off x="0" y="0"/>
                      <a:ext cx="4091305" cy="255524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圖6、資料集預覽圖</w:t>
      </w:r>
    </w:p>
    <w:p>
      <w:pPr>
        <w:pStyle w:val="9"/>
        <w:numPr>
          <w:ilvl w:val="0"/>
          <w:numId w:val="0"/>
        </w:numPr>
        <w:spacing w:before="360" w:beforeLines="150" w:after="120" w:afterLines="50"/>
        <w:ind w:leftChars="0"/>
        <w:jc w:val="center"/>
        <w:rPr>
          <w:rFonts w:hint="eastAsia"/>
          <w:color w:val="auto"/>
          <w:sz w:val="24"/>
          <w:szCs w:val="24"/>
          <w:lang w:val="en-US" w:eastAsia="zh-CN"/>
        </w:rPr>
      </w:pPr>
    </w:p>
    <w:p>
      <w:pPr>
        <w:pStyle w:val="9"/>
        <w:numPr>
          <w:ilvl w:val="0"/>
          <w:numId w:val="0"/>
        </w:numPr>
        <w:spacing w:before="360" w:beforeLines="150" w:after="120" w:afterLines="50"/>
        <w:ind w:leftChars="0"/>
        <w:jc w:val="center"/>
        <w:rPr>
          <w:rFonts w:hint="eastAsia"/>
          <w:color w:val="auto"/>
          <w:sz w:val="24"/>
          <w:szCs w:val="24"/>
          <w:lang w:val="en-US" w:eastAsia="zh-CN"/>
        </w:rPr>
      </w:pP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3.4 seq2seq模型</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eastAsia="宋体"/>
          <w:color w:val="auto"/>
          <w:sz w:val="24"/>
          <w:szCs w:val="24"/>
          <w:lang w:val="en-US" w:eastAsia="zh-CN"/>
        </w:rPr>
        <w:t>序列到序列網路或seq2seq網路或編碼器解碼器網路是由稱為編碼器和解碼器的兩個單獨的RNN組成的模型，下圖中的上半部分是編碼器（Encoder），下半部分是解碼器（Decoder）。Encoder將許多輸入編碼到一個向量中，並從一個向量由Decoder解碼為多個輸出，因此可以擺脫序列順序和長度的約束。編碼序列由單個向量表示，在理想情況下，這一向量可以被理解為整個序列的“意義”。</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drawing>
          <wp:inline distT="0" distB="0" distL="114300" distR="114300">
            <wp:extent cx="5758815" cy="2701290"/>
            <wp:effectExtent l="0" t="0" r="13335" b="3810"/>
            <wp:docPr id="3" name="图片 3"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图"/>
                    <pic:cNvPicPr>
                      <a:picLocks noChangeAspect="1"/>
                    </pic:cNvPicPr>
                  </pic:nvPicPr>
                  <pic:blipFill>
                    <a:blip r:embed="rId18"/>
                    <a:stretch>
                      <a:fillRect/>
                    </a:stretch>
                  </pic:blipFill>
                  <pic:spPr>
                    <a:xfrm>
                      <a:off x="0" y="0"/>
                      <a:ext cx="5758815" cy="270129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t>圖7、Seq2seq系統架構圖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3.4.1 GRU-Encoder</w:t>
      </w:r>
    </w:p>
    <w:p>
      <w:pPr>
        <w:pStyle w:val="9"/>
        <w:numPr>
          <w:ilvl w:val="0"/>
          <w:numId w:val="0"/>
        </w:numPr>
        <w:spacing w:before="360" w:beforeLines="150" w:after="120" w:afterLines="50"/>
        <w:ind w:leftChars="0"/>
        <w:jc w:val="both"/>
        <w:rPr>
          <w:rFonts w:hint="eastAsia" w:eastAsia="宋体"/>
          <w:color w:val="auto"/>
          <w:sz w:val="24"/>
          <w:szCs w:val="24"/>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 xml:space="preserve"> </w:t>
      </w:r>
      <w:r>
        <w:rPr>
          <w:rFonts w:hint="eastAsia" w:eastAsia="宋体"/>
          <w:color w:val="auto"/>
          <w:sz w:val="24"/>
          <w:szCs w:val="24"/>
          <w:lang w:val="en-US" w:eastAsia="zh-CN"/>
        </w:rPr>
        <w:t>Seq2Seq網路的Encoder本質上是一個RNN，它為輸入句子中的每個詞輸出一個向量和隱藏狀態，並將隱藏狀態用於下一個輸入字。GRU結構可以用來解決梯度消失</w:t>
      </w:r>
      <w:r>
        <w:rPr>
          <w:rFonts w:hint="eastAsia" w:eastAsia="宋体"/>
          <w:color w:val="auto"/>
          <w:position w:val="-4"/>
          <w:sz w:val="24"/>
          <w:szCs w:val="24"/>
          <w:lang w:val="en-US" w:eastAsia="zh-CN"/>
        </w:rPr>
        <w:object>
          <v:shape id="_x0000_i1028" o:spt="75" type="#_x0000_t75" style="height:16pt;width:11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rFonts w:hint="eastAsia" w:eastAsia="宋体"/>
          <w:color w:val="auto"/>
          <w:sz w:val="24"/>
          <w:szCs w:val="24"/>
          <w:lang w:val="en-US" w:eastAsia="zh-CN"/>
        </w:rPr>
        <w:t>的問題。</w:t>
      </w:r>
    </w:p>
    <w:p>
      <w:pPr>
        <w:pStyle w:val="9"/>
        <w:numPr>
          <w:ilvl w:val="0"/>
          <w:numId w:val="0"/>
        </w:numPr>
        <w:spacing w:before="360" w:beforeLines="150" w:after="120" w:afterLines="50"/>
        <w:ind w:leftChars="0"/>
        <w:jc w:val="both"/>
        <w:rPr>
          <w:rFonts w:hint="eastAsia" w:eastAsia="宋体"/>
          <w:color w:val="auto"/>
          <w:sz w:val="24"/>
          <w:szCs w:val="24"/>
          <w:lang w:val="en-US" w:eastAsia="zh-CN"/>
        </w:rPr>
      </w:pP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1951990" cy="1887855"/>
            <wp:effectExtent l="0" t="0" r="10160" b="17145"/>
            <wp:docPr id="7" name="图片 7" descr="en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coder-network"/>
                    <pic:cNvPicPr>
                      <a:picLocks noChangeAspect="1"/>
                    </pic:cNvPicPr>
                  </pic:nvPicPr>
                  <pic:blipFill>
                    <a:blip r:embed="rId21"/>
                    <a:stretch>
                      <a:fillRect/>
                    </a:stretch>
                  </pic:blipFill>
                  <pic:spPr>
                    <a:xfrm>
                      <a:off x="0" y="0"/>
                      <a:ext cx="1951990" cy="188785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t>圖8、Encoder示意圖</w:t>
      </w:r>
    </w:p>
    <w:p>
      <w:pPr>
        <w:pStyle w:val="9"/>
        <w:numPr>
          <w:ilvl w:val="0"/>
          <w:numId w:val="0"/>
        </w:numPr>
        <w:spacing w:before="360" w:beforeLines="150" w:after="120" w:afterLines="50"/>
        <w:ind w:leftChars="0"/>
        <w:jc w:val="both"/>
        <w:rPr>
          <w:rFonts w:hint="eastAsia"/>
          <w:color w:val="auto"/>
          <w:lang w:val="en-US" w:eastAsia="zh-CN"/>
        </w:rPr>
      </w:pPr>
    </w:p>
    <w:p>
      <w:pPr>
        <w:pStyle w:val="9"/>
        <w:numPr>
          <w:ilvl w:val="0"/>
          <w:numId w:val="0"/>
        </w:numPr>
        <w:spacing w:before="360" w:beforeLines="150" w:after="120" w:afterLines="50"/>
        <w:ind w:leftChars="0"/>
        <w:jc w:val="both"/>
        <w:rPr>
          <w:rFonts w:hint="eastAsia"/>
          <w:color w:val="auto"/>
          <w:lang w:val="en-US" w:eastAsia="zh-CN"/>
        </w:rPr>
      </w:pPr>
    </w:p>
    <w:p>
      <w:pPr>
        <w:pStyle w:val="3"/>
        <w:jc w:val="left"/>
        <w:rPr>
          <w:rFonts w:hint="eastAsia"/>
          <w:color w:val="auto"/>
          <w:lang w:val="en-US" w:eastAsia="zh-CN"/>
        </w:rPr>
      </w:pPr>
      <w:r>
        <w:rPr>
          <w:rFonts w:hint="eastAsia" w:eastAsia="宋体"/>
          <w:sz w:val="15"/>
          <w:szCs w:val="15"/>
          <w:lang w:val="en-US" w:eastAsia="zh-CN"/>
        </w:rPr>
        <w:t>④梯度消失： 指在使用梯度下降法和反向傳播法訓練模型的過程中，梯度值接近0，導致權重無法更新。</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 xml:space="preserve">3.4.2 GRU-Decoder with Attention </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eastAsia="宋体"/>
          <w:color w:val="auto"/>
          <w:sz w:val="24"/>
          <w:szCs w:val="24"/>
          <w:lang w:val="en-US" w:eastAsia="zh-CN"/>
        </w:rPr>
        <w:t>一般的注意力計算來自Decoder的隱藏狀態（</w:t>
      </w:r>
      <w:r>
        <w:rPr>
          <w:rFonts w:hint="eastAsia"/>
          <w:color w:val="auto"/>
          <w:position w:val="-12"/>
          <w:sz w:val="24"/>
          <w:szCs w:val="24"/>
          <w:lang w:val="en-US" w:eastAsia="zh-CN"/>
        </w:rPr>
        <w:object>
          <v:shape id="_x0000_i1029" o:spt="75" type="#_x0000_t75" style="height:18pt;width:13pt;" o:ole="t" filled="f" o:preferrelative="t" stroked="f" coordsize="21600,21600">
            <v:path/>
            <v:fill on="f" focussize="0,0"/>
            <v:stroke on="f"/>
            <v:imagedata r:id="rId23" o:title=""/>
            <o:lock v:ext="edit" aspectratio="t"/>
            <w10:wrap type="none"/>
            <w10:anchorlock/>
          </v:shape>
          <o:OLEObject Type="Embed" ProgID="Equation.KSEE3" ShapeID="_x0000_i1029" DrawAspect="Content" ObjectID="_1468075729" r:id="rId22">
            <o:LockedField>false</o:LockedField>
          </o:OLEObject>
        </w:object>
      </w:r>
      <w:r>
        <w:rPr>
          <w:rFonts w:hint="eastAsia" w:eastAsia="宋体"/>
          <w:color w:val="auto"/>
          <w:sz w:val="24"/>
          <w:szCs w:val="24"/>
          <w:lang w:val="en-US" w:eastAsia="zh-CN"/>
        </w:rPr>
        <w:t>）和Encoder的狀態（</w:t>
      </w:r>
      <w:r>
        <w:rPr>
          <w:rFonts w:hint="eastAsia"/>
          <w:color w:val="auto"/>
          <w:position w:val="-12"/>
          <w:sz w:val="24"/>
          <w:szCs w:val="24"/>
          <w:lang w:val="en-US" w:eastAsia="zh-CN"/>
        </w:rPr>
        <w:object>
          <v:shape id="_x0000_i1030" o:spt="75" type="#_x0000_t75" style="height:18pt;width:13.95pt;" o:ole="t" filled="f" o:preferrelative="t" stroked="f" coordsize="21600,21600">
            <v:path/>
            <v:fill on="f" focussize="0,0"/>
            <v:stroke on="f"/>
            <v:imagedata r:id="rId25" o:title=""/>
            <o:lock v:ext="edit" aspectratio="t"/>
            <w10:wrap type="none"/>
            <w10:anchorlock/>
          </v:shape>
          <o:OLEObject Type="Embed" ProgID="Equation.KSEE3" ShapeID="_x0000_i1030" DrawAspect="Content" ObjectID="_1468075730" r:id="rId24">
            <o:LockedField>false</o:LockedField>
          </o:OLEObject>
        </w:object>
      </w:r>
      <w:r>
        <w:rPr>
          <w:rFonts w:hint="eastAsia" w:eastAsia="宋体"/>
          <w:color w:val="auto"/>
          <w:sz w:val="24"/>
          <w:szCs w:val="24"/>
          <w:lang w:val="en-US" w:eastAsia="zh-CN"/>
        </w:rPr>
        <w:t>），經由正規化後最終會得到一個總和為1的值。</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3943350" cy="866775"/>
            <wp:effectExtent l="0" t="0" r="0" b="9525"/>
            <wp:docPr id="17" name="图片 17" descr="普通注意力計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普通注意力計算公式"/>
                    <pic:cNvPicPr>
                      <a:picLocks noChangeAspect="1"/>
                    </pic:cNvPicPr>
                  </pic:nvPicPr>
                  <pic:blipFill>
                    <a:blip r:embed="rId26"/>
                    <a:stretch>
                      <a:fillRect/>
                    </a:stretch>
                  </pic:blipFill>
                  <pic:spPr>
                    <a:xfrm>
                      <a:off x="0" y="0"/>
                      <a:ext cx="3943350" cy="866775"/>
                    </a:xfrm>
                    <a:prstGeom prst="rect">
                      <a:avLst/>
                    </a:prstGeom>
                  </pic:spPr>
                </pic:pic>
              </a:graphicData>
            </a:graphic>
          </wp:inline>
        </w:drawing>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lang w:val="en-US" w:eastAsia="zh-CN"/>
        </w:rPr>
        <w:tab/>
      </w:r>
      <w:r>
        <w:rPr>
          <w:rFonts w:hint="eastAsia"/>
          <w:color w:val="auto"/>
          <w:sz w:val="24"/>
          <w:szCs w:val="24"/>
          <w:lang w:val="en-US" w:eastAsia="zh-CN"/>
        </w:rPr>
        <w:t>L</w:t>
      </w:r>
      <w:r>
        <w:rPr>
          <w:rFonts w:hint="eastAsia" w:eastAsia="宋体"/>
          <w:color w:val="auto"/>
          <w:sz w:val="24"/>
          <w:szCs w:val="24"/>
          <w:lang w:val="en-US" w:eastAsia="zh-CN"/>
        </w:rPr>
        <w:t>uong等人（2015）提出了一些Global Attention 的模型，來改進傳統注意力模型，他們之間的區別在計算注意力得分的方式（詳見2.6）。本研究中用到的得分計算方式是dot，顧名思義是兩個狀態之間簡單的乘積。</w:t>
      </w:r>
    </w:p>
    <w:p>
      <w:pPr>
        <w:pStyle w:val="9"/>
        <w:numPr>
          <w:ilvl w:val="0"/>
          <w:numId w:val="0"/>
        </w:numPr>
        <w:spacing w:before="360" w:beforeLines="150" w:after="120" w:afterLines="50"/>
        <w:ind w:leftChars="0"/>
        <w:jc w:val="both"/>
        <w:rPr>
          <w:rFonts w:hint="eastAsia"/>
          <w:color w:val="auto"/>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現在我們可以構建一個Decoder，在和3.4.1中提到的一樣的RNN之後插入這個Attn計算模組來計算注意力，並將這些權重應用到Decoder的輸出，以獲得上下文向量。</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2287905" cy="3644900"/>
            <wp:effectExtent l="0" t="0" r="17145" b="12700"/>
            <wp:docPr id="8" name="图片 8" descr="attention-de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ention-decoder-network"/>
                    <pic:cNvPicPr>
                      <a:picLocks noChangeAspect="1"/>
                    </pic:cNvPicPr>
                  </pic:nvPicPr>
                  <pic:blipFill>
                    <a:blip r:embed="rId27"/>
                    <a:stretch>
                      <a:fillRect/>
                    </a:stretch>
                  </pic:blipFill>
                  <pic:spPr>
                    <a:xfrm>
                      <a:off x="0" y="0"/>
                      <a:ext cx="2287905" cy="364490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t>圖9、Decoder with Attention示意圖</w:t>
      </w:r>
    </w:p>
    <w:p>
      <w:pPr>
        <w:pStyle w:val="9"/>
        <w:numPr>
          <w:ilvl w:val="0"/>
          <w:numId w:val="0"/>
        </w:numPr>
        <w:spacing w:before="360" w:beforeLines="150" w:after="120" w:afterLines="50"/>
        <w:ind w:leftChars="0"/>
        <w:jc w:val="center"/>
        <w:rPr>
          <w:rFonts w:hint="eastAsia"/>
          <w:color w:val="auto"/>
          <w:lang w:val="en-US" w:eastAsia="zh-CN"/>
        </w:rPr>
      </w:pPr>
    </w:p>
    <w:p>
      <w:pPr>
        <w:pStyle w:val="9"/>
        <w:numPr>
          <w:ilvl w:val="0"/>
          <w:numId w:val="0"/>
        </w:numPr>
        <w:spacing w:before="360" w:beforeLines="150" w:after="120" w:afterLines="50"/>
        <w:ind w:leftChars="0"/>
        <w:jc w:val="center"/>
        <w:rPr>
          <w:rFonts w:hint="eastAsia"/>
          <w:color w:val="auto"/>
          <w:lang w:val="en-US" w:eastAsia="zh-CN"/>
        </w:rPr>
      </w:pP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實驗設計與結果</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4.1實驗環境</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以下將對本研究的環境進行介紹。基於成本和時間效益的考量，本研究的主要進程均在Google Colab（Colabortary）上進行。Google Colab是Google推出的免費GPU伺服器，預裝Jupyter Notebook環境，可以和Google Drive聯結，並且完全在雲端運行。下圖是Google Colab的環境配置圖。</w:t>
      </w:r>
    </w:p>
    <w:p>
      <w:pPr>
        <w:pStyle w:val="9"/>
        <w:numPr>
          <w:ilvl w:val="0"/>
          <w:numId w:val="0"/>
        </w:numPr>
        <w:spacing w:before="360" w:beforeLines="150" w:after="120" w:afterLines="50"/>
        <w:jc w:val="both"/>
        <w:rPr>
          <w:rFonts w:hint="eastAsia"/>
          <w:b w:val="0"/>
          <w:bCs w:val="0"/>
          <w:color w:val="auto"/>
          <w:lang w:val="en-US" w:eastAsia="zh-CN"/>
        </w:rPr>
      </w:pPr>
    </w:p>
    <w:p>
      <w:pPr>
        <w:pStyle w:val="9"/>
        <w:numPr>
          <w:ilvl w:val="0"/>
          <w:numId w:val="0"/>
        </w:numPr>
        <w:spacing w:before="360" w:beforeLines="150" w:after="120" w:afterLines="50"/>
        <w:jc w:val="center"/>
        <w:rPr>
          <w:rFonts w:hint="eastAsia"/>
          <w:b w:val="0"/>
          <w:bCs w:val="0"/>
          <w:color w:val="auto"/>
          <w:lang w:val="en-US" w:eastAsia="zh-CN"/>
        </w:rPr>
      </w:pPr>
      <w:r>
        <w:rPr>
          <w:color w:val="auto"/>
          <w:sz w:val="28"/>
        </w:rPr>
        <mc:AlternateContent>
          <mc:Choice Requires="wps">
            <w:drawing>
              <wp:anchor distT="0" distB="0" distL="114300" distR="114300" simplePos="0" relativeHeight="251658240" behindDoc="1" locked="0" layoutInCell="1" allowOverlap="1">
                <wp:simplePos x="0" y="0"/>
                <wp:positionH relativeFrom="column">
                  <wp:posOffset>629920</wp:posOffset>
                </wp:positionH>
                <wp:positionV relativeFrom="paragraph">
                  <wp:posOffset>126365</wp:posOffset>
                </wp:positionV>
                <wp:extent cx="4460875" cy="1706245"/>
                <wp:effectExtent l="6350" t="6350" r="9525" b="20955"/>
                <wp:wrapNone/>
                <wp:docPr id="4" name="矩形 4"/>
                <wp:cNvGraphicFramePr/>
                <a:graphic xmlns:a="http://schemas.openxmlformats.org/drawingml/2006/main">
                  <a:graphicData uri="http://schemas.microsoft.com/office/word/2010/wordprocessingShape">
                    <wps:wsp>
                      <wps:cNvSpPr/>
                      <wps:spPr>
                        <a:xfrm>
                          <a:off x="1530350" y="5948045"/>
                          <a:ext cx="4460875" cy="170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6pt;margin-top:9.95pt;height:134.35pt;width:351.25pt;z-index:-251658240;v-text-anchor:middle;mso-width-relative:page;mso-height-relative:page;" fillcolor="#FFFFFF [3201]" filled="t" stroked="t" coordsize="21600,21600" o:gfxdata="UEsDBAoAAAAAAIdO4kAAAAAAAAAAAAAAAAAEAAAAZHJzL1BLAwQUAAAACACHTuJAbgmxUNYAAAAJ&#10;AQAADwAAAGRycy9kb3ducmV2LnhtbE2PMVOEMBCFe2f8D5l1xs5LoDgBCVc42tmAFtrtkT1gjiQM&#10;yR3gr3ettHz73rz3bXlY7SiuNIfBOw3JToEg13ozuE7Dx/vrQwYiRHQGR+9Iw0YBDtXtTYmF8Yur&#10;6drETnCJCwVq6GOcCilD25PFsPMTOfZOfrYYWc6dNDMuXG5HmSq1lxYHxws9TvTcU3tuLlYDNuvX&#10;tm2fyyLrUQ0v3/XUvNVa398l6glEpDX+heEXn9GhYqajvzgTxKghz1NO8j3PQbCfqeQRxFFDmmV7&#10;kFUp/39Q/QBQSwMEFAAAAAgAh07iQCVS9L5gAgAAswQAAA4AAABkcnMvZTJvRG9jLnhtbK1UzW4T&#10;MRC+I/EOlu90N+mmSaNuqihREFJFKxXE2fHaWUv+Y+xkU14GiRsPweMgXoOxN21S6AmxB+/Mzuf5&#10;+WZmr673RpOdgKCcrengrKREWO4aZTc1/fhh9WZCSYjMNkw7K2r6IAK9nr1+ddX5qRi61ulGAEEn&#10;Nkw7X9M2Rj8tisBbYVg4c15YNEoHhkVUYVM0wDr0bnQxLMuLonPQeHBchIBfl72RzrJ/KQWPt1IG&#10;EYmuKeYW8wn5XKezmF2x6QaYbxU/pMH+IQvDlMWgT66WLDKyBfWXK6M4uOBkPOPOFE5KxUWuAasZ&#10;lH9Uc98yL3ItSE7wTzSF/+eWv9/dAVFNTStKLDPYol9fv//88Y1UiZvOhylC7v0dHLSAYip0L8Gk&#10;N5ZA9tj50Xl5PkKGH2o6uqwmZTXquRX7SDgCquqinIxHlHBEDMblxbBHFEdXHkJ8K5whSagpYPMy&#10;p2x3EyKGR+gjJEUOTqtmpbTOCmzWCw1kx7DRq/yk+HjlGUxb0mH44bjEVDnDgZOaRRSNRwqC3VDC&#10;9AYnmUfIsZ/dDqdByvy8FCQluWSh7ZPJHnoujIo47FqZmk5Ob2uLmSaqe3KTtHbNAzYGXD+xwfOV&#10;Qrc3LMQ7BjiimD+uXbzFQ2qHRbmDREnr4MtL3xMeJwetlHQ48ljw5y0DQYl+Z3GmLgdVlXYkK9Vo&#10;PEQFTi3rU4vdmoVDsge44J5nMeGjfhQlOPMJt3OeoqKJWY6xe2oPyiL2q4j7zcV8nmG4F57FG3vv&#10;eXKemmvdfBudVHkIjuwcSMPNyI0+bHFavVM9o47/mt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gmxUNYAAAAJAQAADwAAAAAAAAABACAAAAAiAAAAZHJzL2Rvd25yZXYueG1sUEsBAhQAFAAAAAgA&#10;h07iQCVS9L5gAgAAswQAAA4AAAAAAAAAAQAgAAAAJQEAAGRycy9lMm9Eb2MueG1sUEsFBgAAAAAG&#10;AAYAWQEAAPcFAAAAAA==&#10;">
                <v:fill on="t" focussize="0,0"/>
                <v:stroke weight="1pt" color="#000000 [3213]" miterlimit="8" joinstyle="miter"/>
                <v:imagedata o:title=""/>
                <o:lock v:ext="edit" aspectratio="f"/>
              </v:rect>
            </w:pict>
          </mc:Fallback>
        </mc:AlternateContent>
      </w:r>
      <w:r>
        <w:rPr>
          <w:rFonts w:hint="eastAsia"/>
          <w:b w:val="0"/>
          <w:bCs w:val="0"/>
          <w:color w:val="auto"/>
          <w:lang w:val="en-US" w:eastAsia="zh-CN"/>
        </w:rPr>
        <w:drawing>
          <wp:inline distT="0" distB="0" distL="114300" distR="114300">
            <wp:extent cx="4086225" cy="1628775"/>
            <wp:effectExtent l="0" t="0" r="9525" b="9525"/>
            <wp:docPr id="2" name="图片 2" descr="colab环境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lab环境配置图"/>
                    <pic:cNvPicPr>
                      <a:picLocks noChangeAspect="1"/>
                    </pic:cNvPicPr>
                  </pic:nvPicPr>
                  <pic:blipFill>
                    <a:blip r:embed="rId28"/>
                    <a:stretch>
                      <a:fillRect/>
                    </a:stretch>
                  </pic:blipFill>
                  <pic:spPr>
                    <a:xfrm>
                      <a:off x="0" y="0"/>
                      <a:ext cx="4086225" cy="1628775"/>
                    </a:xfrm>
                    <a:prstGeom prst="rect">
                      <a:avLst/>
                    </a:prstGeom>
                  </pic:spPr>
                </pic:pic>
              </a:graphicData>
            </a:graphic>
          </wp:inline>
        </w:drawing>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t>圖10、Colab環境配置圖</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除了上述的硬體環境，本研究還用到一些Python套件，這些套件也在一定程度上推動了這次實驗的進度。下圖是本研究中用到的套件列表。</w:t>
      </w:r>
    </w:p>
    <w:tbl>
      <w:tblPr>
        <w:tblStyle w:val="7"/>
        <w:tblpPr w:leftFromText="180" w:rightFromText="180" w:vertAnchor="text" w:horzAnchor="page" w:tblpX="1399" w:tblpY="725"/>
        <w:tblOverlap w:val="never"/>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700"/>
        <w:gridCol w:w="1701"/>
        <w:gridCol w:w="1702"/>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0"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深度學習框架</w:t>
            </w:r>
          </w:p>
        </w:tc>
        <w:tc>
          <w:tcPr>
            <w:tcW w:w="1700"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資料框</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矩陣運算</w:t>
            </w:r>
          </w:p>
        </w:tc>
        <w:tc>
          <w:tcPr>
            <w:tcW w:w="1702"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詞向量</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敘述統計</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視覺化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0"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Pytorch</w:t>
            </w:r>
          </w:p>
        </w:tc>
        <w:tc>
          <w:tcPr>
            <w:tcW w:w="1700"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Pandas</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Numpy</w:t>
            </w:r>
          </w:p>
        </w:tc>
        <w:tc>
          <w:tcPr>
            <w:tcW w:w="1702"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Gensim</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NLTK</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Pyplot</w:t>
            </w:r>
          </w:p>
        </w:tc>
      </w:tr>
    </w:tbl>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t>表1、使用套件表</w:t>
      </w:r>
    </w:p>
    <w:p>
      <w:pPr>
        <w:pStyle w:val="9"/>
        <w:numPr>
          <w:ilvl w:val="0"/>
          <w:numId w:val="0"/>
        </w:numPr>
        <w:spacing w:before="360" w:beforeLines="150" w:after="120" w:afterLines="50"/>
        <w:jc w:val="center"/>
        <w:rPr>
          <w:rFonts w:hint="eastAsia"/>
          <w:b w:val="0"/>
          <w:bCs w:val="0"/>
          <w:color w:val="auto"/>
          <w:lang w:val="en-US" w:eastAsia="zh-CN"/>
        </w:rPr>
      </w:pPr>
    </w:p>
    <w:p>
      <w:pPr>
        <w:pStyle w:val="9"/>
        <w:numPr>
          <w:ilvl w:val="0"/>
          <w:numId w:val="0"/>
        </w:numPr>
        <w:spacing w:before="360" w:beforeLines="150" w:after="120" w:afterLines="50"/>
        <w:jc w:val="both"/>
        <w:rPr>
          <w:rFonts w:hint="eastAsia" w:hAnsi="標楷體" w:eastAsia="宋体"/>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本研究中使用到的語料來自NTCIR大會官方。在第十四屆的比賽中，大會方提供了共計60萬筆簡體中文微博用戶的問答對（</w:t>
      </w:r>
      <w:r>
        <w:rPr>
          <w:rFonts w:hint="eastAsia" w:eastAsia="標楷體"/>
          <w:color w:val="auto"/>
          <w:sz w:val="24"/>
          <w:szCs w:val="24"/>
          <w:lang w:val="en-US" w:eastAsia="zh-CN"/>
        </w:rPr>
        <w:t>post</w:t>
      </w:r>
      <w:r>
        <w:rPr>
          <w:rFonts w:hint="eastAsia"/>
          <w:color w:val="auto"/>
          <w:sz w:val="24"/>
          <w:szCs w:val="24"/>
          <w:lang w:val="en-US" w:eastAsia="zh-CN"/>
        </w:rPr>
        <w:t xml:space="preserve"> &amp; </w:t>
      </w:r>
      <w:r>
        <w:rPr>
          <w:rFonts w:hint="eastAsia" w:eastAsia="標楷體"/>
          <w:color w:val="auto"/>
          <w:sz w:val="24"/>
          <w:szCs w:val="24"/>
          <w:lang w:val="en-US" w:eastAsia="zh-CN"/>
        </w:rPr>
        <w:t>response</w:t>
      </w:r>
      <w:r>
        <w:rPr>
          <w:rFonts w:hint="eastAsia"/>
          <w:b w:val="0"/>
          <w:bCs w:val="0"/>
          <w:color w:val="auto"/>
          <w:sz w:val="24"/>
          <w:szCs w:val="24"/>
          <w:lang w:val="en-US" w:eastAsia="zh-CN"/>
        </w:rPr>
        <w:t>），問答對中每一筆資料還有一個基於句子本身的客觀情感標籤。情感標籤分類器是一個簡單Bi-Lstm模型，它接受來自NLPCC情緒分類挑戰任務的資料集訓練。情感標籤共分六類</w:t>
      </w:r>
      <w:r>
        <w:rPr>
          <w:rFonts w:hint="eastAsia" w:hAnsi="標楷體" w:eastAsia="宋体"/>
          <w:color w:val="auto"/>
          <w:sz w:val="24"/>
          <w:szCs w:val="24"/>
          <w:lang w:val="en-US" w:eastAsia="zh-CN"/>
        </w:rPr>
        <w:t>（Other,Like,Sadness,Disgust,Anger，Happiness）。訓練資料集的格式如下所示：</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drawing>
          <wp:inline distT="0" distB="0" distL="114300" distR="114300">
            <wp:extent cx="5758815" cy="183515"/>
            <wp:effectExtent l="0" t="0" r="13335" b="6985"/>
            <wp:docPr id="1" name="图片 1" descr="资料集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料集格式"/>
                    <pic:cNvPicPr>
                      <a:picLocks noChangeAspect="1"/>
                    </pic:cNvPicPr>
                  </pic:nvPicPr>
                  <pic:blipFill>
                    <a:blip r:embed="rId29"/>
                    <a:stretch>
                      <a:fillRect/>
                    </a:stretch>
                  </pic:blipFill>
                  <pic:spPr>
                    <a:xfrm>
                      <a:off x="0" y="0"/>
                      <a:ext cx="5758815" cy="183515"/>
                    </a:xfrm>
                    <a:prstGeom prst="rect">
                      <a:avLst/>
                    </a:prstGeom>
                  </pic:spPr>
                </pic:pic>
              </a:graphicData>
            </a:graphic>
          </wp:inline>
        </w:drawing>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以資料集中第一筆資料為例：</w:t>
      </w:r>
    </w:p>
    <w:p>
      <w:pPr>
        <w:pStyle w:val="9"/>
        <w:numPr>
          <w:ilvl w:val="0"/>
          <w:numId w:val="0"/>
        </w:numPr>
        <w:spacing w:before="360" w:beforeLines="150" w:after="120" w:afterLines="50"/>
        <w:jc w:val="both"/>
        <w:rPr>
          <w:rFonts w:hint="eastAsia"/>
          <w:b w:val="0"/>
          <w:bCs w:val="0"/>
          <w:color w:val="auto"/>
          <w:lang w:val="en-US" w:eastAsia="zh-CN"/>
        </w:rPr>
      </w:pPr>
      <w:r>
        <w:rPr>
          <w:rFonts w:ascii="Helvetica" w:hAnsi="Helvetica" w:eastAsia="Helvetica" w:cs="Helvetica"/>
          <w:i w:val="0"/>
          <w:caps w:val="0"/>
          <w:color w:val="auto"/>
          <w:spacing w:val="0"/>
          <w:sz w:val="21"/>
          <w:szCs w:val="21"/>
          <w:shd w:val="clear" w:fill="FFFFFF"/>
        </w:rPr>
        <w:t>[['现在 刷 朋友 圈 最大 的 快乐 就是 看 代购 们 各种 直播 。 。 。 。 。', '5']</w:t>
      </w:r>
      <w:r>
        <w:rPr>
          <w:rFonts w:hint="default" w:ascii="Helvetica" w:hAnsi="Helvetica" w:eastAsia="Helvetica" w:cs="Helvetica"/>
          <w:i w:val="0"/>
          <w:caps w:val="0"/>
          <w:color w:val="auto"/>
          <w:spacing w:val="0"/>
          <w:sz w:val="21"/>
          <w:szCs w:val="21"/>
          <w:shd w:val="clear" w:fill="FFFFFF"/>
        </w:rPr>
        <w:t>,</w:t>
      </w:r>
      <w:r>
        <w:rPr>
          <w:rFonts w:hint="default" w:ascii="Helvetica" w:hAnsi="Helvetica" w:eastAsia="Helvetica" w:cs="Helvetica"/>
          <w:i w:val="0"/>
          <w:caps w:val="0"/>
          <w:color w:val="auto"/>
          <w:spacing w:val="0"/>
          <w:sz w:val="21"/>
          <w:szCs w:val="21"/>
          <w:shd w:val="clear" w:fill="FFFFFF"/>
        </w:rPr>
        <w:br w:type="textWrapping"/>
      </w:r>
      <w:r>
        <w:rPr>
          <w:rFonts w:hint="default" w:ascii="Helvetica" w:hAnsi="Helvetica" w:eastAsia="Helvetica" w:cs="Helvetica"/>
          <w:i w:val="0"/>
          <w:caps w:val="0"/>
          <w:color w:val="auto"/>
          <w:spacing w:val="0"/>
          <w:sz w:val="21"/>
          <w:szCs w:val="21"/>
          <w:shd w:val="clear" w:fill="FFFFFF"/>
        </w:rPr>
        <w:t>['卧 槽 我 也 是', '4']]</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此外，我們還搜集了第十三屆比賽中用到的資料集，其格式與上述資料集相同，共計約112萬筆（</w:t>
      </w:r>
      <w:r>
        <w:rPr>
          <w:rFonts w:ascii="Helvetica" w:hAnsi="Helvetica" w:eastAsia="Helvetica" w:cs="Helvetica"/>
          <w:i w:val="0"/>
          <w:caps w:val="0"/>
          <w:color w:val="auto"/>
          <w:spacing w:val="0"/>
          <w:sz w:val="24"/>
          <w:szCs w:val="24"/>
          <w:shd w:val="clear" w:fill="FFFFFF"/>
        </w:rPr>
        <w:t>1,119,207</w:t>
      </w:r>
      <w:r>
        <w:rPr>
          <w:rFonts w:hint="eastAsia"/>
          <w:b w:val="0"/>
          <w:bCs w:val="0"/>
          <w:color w:val="auto"/>
          <w:sz w:val="24"/>
          <w:szCs w:val="24"/>
          <w:lang w:val="en-US" w:eastAsia="zh-CN"/>
        </w:rPr>
        <w:t>），斷詞後不重複的詞數有約9.9萬筆</w:t>
      </w:r>
      <w:r>
        <w:rPr>
          <w:rFonts w:hint="eastAsia" w:ascii="Helvetica" w:hAnsi="Helvetica" w:eastAsia="宋体" w:cs="Helvetica"/>
          <w:i w:val="0"/>
          <w:caps w:val="0"/>
          <w:color w:val="auto"/>
          <w:spacing w:val="0"/>
          <w:sz w:val="24"/>
          <w:szCs w:val="24"/>
          <w:shd w:val="clear" w:fill="FFFFFF"/>
          <w:lang w:eastAsia="zh-CN"/>
        </w:rPr>
        <w:t>（</w:t>
      </w:r>
      <w:r>
        <w:rPr>
          <w:rFonts w:ascii="Helvetica" w:hAnsi="Helvetica" w:eastAsia="Helvetica" w:cs="Helvetica"/>
          <w:i w:val="0"/>
          <w:caps w:val="0"/>
          <w:color w:val="auto"/>
          <w:spacing w:val="0"/>
          <w:sz w:val="24"/>
          <w:szCs w:val="24"/>
          <w:shd w:val="clear" w:fill="FFFFFF"/>
        </w:rPr>
        <w:t>98,627</w:t>
      </w:r>
      <w:r>
        <w:rPr>
          <w:rFonts w:hint="eastAsia" w:ascii="Helvetica" w:hAnsi="Helvetica" w:eastAsia="宋体" w:cs="Helvetica"/>
          <w:i w:val="0"/>
          <w:caps w:val="0"/>
          <w:color w:val="auto"/>
          <w:spacing w:val="0"/>
          <w:sz w:val="24"/>
          <w:szCs w:val="24"/>
          <w:shd w:val="clear" w:fill="FFFFFF"/>
          <w:lang w:eastAsia="zh-CN"/>
        </w:rPr>
        <w:t>）</w:t>
      </w:r>
      <w:r>
        <w:rPr>
          <w:rFonts w:hint="eastAsia"/>
          <w:b w:val="0"/>
          <w:bCs w:val="0"/>
          <w:color w:val="auto"/>
          <w:sz w:val="24"/>
          <w:szCs w:val="24"/>
          <w:lang w:val="en-US" w:eastAsia="zh-CN"/>
        </w:rPr>
        <w:t>。以下是本次試驗中用到的資料集對照表。</w:t>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t>表2、實驗資料集對照表</w:t>
      </w:r>
    </w:p>
    <w:tbl>
      <w:tblPr>
        <w:tblStyle w:val="6"/>
        <w:tblpPr w:leftFromText="180" w:rightFromText="180" w:vertAnchor="text" w:horzAnchor="page" w:tblpX="1214" w:tblpY="423"/>
        <w:tblOverlap w:val="never"/>
        <w:tblW w:w="1012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50"/>
        <w:gridCol w:w="1350"/>
        <w:gridCol w:w="1050"/>
        <w:gridCol w:w="2916"/>
        <w:gridCol w:w="305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33" w:hRule="atLeast"/>
        </w:trPr>
        <w:tc>
          <w:tcPr>
            <w:tcW w:w="1750" w:type="dxa"/>
            <w:tcBorders>
              <w:tl2br w:val="nil"/>
              <w:tr2bl w:val="nil"/>
            </w:tcBorders>
            <w:shd w:val="clear" w:color="auto" w:fill="auto"/>
            <w:vAlign w:val="center"/>
          </w:tcPr>
          <w:p>
            <w:pPr>
              <w:jc w:val="center"/>
              <w:rPr>
                <w:rFonts w:hint="eastAsia" w:ascii="宋体" w:hAnsi="宋体" w:eastAsia="宋体" w:cs="宋体"/>
                <w:i w:val="0"/>
                <w:color w:val="auto"/>
                <w:sz w:val="24"/>
                <w:szCs w:val="24"/>
                <w:u w:val="none"/>
                <w:lang w:val="en-US" w:eastAsia="zh-CN"/>
              </w:rPr>
            </w:pPr>
            <w:r>
              <w:rPr>
                <w:rFonts w:hint="eastAsia" w:ascii="宋体" w:hAnsi="宋体" w:eastAsia="宋体" w:cs="宋体"/>
                <w:i w:val="0"/>
                <w:color w:val="auto"/>
                <w:sz w:val="24"/>
                <w:szCs w:val="24"/>
                <w:u w:val="none"/>
                <w:lang w:val="en-US" w:eastAsia="zh-CN"/>
              </w:rPr>
              <w:t>資料集</w:t>
            </w:r>
          </w:p>
        </w:tc>
        <w:tc>
          <w:tcPr>
            <w:tcW w:w="13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問答數（筆）</w:t>
            </w:r>
          </w:p>
        </w:tc>
        <w:tc>
          <w:tcPr>
            <w:tcW w:w="10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詞數（個）</w:t>
            </w:r>
          </w:p>
        </w:tc>
        <w:tc>
          <w:tcPr>
            <w:tcW w:w="291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問句基本統計量（詞）</w:t>
            </w:r>
          </w:p>
        </w:tc>
        <w:tc>
          <w:tcPr>
            <w:tcW w:w="3054"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答句基本統計量（詞）</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2017 train_data</w:t>
            </w:r>
          </w:p>
        </w:tc>
        <w:tc>
          <w:tcPr>
            <w:tcW w:w="13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1,119,207</w:t>
            </w:r>
          </w:p>
        </w:tc>
        <w:tc>
          <w:tcPr>
            <w:tcW w:w="10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98,627</w:t>
            </w:r>
          </w:p>
        </w:tc>
        <w:tc>
          <w:tcPr>
            <w:tcW w:w="2916"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max:33.11</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median:8.5</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min:1</w:t>
            </w:r>
          </w:p>
        </w:tc>
        <w:tc>
          <w:tcPr>
            <w:tcW w:w="3054"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max:33.14</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median:10.7</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min:2</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2018 train_data</w:t>
            </w:r>
          </w:p>
        </w:tc>
        <w:tc>
          <w:tcPr>
            <w:tcW w:w="13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600,000</w:t>
            </w:r>
          </w:p>
        </w:tc>
        <w:tc>
          <w:tcPr>
            <w:tcW w:w="10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93,969</w:t>
            </w:r>
          </w:p>
        </w:tc>
        <w:tc>
          <w:tcPr>
            <w:tcW w:w="2916"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max:83.17</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median:13.9</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min:0</w:t>
            </w:r>
          </w:p>
        </w:tc>
        <w:tc>
          <w:tcPr>
            <w:tcW w:w="3054"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max:377.11</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median:7.4</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min:0</w:t>
            </w:r>
          </w:p>
        </w:tc>
      </w:tr>
    </w:tbl>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4.2實驗設計</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生成模型的實驗主要分成兩部分進行，第一部分是訓練不含情感標籤元素的傳統生成模型，以下簡稱模型1，第二部分是本研究提出的情感型生成模型，以下簡稱模型2。</w:t>
      </w:r>
    </w:p>
    <w:p>
      <w:pPr>
        <w:pStyle w:val="9"/>
        <w:numPr>
          <w:ilvl w:val="0"/>
          <w:numId w:val="0"/>
        </w:numPr>
        <w:spacing w:before="360" w:beforeLines="150" w:after="120" w:afterLines="50"/>
        <w:jc w:val="both"/>
        <w:rPr>
          <w:rFonts w:hint="eastAsia" w:hAnsi="標楷體" w:eastAsia="宋体"/>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模型2大致上可以看成5個小模型的整合，這些模型根據5種有效情感標籤區別（即不含Other）。首先需要從原始資料集中，按照情感標籤的不同將資料集分成5份，然後透過3.1本文所提出的模型，分別訓練5個情緒模型，按照</w:t>
      </w:r>
      <w:r>
        <w:rPr>
          <w:rFonts w:hint="eastAsia" w:hAnsi="標楷體" w:eastAsia="宋体"/>
          <w:color w:val="auto"/>
          <w:sz w:val="24"/>
          <w:szCs w:val="24"/>
          <w:lang w:val="en-US" w:eastAsia="zh-CN"/>
        </w:rPr>
        <w:t>Other,Like,Sadness,Disgust,Anger，Happiness的順序，記作模型2.1, 2.2, 2.3, 2.4, 2.5。</w:t>
      </w:r>
    </w:p>
    <w:p>
      <w:pPr>
        <w:pStyle w:val="9"/>
        <w:numPr>
          <w:ilvl w:val="0"/>
          <w:numId w:val="0"/>
        </w:numPr>
        <w:spacing w:before="360" w:beforeLines="150" w:after="120" w:afterLines="50"/>
        <w:jc w:val="both"/>
        <w:rPr>
          <w:rFonts w:hint="eastAsia" w:hAnsi="標楷體" w:eastAsia="宋体"/>
          <w:color w:val="auto"/>
          <w:sz w:val="24"/>
          <w:szCs w:val="24"/>
          <w:lang w:val="en-US" w:eastAsia="zh-CN"/>
        </w:rPr>
      </w:pPr>
      <w:r>
        <w:rPr>
          <w:rFonts w:hint="eastAsia" w:hAnsi="標楷體" w:eastAsia="宋体"/>
          <w:color w:val="auto"/>
          <w:sz w:val="24"/>
          <w:szCs w:val="24"/>
          <w:lang w:val="en-US" w:eastAsia="zh-CN"/>
        </w:rPr>
        <w:tab/>
      </w:r>
      <w:r>
        <w:rPr>
          <w:rFonts w:hint="eastAsia" w:hAnsi="標楷體" w:eastAsia="宋体"/>
          <w:color w:val="auto"/>
          <w:sz w:val="24"/>
          <w:szCs w:val="24"/>
          <w:lang w:val="en-US" w:eastAsia="zh-CN"/>
        </w:rPr>
        <w:t>模型1和模型2在演算法的應用上並無區別，只是模型1中使用的語料會在透過前處理之後，將所有情感標籤去除。為了滿足模型1與模型2的對比實驗的科學性，兩個實驗使用到的訓練參數（RNN層數，隱藏層數，學習率，迭代次數）與訓練資料集的數量將完全一致，最終結果展示時用到的語料也將相同，以達到更好的參照效果。</w:t>
      </w:r>
    </w:p>
    <w:p>
      <w:pPr>
        <w:pStyle w:val="9"/>
        <w:numPr>
          <w:ilvl w:val="0"/>
          <w:numId w:val="0"/>
        </w:numPr>
        <w:spacing w:before="360" w:beforeLines="150" w:after="120" w:afterLines="50"/>
        <w:jc w:val="both"/>
        <w:rPr>
          <w:rFonts w:hint="eastAsia" w:hAnsi="標楷體" w:eastAsia="宋体"/>
          <w:color w:val="auto"/>
          <w:sz w:val="24"/>
          <w:szCs w:val="24"/>
          <w:lang w:val="en-US" w:eastAsia="zh-CN"/>
        </w:rPr>
      </w:pPr>
      <w:r>
        <w:rPr>
          <w:rFonts w:hint="eastAsia" w:hAnsi="標楷體" w:eastAsia="宋体"/>
          <w:color w:val="auto"/>
          <w:sz w:val="24"/>
          <w:szCs w:val="24"/>
          <w:lang w:val="en-US" w:eastAsia="zh-CN"/>
        </w:rPr>
        <w:tab/>
      </w:r>
      <w:r>
        <w:rPr>
          <w:rFonts w:hint="eastAsia" w:hAnsi="標楷體" w:eastAsia="宋体"/>
          <w:color w:val="auto"/>
          <w:sz w:val="24"/>
          <w:szCs w:val="24"/>
          <w:lang w:val="en-US" w:eastAsia="zh-CN"/>
        </w:rPr>
        <w:t>在對模型1和模型2生成的回應句的評估上，將會採用問卷的形式，對30位受測人員，從所有生成句中分別隨機抽樣20句進行實驗。</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hAnsi="標楷體" w:eastAsia="宋体"/>
          <w:color w:val="auto"/>
          <w:sz w:val="24"/>
          <w:szCs w:val="24"/>
          <w:lang w:val="en-US" w:eastAsia="zh-CN"/>
        </w:rPr>
        <w:tab/>
      </w:r>
      <w:r>
        <w:rPr>
          <w:rFonts w:hint="eastAsia" w:hAnsi="標楷體" w:eastAsia="宋体"/>
          <w:color w:val="auto"/>
          <w:sz w:val="24"/>
          <w:szCs w:val="24"/>
          <w:lang w:val="en-US" w:eastAsia="zh-CN"/>
        </w:rPr>
        <w:t>由於訓練語料源自微博，所以受測人員均是微博用戶與簡體中文的使用者。受測人員將會從</w:t>
      </w:r>
      <w:r>
        <w:rPr>
          <w:rFonts w:hint="eastAsia"/>
          <w:color w:val="auto"/>
          <w:sz w:val="24"/>
          <w:szCs w:val="24"/>
          <w:lang w:val="en-US" w:eastAsia="zh-CN"/>
        </w:rPr>
        <w:t>語言流暢度（s1），問答相關度（s2）和情感表達度（s3）三個角度對生成句進行評估，且三個角度的權重賦值相等，針對每一個角度的評估都是從兩種回應句中擇優選擇，優勝句計1分。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綜上，當從三個角度都由模型2的生成回應勝出時，會獲得本問卷滿分60分。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從每個評量角度計算的得分如下：</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position w:val="-28"/>
          <w:sz w:val="24"/>
          <w:szCs w:val="24"/>
          <w:lang w:val="en-US" w:eastAsia="zh-CN"/>
        </w:rPr>
        <w:object>
          <v:shape id="_x0000_i1031" o:spt="75" type="#_x0000_t75" style="height:34pt;width:59pt;" o:ole="t" filled="f" o:preferrelative="t" stroked="f" coordsize="21600,21600">
            <v:path/>
            <v:fill on="f" focussize="0,0"/>
            <v:stroke on="f"/>
            <v:imagedata r:id="rId31" o:title=""/>
            <o:lock v:ext="edit" aspectratio="t"/>
            <w10:wrap type="none"/>
            <w10:anchorlock/>
          </v:shape>
          <o:OLEObject Type="Embed" ProgID="Equation.KSEE3" ShapeID="_x0000_i1031" DrawAspect="Content" ObjectID="_1468075731" r:id="rId30">
            <o:LockedField>false</o:LockedField>
          </o:OLEObject>
        </w:object>
      </w: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a1表示該問卷在語言流暢度得到的總分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position w:val="-28"/>
          <w:sz w:val="24"/>
          <w:szCs w:val="24"/>
          <w:lang w:val="en-US" w:eastAsia="zh-CN"/>
        </w:rPr>
        <w:object>
          <v:shape id="_x0000_i1032" o:spt="75" type="#_x0000_t75" style="height:34pt;width:62pt;" o:ole="t" filled="f" o:preferrelative="t" stroked="f" coordsize="21600,21600">
            <v:path/>
            <v:fill on="f" focussize="0,0"/>
            <v:stroke on="f"/>
            <v:imagedata r:id="rId33" o:title=""/>
            <o:lock v:ext="edit" aspectratio="t"/>
            <w10:wrap type="none"/>
            <w10:anchorlock/>
          </v:shape>
          <o:OLEObject Type="Embed" ProgID="Equation.KSEE3" ShapeID="_x0000_i1032" DrawAspect="Content" ObjectID="_1468075732" r:id="rId32">
            <o:LockedField>false</o:LockedField>
          </o:OLEObject>
        </w:object>
      </w: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a2表示該問卷在問答相關度得到的總分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position w:val="-28"/>
          <w:sz w:val="24"/>
          <w:szCs w:val="24"/>
          <w:lang w:val="en-US" w:eastAsia="zh-CN"/>
        </w:rPr>
        <w:object>
          <v:shape id="_x0000_i1033" o:spt="75" type="#_x0000_t75" style="height:34pt;width:60.95pt;" o:ole="t" filled="f" o:preferrelative="t" stroked="f" coordsize="21600,21600">
            <v:path/>
            <v:fill on="f" focussize="0,0"/>
            <v:stroke on="f"/>
            <v:imagedata r:id="rId35" o:title=""/>
            <o:lock v:ext="edit" aspectratio="t"/>
            <w10:wrap type="none"/>
            <w10:anchorlock/>
          </v:shape>
          <o:OLEObject Type="Embed" ProgID="Equation.KSEE3" ShapeID="_x0000_i1033" DrawAspect="Content" ObjectID="_1468075733" r:id="rId34">
            <o:LockedField>false</o:LockedField>
          </o:OLEObject>
        </w:object>
      </w: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a3表示該問卷在情感表達度得到的總分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最終總得分計算方式如下：</w:t>
      </w:r>
    </w:p>
    <w:p>
      <w:pPr>
        <w:pStyle w:val="9"/>
        <w:numPr>
          <w:ilvl w:val="0"/>
          <w:numId w:val="0"/>
        </w:numPr>
        <w:spacing w:before="360" w:beforeLines="150" w:after="120" w:afterLines="50"/>
        <w:jc w:val="center"/>
        <w:rPr>
          <w:rFonts w:hint="eastAsia"/>
          <w:b w:val="0"/>
          <w:bCs w:val="0"/>
          <w:color w:val="auto"/>
          <w:lang w:val="en-US" w:eastAsia="zh-CN"/>
        </w:rPr>
      </w:pPr>
      <w:r>
        <w:rPr>
          <w:rFonts w:hint="eastAsia"/>
          <w:color w:val="auto"/>
          <w:position w:val="-44"/>
          <w:sz w:val="28"/>
          <w:szCs w:val="28"/>
          <w:lang w:val="en-US" w:eastAsia="zh-CN"/>
        </w:rPr>
        <w:object>
          <v:shape id="_x0000_i1034" o:spt="75" type="#_x0000_t75" style="height:49.95pt;width:114.95pt;" o:ole="t" filled="f" o:preferrelative="t" stroked="f" coordsize="21600,21600">
            <v:path/>
            <v:fill on="f" focussize="0,0"/>
            <v:stroke on="f"/>
            <v:imagedata r:id="rId37" o:title=""/>
            <o:lock v:ext="edit" aspectratio="t"/>
            <w10:wrap type="none"/>
            <w10:anchorlock/>
          </v:shape>
          <o:OLEObject Type="Embed" ProgID="Equation.KSEE3" ShapeID="_x0000_i1034" DrawAspect="Content" ObjectID="_1468075734" r:id="rId36">
            <o:LockedField>false</o:LockedField>
          </o:OLEObject>
        </w:objec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4.3實驗結果</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本研究乃以微博和簡體中文的使用者作為受測對象，以探討應用兩種不同模型的文本生成質量。30位受測對象中除了19位在台灣交換的，來自中國大陸地區的碩士在讀學生，也委請了11位年齡介於18歲到54歲，且使用微博兩年以上的用戶，以增加樣本的豐富性。問卷回收的結果如下圖所示。</w:t>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drawing>
          <wp:inline distT="0" distB="0" distL="114300" distR="114300">
            <wp:extent cx="3676650" cy="2211705"/>
            <wp:effectExtent l="0" t="0" r="0" b="17145"/>
            <wp:docPr id="15" name="图片 15" descr="问卷實驗結果對比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问卷實驗結果對比圖"/>
                    <pic:cNvPicPr>
                      <a:picLocks noChangeAspect="1"/>
                    </pic:cNvPicPr>
                  </pic:nvPicPr>
                  <pic:blipFill>
                    <a:blip r:embed="rId38"/>
                    <a:stretch>
                      <a:fillRect/>
                    </a:stretch>
                  </pic:blipFill>
                  <pic:spPr>
                    <a:xfrm>
                      <a:off x="0" y="0"/>
                      <a:ext cx="3676650" cy="2211705"/>
                    </a:xfrm>
                    <a:prstGeom prst="rect">
                      <a:avLst/>
                    </a:prstGeom>
                  </pic:spPr>
                </pic:pic>
              </a:graphicData>
            </a:graphic>
          </wp:inline>
        </w:drawing>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t>圖11、問卷實驗結果對比圖</w:t>
      </w:r>
    </w:p>
    <w:p>
      <w:pPr>
        <w:pStyle w:val="9"/>
        <w:numPr>
          <w:ilvl w:val="0"/>
          <w:numId w:val="0"/>
        </w:numPr>
        <w:spacing w:before="360" w:beforeLines="150" w:after="120" w:afterLines="50"/>
        <w:jc w:val="left"/>
        <w:rPr>
          <w:rFonts w:hint="eastAsia"/>
          <w:b w:val="0"/>
          <w:bCs w:val="0"/>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在語言流暢度方面，模型1得255分，模型2得345分。問答相關度方面，模型1得199分，模型2得401分。情感表達度方面，模型1得247分，模型2得353分。就總得分而言，模型1得39分，模型2得61分。</w:t>
      </w:r>
    </w:p>
    <w:p>
      <w:pPr>
        <w:pStyle w:val="9"/>
        <w:numPr>
          <w:ilvl w:val="0"/>
          <w:numId w:val="0"/>
        </w:numPr>
        <w:spacing w:before="360" w:beforeLines="150" w:after="120" w:afterLines="50"/>
        <w:jc w:val="left"/>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可以觀察到，在三個角度上，模型2的結果都略優於模型1的結果,三個角度中，優勝表現最顯著的是問答相關度方面，其次是情感表達度，而語言流暢度雖排在最後，但也有一定程度的領先於模型1。</w:t>
      </w:r>
    </w:p>
    <w:p>
      <w:pPr>
        <w:pStyle w:val="9"/>
        <w:numPr>
          <w:ilvl w:val="0"/>
          <w:numId w:val="0"/>
        </w:numPr>
        <w:spacing w:before="360" w:beforeLines="150" w:after="120" w:afterLines="50"/>
        <w:jc w:val="left"/>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在實驗早期的預想中，由於模型2使用的資料集都由情感標籤特別進行分割，因此我們猜測情感表達度（S3）方向應該會得到最顯著的優勝表現，而S1和S2的部分應該與模型1的表現不相上下。從實際呈現的結果上來看，S3確實體現了一定的差異，但S2的回饋令人意外。初步猜測其原因來自模型2的訓練使用分割後的資料集，在詞向量的表示上可能不如模型1全面，導致生成序列中會用到大量和輸入序列中相同的詞，因而使受測人員產生相關度更高的感覺。此模型成果還不穩定，目前取得的結果也尚待更進一步的實驗分析。</w:t>
      </w:r>
    </w:p>
    <w:p>
      <w:pPr>
        <w:pStyle w:val="9"/>
        <w:numPr>
          <w:ilvl w:val="0"/>
          <w:numId w:val="0"/>
        </w:numPr>
        <w:spacing w:before="360" w:beforeLines="150" w:after="120" w:afterLines="50"/>
        <w:jc w:val="left"/>
        <w:rPr>
          <w:rFonts w:hint="eastAsia"/>
          <w:b w:val="0"/>
          <w:bCs w:val="0"/>
          <w:color w:val="auto"/>
          <w:sz w:val="24"/>
          <w:szCs w:val="24"/>
          <w:lang w:val="en-US" w:eastAsia="zh-CN"/>
        </w:rPr>
      </w:pP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結語與未來發展</w:t>
      </w:r>
    </w:p>
    <w:p>
      <w:pPr>
        <w:pStyle w:val="9"/>
        <w:numPr>
          <w:ilvl w:val="0"/>
          <w:numId w:val="0"/>
        </w:numPr>
        <w:spacing w:before="360" w:beforeLines="150" w:after="120" w:afterLines="50"/>
        <w:ind w:leftChars="0"/>
        <w:jc w:val="both"/>
        <w:rPr>
          <w:rFonts w:hint="eastAsia"/>
          <w:b w:val="0"/>
          <w:bCs w:val="0"/>
          <w:color w:val="auto"/>
          <w:sz w:val="24"/>
          <w:szCs w:val="24"/>
          <w:lang w:val="en-US" w:eastAsia="zh-CN"/>
        </w:rPr>
      </w:pPr>
      <w:r>
        <w:rPr>
          <w:rFonts w:hint="eastAsia"/>
          <w:b/>
          <w:bCs/>
          <w:color w:val="auto"/>
          <w:lang w:val="en-US" w:eastAsia="zh-CN"/>
        </w:rPr>
        <w:tab/>
      </w:r>
      <w:r>
        <w:rPr>
          <w:rFonts w:hint="eastAsia"/>
          <w:b w:val="0"/>
          <w:bCs w:val="0"/>
          <w:color w:val="auto"/>
          <w:sz w:val="24"/>
          <w:szCs w:val="24"/>
          <w:lang w:val="en-US" w:eastAsia="zh-CN"/>
        </w:rPr>
        <w:t>本研究建置了一個基於Pytorch深度學習框架的seq2seq文本生成系統，並加入情感標籤為分類要素，初步實現了情感型聊天機器人的構建。在三項衡量指標中，本研究所使用的系統表現均勝過傳統深度學習聊天機器人，為未來商用聊天機器人的建設提供一個可以參考的方向。</w:t>
      </w:r>
    </w:p>
    <w:p>
      <w:pPr>
        <w:pStyle w:val="9"/>
        <w:numPr>
          <w:ilvl w:val="0"/>
          <w:numId w:val="0"/>
        </w:numPr>
        <w:spacing w:before="360" w:beforeLines="150" w:after="120" w:afterLines="50"/>
        <w:ind w:leftChars="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受限於硬體設備和時間的因素，實驗中使用的模型訓練參數並非最佳，因此系統的表現任留有進步的空間。此外，少數情感標籤下的語料（如Anger）並未被充足利用，未來也許能針對某些特定情感標籤生成回應，以供特殊需求的聊天機器人系統使用。</w:t>
      </w:r>
    </w:p>
    <w:p>
      <w:pPr>
        <w:pStyle w:val="9"/>
        <w:numPr>
          <w:ilvl w:val="0"/>
          <w:numId w:val="0"/>
        </w:numPr>
        <w:spacing w:before="360" w:beforeLines="150" w:after="120" w:afterLines="50"/>
        <w:ind w:leftChars="0"/>
        <w:jc w:val="both"/>
        <w:rPr>
          <w:rFonts w:hint="eastAsia"/>
          <w:b w:val="0"/>
          <w:bCs w:val="0"/>
          <w:color w:val="auto"/>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在NTCIR大會官方提供的訓練資料集中，其對句子的客觀情感標籤的判別準確度也有待提升，若對句子的情感判別能夠更加準確，也許本文中提到的模型其表現會更加亮眼。</w:t>
      </w: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sectPr>
          <w:headerReference r:id="rId3" w:type="default"/>
          <w:pgSz w:w="11906" w:h="16838"/>
          <w:pgMar w:top="1304" w:right="1418" w:bottom="1304" w:left="1418" w:header="851" w:footer="567" w:gutter="0"/>
          <w:pgBorders>
            <w:top w:val="none" w:sz="0" w:space="0"/>
            <w:left w:val="none" w:sz="0" w:space="0"/>
            <w:bottom w:val="none" w:sz="0" w:space="0"/>
            <w:right w:val="none" w:sz="0" w:space="0"/>
          </w:pgBorders>
          <w:cols w:space="425" w:num="1"/>
          <w:docGrid w:linePitch="326" w:charSpace="0"/>
        </w:sectPr>
      </w:pP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參考文獻</w:t>
      </w:r>
    </w:p>
    <w:p>
      <w:pPr>
        <w:numPr>
          <w:ilvl w:val="0"/>
          <w:numId w:val="3"/>
        </w:numPr>
        <w:rPr>
          <w:rFonts w:hint="eastAsia" w:eastAsia="宋体"/>
          <w:color w:val="auto"/>
          <w:lang w:val="en-US" w:eastAsia="zh-CN"/>
        </w:rPr>
      </w:pPr>
      <w:r>
        <w:rPr>
          <w:rFonts w:hint="eastAsia" w:eastAsia="宋体"/>
          <w:color w:val="auto"/>
          <w:lang w:val="en-US" w:eastAsia="zh-CN"/>
        </w:rPr>
        <w:t>Bahdanau,D. Cho, K.Bengio,Y.</w:t>
      </w:r>
      <w:r>
        <w:rPr>
          <w:rFonts w:hint="default" w:eastAsia="宋体"/>
          <w:color w:val="auto"/>
          <w:lang w:val="en-US" w:eastAsia="zh-CN"/>
        </w:rPr>
        <w:t>”</w:t>
      </w:r>
      <w:r>
        <w:rPr>
          <w:rFonts w:hint="eastAsia" w:eastAsia="宋体"/>
          <w:color w:val="auto"/>
          <w:lang w:val="en-US" w:eastAsia="zh-CN"/>
        </w:rPr>
        <w:t xml:space="preserve">Neural Machine Translation by Jointly Learning to Align </w:t>
      </w:r>
      <w:r>
        <w:rPr>
          <w:rFonts w:hint="eastAsia" w:eastAsia="宋体"/>
          <w:color w:val="auto"/>
          <w:lang w:val="en-US" w:eastAsia="zh-CN"/>
        </w:rPr>
        <w:tab/>
      </w:r>
      <w:r>
        <w:rPr>
          <w:rFonts w:hint="eastAsia" w:eastAsia="宋体"/>
          <w:color w:val="auto"/>
          <w:lang w:val="en-US" w:eastAsia="zh-CN"/>
        </w:rPr>
        <w:t>and Translate</w:t>
      </w:r>
      <w:r>
        <w:rPr>
          <w:rFonts w:hint="default" w:eastAsia="宋体"/>
          <w:color w:val="auto"/>
          <w:lang w:val="en-US" w:eastAsia="zh-CN"/>
        </w:rPr>
        <w:t>”</w:t>
      </w:r>
      <w:r>
        <w:rPr>
          <w:rFonts w:hint="eastAsia" w:eastAsia="宋体"/>
          <w:color w:val="auto"/>
          <w:lang w:val="en-US" w:eastAsia="zh-CN"/>
        </w:rPr>
        <w:t>ICLR,2016.</w:t>
      </w:r>
    </w:p>
    <w:p>
      <w:pPr>
        <w:numPr>
          <w:ilvl w:val="0"/>
          <w:numId w:val="3"/>
        </w:numPr>
        <w:rPr>
          <w:rFonts w:hint="eastAsia" w:eastAsia="宋体"/>
          <w:color w:val="auto"/>
          <w:lang w:val="en-US" w:eastAsia="zh-CN"/>
        </w:rPr>
      </w:pPr>
      <w:r>
        <w:rPr>
          <w:rFonts w:hint="eastAsia" w:eastAsia="宋体"/>
          <w:color w:val="auto"/>
          <w:lang w:val="en-US" w:eastAsia="zh-CN"/>
        </w:rPr>
        <w:t>Cho et al.</w:t>
      </w:r>
      <w:r>
        <w:rPr>
          <w:rFonts w:hint="default" w:eastAsia="宋体"/>
          <w:color w:val="auto"/>
          <w:lang w:val="en-US" w:eastAsia="zh-CN"/>
        </w:rPr>
        <w:t>”</w:t>
      </w:r>
      <w:r>
        <w:rPr>
          <w:rFonts w:hint="eastAsia" w:eastAsia="宋体"/>
          <w:color w:val="auto"/>
          <w:lang w:val="en-US" w:eastAsia="zh-CN"/>
        </w:rPr>
        <w:t xml:space="preserve"> Learning Phrase Representations using RNN Encoder-Decoder for Statistical </w:t>
      </w:r>
      <w:r>
        <w:rPr>
          <w:rFonts w:hint="eastAsia" w:eastAsia="宋体"/>
          <w:color w:val="auto"/>
          <w:lang w:val="en-US" w:eastAsia="zh-CN"/>
        </w:rPr>
        <w:tab/>
      </w:r>
      <w:r>
        <w:rPr>
          <w:rFonts w:hint="eastAsia" w:eastAsia="宋体"/>
          <w:color w:val="auto"/>
          <w:lang w:val="en-US" w:eastAsia="zh-CN"/>
        </w:rPr>
        <w:t>Machine Translation</w:t>
      </w:r>
      <w:r>
        <w:rPr>
          <w:rFonts w:hint="default" w:eastAsia="宋体"/>
          <w:color w:val="auto"/>
          <w:lang w:val="en-US" w:eastAsia="zh-CN"/>
        </w:rPr>
        <w:t>”arXiv:1406.1078</w:t>
      </w:r>
      <w:r>
        <w:rPr>
          <w:rFonts w:hint="eastAsia" w:eastAsia="宋体"/>
          <w:color w:val="auto"/>
          <w:lang w:val="en-US" w:eastAsia="zh-CN"/>
        </w:rPr>
        <w:t xml:space="preserve"> ,2014 .</w:t>
      </w:r>
    </w:p>
    <w:p>
      <w:pPr>
        <w:numPr>
          <w:ilvl w:val="0"/>
          <w:numId w:val="3"/>
        </w:numPr>
        <w:rPr>
          <w:rFonts w:hint="eastAsia" w:eastAsia="宋体"/>
          <w:color w:val="auto"/>
          <w:lang w:val="en-US" w:eastAsia="zh-CN"/>
        </w:rPr>
      </w:pPr>
      <w:r>
        <w:rPr>
          <w:rFonts w:hint="eastAsia" w:eastAsia="宋体"/>
          <w:color w:val="auto"/>
          <w:lang w:val="en-US" w:eastAsia="zh-CN"/>
        </w:rPr>
        <w:t>Haizhou Zhao,Yi Du,Hangyu Li.</w:t>
      </w:r>
      <w:r>
        <w:rPr>
          <w:rFonts w:hint="default" w:eastAsia="宋体"/>
          <w:color w:val="auto"/>
          <w:lang w:val="en-US" w:eastAsia="zh-CN"/>
        </w:rPr>
        <w:t>”</w:t>
      </w:r>
      <w:r>
        <w:rPr>
          <w:rFonts w:hint="eastAsia" w:eastAsia="宋体"/>
          <w:color w:val="auto"/>
          <w:lang w:val="en-US" w:eastAsia="zh-CN"/>
        </w:rPr>
        <w:t>SG01 at the NTCIR-13 STC-2 Task</w:t>
      </w:r>
      <w:r>
        <w:rPr>
          <w:rFonts w:hint="default" w:eastAsia="宋体"/>
          <w:color w:val="auto"/>
          <w:lang w:val="en-US" w:eastAsia="zh-CN"/>
        </w:rPr>
        <w:t>”</w:t>
      </w:r>
      <w:r>
        <w:rPr>
          <w:rFonts w:hint="eastAsia" w:eastAsia="宋体"/>
          <w:color w:val="auto"/>
          <w:lang w:val="en-US" w:eastAsia="zh-CN"/>
        </w:rPr>
        <w:t xml:space="preserve"> NTCIR-13, 2017.</w:t>
      </w:r>
    </w:p>
    <w:p>
      <w:pPr>
        <w:numPr>
          <w:ilvl w:val="0"/>
          <w:numId w:val="3"/>
        </w:numPr>
        <w:rPr>
          <w:rFonts w:hint="eastAsia" w:eastAsia="宋体"/>
          <w:color w:val="auto"/>
          <w:lang w:val="en-US" w:eastAsia="zh-CN"/>
        </w:rPr>
      </w:pPr>
      <w:r>
        <w:rPr>
          <w:rFonts w:hint="eastAsia" w:eastAsia="宋体"/>
          <w:color w:val="auto"/>
          <w:lang w:val="en-US" w:eastAsia="zh-CN"/>
        </w:rPr>
        <w:t xml:space="preserve">Jalaj Thana.(2017)Python Natural Language Processing Birmingham,Munbai:Packt </w:t>
      </w:r>
      <w:r>
        <w:rPr>
          <w:rFonts w:hint="eastAsia" w:eastAsia="宋体"/>
          <w:color w:val="auto"/>
          <w:lang w:val="en-US" w:eastAsia="zh-CN"/>
        </w:rPr>
        <w:tab/>
      </w:r>
      <w:r>
        <w:rPr>
          <w:rFonts w:hint="eastAsia" w:eastAsia="宋体"/>
          <w:color w:val="auto"/>
          <w:lang w:val="en-US" w:eastAsia="zh-CN"/>
        </w:rPr>
        <w:t>publishing Ltd.</w:t>
      </w:r>
    </w:p>
    <w:p>
      <w:pPr>
        <w:numPr>
          <w:ilvl w:val="0"/>
          <w:numId w:val="3"/>
        </w:numPr>
        <w:rPr>
          <w:rFonts w:hint="eastAsia" w:eastAsia="宋体"/>
          <w:color w:val="auto"/>
          <w:lang w:val="en-US" w:eastAsia="zh-CN"/>
        </w:rPr>
      </w:pPr>
      <w:r>
        <w:rPr>
          <w:rFonts w:hint="default" w:eastAsia="宋体"/>
          <w:color w:val="auto"/>
          <w:lang w:val="en-US" w:eastAsia="zh-CN"/>
        </w:rPr>
        <w:t>jozefowicz et al. ”Exploring the Limits of Language Modeling”</w:t>
      </w:r>
      <w:r>
        <w:rPr>
          <w:rFonts w:hint="eastAsia" w:eastAsia="宋体"/>
          <w:color w:val="auto"/>
          <w:lang w:val="en-US" w:eastAsia="zh-CN"/>
        </w:rPr>
        <w:t>PMLRv37,2015.</w:t>
      </w:r>
    </w:p>
    <w:p>
      <w:pPr>
        <w:numPr>
          <w:ilvl w:val="0"/>
          <w:numId w:val="3"/>
        </w:numPr>
        <w:rPr>
          <w:rFonts w:hint="eastAsia" w:eastAsia="宋体"/>
          <w:color w:val="auto"/>
          <w:lang w:val="en-US" w:eastAsia="zh-CN"/>
        </w:rPr>
      </w:pPr>
      <w:r>
        <w:rPr>
          <w:rFonts w:hint="eastAsia" w:eastAsia="宋体"/>
          <w:color w:val="auto"/>
          <w:lang w:val="en-US" w:eastAsia="zh-CN"/>
        </w:rPr>
        <w:t xml:space="preserve">Kim Y. </w:t>
      </w:r>
      <w:r>
        <w:rPr>
          <w:rFonts w:hint="default" w:eastAsia="宋体"/>
          <w:color w:val="auto"/>
          <w:lang w:val="en-US" w:eastAsia="zh-CN"/>
        </w:rPr>
        <w:t>”</w:t>
      </w:r>
      <w:r>
        <w:rPr>
          <w:rFonts w:hint="eastAsia" w:eastAsia="宋体"/>
          <w:color w:val="auto"/>
          <w:lang w:val="en-US" w:eastAsia="zh-CN"/>
        </w:rPr>
        <w:t>Convolutional neural networks for sentence classification[J]</w:t>
      </w:r>
      <w:r>
        <w:rPr>
          <w:rFonts w:hint="default" w:eastAsia="宋体"/>
          <w:color w:val="auto"/>
          <w:lang w:val="en-US" w:eastAsia="zh-CN"/>
        </w:rPr>
        <w:t>”</w:t>
      </w:r>
      <w:r>
        <w:rPr>
          <w:rFonts w:hint="eastAsia" w:eastAsia="宋体"/>
          <w:color w:val="auto"/>
          <w:lang w:val="en-US" w:eastAsia="zh-CN"/>
        </w:rPr>
        <w:t xml:space="preserve">. arXiv:1408.5882, </w:t>
      </w:r>
      <w:r>
        <w:rPr>
          <w:rFonts w:hint="eastAsia" w:eastAsia="宋体"/>
          <w:color w:val="auto"/>
          <w:lang w:val="en-US" w:eastAsia="zh-CN"/>
        </w:rPr>
        <w:tab/>
      </w:r>
      <w:r>
        <w:rPr>
          <w:rFonts w:hint="eastAsia" w:eastAsia="宋体"/>
          <w:color w:val="auto"/>
          <w:lang w:val="en-US" w:eastAsia="zh-CN"/>
        </w:rPr>
        <w:t>2014.</w:t>
      </w:r>
    </w:p>
    <w:p>
      <w:pPr>
        <w:numPr>
          <w:ilvl w:val="0"/>
          <w:numId w:val="3"/>
        </w:numPr>
        <w:rPr>
          <w:rFonts w:hint="eastAsia" w:eastAsia="宋体"/>
          <w:color w:val="auto"/>
          <w:lang w:val="en-US" w:eastAsia="zh-CN"/>
        </w:rPr>
      </w:pPr>
      <w:r>
        <w:rPr>
          <w:rFonts w:hint="eastAsia" w:eastAsia="宋体"/>
          <w:color w:val="auto"/>
          <w:lang w:val="en-US" w:eastAsia="zh-CN"/>
        </w:rPr>
        <w:t xml:space="preserve">L. Shang, T. Sakai, H. Li, R. Higashinaka, Y. Miyao,Y. Arase, and M.Nomoto. </w:t>
      </w:r>
      <w:r>
        <w:rPr>
          <w:rFonts w:hint="default" w:eastAsia="宋体"/>
          <w:color w:val="auto"/>
          <w:lang w:val="en-US" w:eastAsia="zh-CN"/>
        </w:rPr>
        <w:t>”</w:t>
      </w:r>
      <w:r>
        <w:rPr>
          <w:rFonts w:hint="eastAsia" w:eastAsia="宋体"/>
          <w:color w:val="auto"/>
          <w:lang w:val="en-US" w:eastAsia="zh-CN"/>
        </w:rPr>
        <w:t xml:space="preserve">Overview </w:t>
      </w:r>
      <w:r>
        <w:rPr>
          <w:rFonts w:hint="eastAsia" w:eastAsia="宋体"/>
          <w:color w:val="auto"/>
          <w:lang w:val="en-US" w:eastAsia="zh-CN"/>
        </w:rPr>
        <w:tab/>
      </w:r>
      <w:r>
        <w:rPr>
          <w:rFonts w:hint="eastAsia" w:eastAsia="宋体"/>
          <w:color w:val="auto"/>
          <w:lang w:val="en-US" w:eastAsia="zh-CN"/>
        </w:rPr>
        <w:t>of the NTCIR-13 Short Text Conversation Task.</w:t>
      </w:r>
      <w:r>
        <w:rPr>
          <w:rFonts w:hint="default" w:eastAsia="宋体"/>
          <w:color w:val="auto"/>
          <w:lang w:val="en-US" w:eastAsia="zh-CN"/>
        </w:rPr>
        <w:t>”</w:t>
      </w:r>
      <w:r>
        <w:rPr>
          <w:rFonts w:hint="eastAsia" w:eastAsia="宋体"/>
          <w:color w:val="auto"/>
          <w:lang w:val="en-US" w:eastAsia="zh-CN"/>
        </w:rPr>
        <w:t>NTCIR-13, 2017.</w:t>
      </w:r>
    </w:p>
    <w:p>
      <w:pPr>
        <w:numPr>
          <w:ilvl w:val="0"/>
          <w:numId w:val="3"/>
        </w:numPr>
        <w:rPr>
          <w:rFonts w:hint="eastAsia" w:eastAsia="宋体"/>
          <w:color w:val="auto"/>
          <w:lang w:val="en-US" w:eastAsia="zh-CN"/>
        </w:rPr>
      </w:pPr>
      <w:r>
        <w:rPr>
          <w:rFonts w:hint="eastAsia" w:eastAsia="宋体"/>
          <w:color w:val="auto"/>
          <w:lang w:val="en-US" w:eastAsia="zh-CN"/>
        </w:rPr>
        <w:t>Luong,M., Pham,H,.Christopher D. Manning.</w:t>
      </w:r>
      <w:r>
        <w:rPr>
          <w:rFonts w:hint="default" w:eastAsia="宋体"/>
          <w:color w:val="auto"/>
          <w:lang w:val="en-US" w:eastAsia="zh-CN"/>
        </w:rPr>
        <w:t xml:space="preserve">”Effective Approaches to Attention-based </w:t>
      </w:r>
      <w:r>
        <w:rPr>
          <w:rFonts w:hint="eastAsia" w:eastAsia="宋体"/>
          <w:color w:val="auto"/>
          <w:lang w:val="en-US" w:eastAsia="zh-CN"/>
        </w:rPr>
        <w:tab/>
      </w:r>
      <w:r>
        <w:rPr>
          <w:rFonts w:hint="default" w:eastAsia="宋体"/>
          <w:color w:val="auto"/>
          <w:lang w:val="en-US" w:eastAsia="zh-CN"/>
        </w:rPr>
        <w:t xml:space="preserve">Neural Machine Translation”arXiv:1508.04025v5 </w:t>
      </w:r>
      <w:r>
        <w:rPr>
          <w:rFonts w:hint="eastAsia" w:eastAsia="宋体"/>
          <w:color w:val="auto"/>
          <w:lang w:val="en-US" w:eastAsia="zh-CN"/>
        </w:rPr>
        <w:t>,2015.</w:t>
      </w:r>
    </w:p>
    <w:p>
      <w:pPr>
        <w:numPr>
          <w:ilvl w:val="0"/>
          <w:numId w:val="3"/>
        </w:numPr>
        <w:rPr>
          <w:rFonts w:hint="eastAsia" w:eastAsia="宋体"/>
          <w:color w:val="auto"/>
          <w:lang w:val="en-US" w:eastAsia="zh-CN"/>
        </w:rPr>
      </w:pPr>
      <w:r>
        <w:rPr>
          <w:rFonts w:hint="eastAsia" w:eastAsia="宋体"/>
          <w:color w:val="auto"/>
          <w:lang w:val="en-US" w:eastAsia="zh-CN"/>
        </w:rPr>
        <w:t xml:space="preserve">Palash Goyal,Sumit Pandey,Karan Jain(2018)Deep Learning for Natural Language </w:t>
      </w:r>
      <w:r>
        <w:rPr>
          <w:rFonts w:hint="eastAsia" w:eastAsia="宋体"/>
          <w:color w:val="auto"/>
          <w:lang w:val="en-US" w:eastAsia="zh-CN"/>
        </w:rPr>
        <w:tab/>
      </w:r>
      <w:r>
        <w:rPr>
          <w:rFonts w:hint="eastAsia" w:eastAsia="宋体"/>
          <w:color w:val="auto"/>
          <w:lang w:val="en-US" w:eastAsia="zh-CN"/>
        </w:rPr>
        <w:t>Processing: Creating Neural Networks with Python.allite Books.</w:t>
      </w:r>
    </w:p>
    <w:p>
      <w:pPr>
        <w:numPr>
          <w:ilvl w:val="0"/>
          <w:numId w:val="3"/>
        </w:numPr>
        <w:rPr>
          <w:rFonts w:hint="eastAsia" w:eastAsia="宋体"/>
          <w:color w:val="auto"/>
          <w:lang w:val="en-US" w:eastAsia="zh-CN"/>
        </w:rPr>
      </w:pPr>
      <w:r>
        <w:rPr>
          <w:rFonts w:hint="eastAsia" w:eastAsia="宋体"/>
          <w:color w:val="auto"/>
          <w:lang w:val="en-US" w:eastAsia="zh-CN"/>
        </w:rPr>
        <w:t xml:space="preserve">Sutskever et al. </w:t>
      </w:r>
      <w:r>
        <w:rPr>
          <w:rFonts w:hint="default" w:eastAsia="宋体"/>
          <w:color w:val="auto"/>
          <w:lang w:val="en-US" w:eastAsia="zh-CN"/>
        </w:rPr>
        <w:t>”</w:t>
      </w:r>
      <w:r>
        <w:rPr>
          <w:rFonts w:hint="eastAsia" w:eastAsia="宋体"/>
          <w:color w:val="auto"/>
          <w:lang w:val="en-US" w:eastAsia="zh-CN"/>
        </w:rPr>
        <w:t>Sequence to Sequence Learning with Neural Networks</w:t>
      </w:r>
      <w:r>
        <w:rPr>
          <w:rFonts w:hint="default" w:eastAsia="宋体"/>
          <w:color w:val="auto"/>
          <w:lang w:val="en-US" w:eastAsia="zh-CN"/>
        </w:rPr>
        <w:t>”</w:t>
      </w:r>
      <w:r>
        <w:rPr>
          <w:rFonts w:hint="eastAsia" w:eastAsia="宋体"/>
          <w:color w:val="auto"/>
          <w:lang w:val="en-US" w:eastAsia="zh-CN"/>
        </w:rPr>
        <w:t>NIPS, 2014.</w:t>
      </w:r>
    </w:p>
    <w:p>
      <w:pPr>
        <w:numPr>
          <w:ilvl w:val="0"/>
          <w:numId w:val="3"/>
        </w:numPr>
        <w:rPr>
          <w:rFonts w:hint="eastAsia" w:eastAsia="宋体"/>
          <w:color w:val="auto"/>
          <w:lang w:val="en-US" w:eastAsia="zh-CN"/>
        </w:rPr>
      </w:pPr>
      <w:r>
        <w:rPr>
          <w:rFonts w:hint="eastAsia" w:eastAsia="宋体"/>
          <w:color w:val="auto"/>
          <w:lang w:val="en-US" w:eastAsia="zh-CN"/>
        </w:rPr>
        <w:t>Yu Wu, Wei Wu, Chen Xing, Ming Zhou, Zhoujun Li.</w:t>
      </w:r>
      <w:r>
        <w:rPr>
          <w:rFonts w:hint="default" w:eastAsia="宋体"/>
          <w:color w:val="auto"/>
          <w:lang w:val="en-US" w:eastAsia="zh-CN"/>
        </w:rPr>
        <w:t xml:space="preserve">”Sequential Matching Network: A </w:t>
      </w:r>
      <w:r>
        <w:rPr>
          <w:rFonts w:hint="eastAsia" w:eastAsia="宋体"/>
          <w:color w:val="auto"/>
          <w:lang w:val="en-US" w:eastAsia="zh-CN"/>
        </w:rPr>
        <w:tab/>
      </w:r>
      <w:r>
        <w:rPr>
          <w:rFonts w:hint="default" w:eastAsia="宋体"/>
          <w:color w:val="auto"/>
          <w:lang w:val="en-US" w:eastAsia="zh-CN"/>
        </w:rPr>
        <w:t xml:space="preserve">New Architecture for Multi-turn Response Selection in Retrieval-based </w:t>
      </w:r>
      <w:r>
        <w:rPr>
          <w:rFonts w:hint="eastAsia" w:eastAsia="宋体"/>
          <w:color w:val="auto"/>
          <w:lang w:val="en-US" w:eastAsia="zh-CN"/>
        </w:rPr>
        <w:tab/>
      </w:r>
      <w:r>
        <w:rPr>
          <w:rFonts w:hint="default" w:eastAsia="宋体"/>
          <w:color w:val="auto"/>
          <w:lang w:val="en-US" w:eastAsia="zh-CN"/>
        </w:rPr>
        <w:t>Chatbots”</w:t>
      </w:r>
      <w:r>
        <w:rPr>
          <w:rFonts w:hint="eastAsia" w:eastAsia="宋体"/>
          <w:color w:val="auto"/>
          <w:lang w:val="en-US" w:eastAsia="zh-CN"/>
        </w:rPr>
        <w:t>.arXiv:1612.01627,2017.</w:t>
      </w:r>
    </w:p>
    <w:p>
      <w:pPr>
        <w:numPr>
          <w:ilvl w:val="0"/>
          <w:numId w:val="3"/>
        </w:numPr>
        <w:rPr>
          <w:rFonts w:hint="eastAsia" w:eastAsia="宋体"/>
          <w:color w:val="auto"/>
          <w:lang w:val="en-US" w:eastAsia="zh-CN"/>
        </w:rPr>
      </w:pPr>
      <w:r>
        <w:rPr>
          <w:rFonts w:hint="eastAsia" w:eastAsia="宋体"/>
          <w:color w:val="auto"/>
          <w:lang w:val="en-US" w:eastAsia="zh-CN"/>
        </w:rPr>
        <w:t xml:space="preserve">Zaccone，G.(2016).Getting started with tensorflow.Birmingham,England:Packt publishing </w:t>
      </w:r>
      <w:r>
        <w:rPr>
          <w:rFonts w:hint="eastAsia" w:eastAsia="宋体"/>
          <w:color w:val="auto"/>
          <w:lang w:val="en-US" w:eastAsia="zh-CN"/>
        </w:rPr>
        <w:tab/>
      </w:r>
      <w:r>
        <w:rPr>
          <w:rFonts w:hint="eastAsia" w:eastAsia="宋体"/>
          <w:color w:val="auto"/>
          <w:lang w:val="en-US" w:eastAsia="zh-CN"/>
        </w:rPr>
        <w:t>Ltd.</w:t>
      </w:r>
    </w:p>
    <w:p>
      <w:pPr>
        <w:numPr>
          <w:ilvl w:val="0"/>
          <w:numId w:val="0"/>
        </w:numPr>
        <w:rPr>
          <w:rFonts w:hint="eastAsia" w:eastAsia="宋体"/>
          <w:color w:val="auto"/>
          <w:lang w:val="en-US" w:eastAsia="zh-CN"/>
        </w:rPr>
      </w:pPr>
    </w:p>
    <w:sectPr>
      <w:pgSz w:w="11906" w:h="16838"/>
      <w:pgMar w:top="1304" w:right="1418" w:bottom="1304" w:left="1418" w:header="851" w:footer="567" w:gutter="0"/>
      <w:pgBorders>
        <w:top w:val="none" w:sz="0" w:space="0"/>
        <w:left w:val="none" w:sz="0" w:space="0"/>
        <w:bottom w:val="none" w:sz="0" w:space="0"/>
        <w:right w:val="none" w:sz="0" w:space="0"/>
      </w:pgBorders>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華康楷書體W3">
    <w:altName w:val="Microsoft JhengHei UI"/>
    <w:panose1 w:val="00000000000000000000"/>
    <w:charset w:val="88"/>
    <w:family w:val="script"/>
    <w:pitch w:val="default"/>
    <w:sig w:usb0="00000000" w:usb1="00000000" w:usb2="00000016" w:usb3="00000000" w:csb0="00100000" w:csb1="00000000"/>
  </w:font>
  <w:font w:name="標楷體">
    <w:altName w:val="宋体"/>
    <w:panose1 w:val="03000509000000000000"/>
    <w:charset w:val="88"/>
    <w:family w:val="script"/>
    <w:pitch w:val="default"/>
    <w:sig w:usb0="00000000" w:usb1="00000000" w:usb2="00000016" w:usb3="00000000" w:csb0="00100001" w:csb1="00000000"/>
  </w:font>
  <w:font w:name="Helvetica">
    <w:panose1 w:val="00000000000000000000"/>
    <w:charset w:val="00"/>
    <w:family w:val="auto"/>
    <w:pitch w:val="default"/>
    <w:sig w:usb0="E00002FF" w:usb1="5000785B" w:usb2="00000000" w:usb3="00000000" w:csb0="2000019F" w:csb1="4F010000"/>
  </w:font>
  <w:font w:name="PMingLiU-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40" w:lineRule="auto"/>
      <w:rPr>
        <w:rFonts w:hint="eastAsia"/>
      </w:rPr>
    </w:pPr>
    <w:r>
      <w:rPr>
        <w:rFonts w:hint="eastAsia" w:ascii="標楷體" w:hAnsi="標楷體" w:eastAsia="標楷體"/>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2005"/>
    <w:multiLevelType w:val="multilevel"/>
    <w:tmpl w:val="02332005"/>
    <w:lvl w:ilvl="0" w:tentative="0">
      <w:start w:val="1"/>
      <w:numFmt w:val="ideographLegalTraditional"/>
      <w:lvlText w:val="%1、"/>
      <w:lvlJc w:val="left"/>
      <w:pPr>
        <w:tabs>
          <w:tab w:val="left" w:pos="3240"/>
        </w:tabs>
        <w:ind w:left="3240" w:hanging="480"/>
      </w:pPr>
      <w:rPr>
        <w:rFonts w:hint="eastAsia"/>
      </w:rPr>
    </w:lvl>
    <w:lvl w:ilvl="1" w:tentative="0">
      <w:start w:val="1"/>
      <w:numFmt w:val="decimal"/>
      <w:lvlText w:val="%2."/>
      <w:lvlJc w:val="left"/>
      <w:pPr>
        <w:tabs>
          <w:tab w:val="left" w:pos="3840"/>
        </w:tabs>
        <w:ind w:left="3840" w:hanging="360"/>
      </w:pPr>
      <w:rPr>
        <w:rFonts w:hint="default"/>
      </w:rPr>
    </w:lvl>
    <w:lvl w:ilvl="2" w:tentative="0">
      <w:start w:val="1"/>
      <w:numFmt w:val="lowerRoman"/>
      <w:lvlText w:val="%3."/>
      <w:lvlJc w:val="right"/>
      <w:pPr>
        <w:tabs>
          <w:tab w:val="left" w:pos="4560"/>
        </w:tabs>
        <w:ind w:left="4560" w:hanging="180"/>
      </w:pPr>
    </w:lvl>
    <w:lvl w:ilvl="3" w:tentative="0">
      <w:start w:val="1"/>
      <w:numFmt w:val="decimal"/>
      <w:lvlText w:val="%4."/>
      <w:lvlJc w:val="left"/>
      <w:pPr>
        <w:tabs>
          <w:tab w:val="left" w:pos="5280"/>
        </w:tabs>
        <w:ind w:left="5280" w:hanging="360"/>
      </w:pPr>
    </w:lvl>
    <w:lvl w:ilvl="4" w:tentative="0">
      <w:start w:val="1"/>
      <w:numFmt w:val="lowerLetter"/>
      <w:lvlText w:val="%5."/>
      <w:lvlJc w:val="left"/>
      <w:pPr>
        <w:tabs>
          <w:tab w:val="left" w:pos="6000"/>
        </w:tabs>
        <w:ind w:left="6000" w:hanging="360"/>
      </w:pPr>
    </w:lvl>
    <w:lvl w:ilvl="5" w:tentative="0">
      <w:start w:val="1"/>
      <w:numFmt w:val="lowerRoman"/>
      <w:lvlText w:val="%6."/>
      <w:lvlJc w:val="right"/>
      <w:pPr>
        <w:tabs>
          <w:tab w:val="left" w:pos="6720"/>
        </w:tabs>
        <w:ind w:left="6720" w:hanging="180"/>
      </w:pPr>
    </w:lvl>
    <w:lvl w:ilvl="6" w:tentative="0">
      <w:start w:val="1"/>
      <w:numFmt w:val="decimal"/>
      <w:lvlText w:val="%7."/>
      <w:lvlJc w:val="left"/>
      <w:pPr>
        <w:tabs>
          <w:tab w:val="left" w:pos="7440"/>
        </w:tabs>
        <w:ind w:left="7440" w:hanging="360"/>
      </w:pPr>
    </w:lvl>
    <w:lvl w:ilvl="7" w:tentative="0">
      <w:start w:val="1"/>
      <w:numFmt w:val="lowerLetter"/>
      <w:lvlText w:val="%8."/>
      <w:lvlJc w:val="left"/>
      <w:pPr>
        <w:tabs>
          <w:tab w:val="left" w:pos="8160"/>
        </w:tabs>
        <w:ind w:left="8160" w:hanging="360"/>
      </w:pPr>
    </w:lvl>
    <w:lvl w:ilvl="8" w:tentative="0">
      <w:start w:val="1"/>
      <w:numFmt w:val="lowerRoman"/>
      <w:lvlText w:val="%9."/>
      <w:lvlJc w:val="right"/>
      <w:pPr>
        <w:tabs>
          <w:tab w:val="left" w:pos="8880"/>
        </w:tabs>
        <w:ind w:left="8880" w:hanging="180"/>
      </w:pPr>
    </w:lvl>
  </w:abstractNum>
  <w:abstractNum w:abstractNumId="1">
    <w:nsid w:val="051D1EED"/>
    <w:multiLevelType w:val="singleLevel"/>
    <w:tmpl w:val="051D1EED"/>
    <w:lvl w:ilvl="0" w:tentative="0">
      <w:start w:val="1"/>
      <w:numFmt w:val="decimal"/>
      <w:lvlText w:val="%1."/>
      <w:lvlJc w:val="left"/>
      <w:pPr>
        <w:tabs>
          <w:tab w:val="left" w:pos="312"/>
        </w:tabs>
      </w:pPr>
    </w:lvl>
  </w:abstractNum>
  <w:abstractNum w:abstractNumId="2">
    <w:nsid w:val="1AE8E376"/>
    <w:multiLevelType w:val="singleLevel"/>
    <w:tmpl w:val="1AE8E376"/>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51B60"/>
    <w:rsid w:val="03F079D9"/>
    <w:rsid w:val="0A304947"/>
    <w:rsid w:val="10D83EE7"/>
    <w:rsid w:val="14654BAC"/>
    <w:rsid w:val="146D2BFC"/>
    <w:rsid w:val="18FF304D"/>
    <w:rsid w:val="1ABD148A"/>
    <w:rsid w:val="21CB3B2E"/>
    <w:rsid w:val="228A4F48"/>
    <w:rsid w:val="3D8F567D"/>
    <w:rsid w:val="411A369D"/>
    <w:rsid w:val="446F1BEA"/>
    <w:rsid w:val="47BD29EF"/>
    <w:rsid w:val="4A021F7C"/>
    <w:rsid w:val="4B24489A"/>
    <w:rsid w:val="4E8930B6"/>
    <w:rsid w:val="5B9C7B41"/>
    <w:rsid w:val="5CAE02DE"/>
    <w:rsid w:val="5DB502F8"/>
    <w:rsid w:val="5F7F6BE9"/>
    <w:rsid w:val="619456DA"/>
    <w:rsid w:val="622117EC"/>
    <w:rsid w:val="62224132"/>
    <w:rsid w:val="622A3852"/>
    <w:rsid w:val="62616966"/>
    <w:rsid w:val="65F51B60"/>
    <w:rsid w:val="6C4A7752"/>
    <w:rsid w:val="740657E2"/>
    <w:rsid w:val="75DE64FF"/>
    <w:rsid w:val="76531360"/>
    <w:rsid w:val="78841612"/>
    <w:rsid w:val="78D3514E"/>
    <w:rsid w:val="7CA64BC6"/>
    <w:rsid w:val="7E786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PMingLiU" w:cs="Times New Roman"/>
      <w:sz w:val="24"/>
      <w:lang w:val="en-US" w:eastAsia="zh-TW" w:bidi="ar-SA"/>
    </w:rPr>
  </w:style>
  <w:style w:type="paragraph" w:styleId="2">
    <w:name w:val="heading 1"/>
    <w:basedOn w:val="1"/>
    <w:next w:val="1"/>
    <w:qFormat/>
    <w:uiPriority w:val="0"/>
    <w:pPr>
      <w:keepNext/>
      <w:jc w:val="center"/>
      <w:outlineLvl w:val="0"/>
    </w:pPr>
    <w:rPr>
      <w:rFonts w:eastAsia="華康楷書體W3"/>
      <w:b/>
      <w:sz w:val="36"/>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pPr>
    <w:rPr>
      <w:sz w:val="20"/>
    </w:rPr>
  </w:style>
  <w:style w:type="paragraph" w:styleId="4">
    <w:name w:val="header"/>
    <w:basedOn w:val="1"/>
    <w:qFormat/>
    <w:uiPriority w:val="99"/>
    <w:pPr>
      <w:tabs>
        <w:tab w:val="center" w:pos="4153"/>
        <w:tab w:val="right" w:pos="8306"/>
      </w:tabs>
      <w:snapToGrid w:val="0"/>
    </w:pPr>
    <w:rPr>
      <w:sz w:val="20"/>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Article Title"/>
    <w:basedOn w:val="1"/>
    <w:qFormat/>
    <w:uiPriority w:val="0"/>
    <w:pPr>
      <w:widowControl/>
      <w:adjustRightInd/>
      <w:spacing w:afterLines="100" w:line="240" w:lineRule="auto"/>
      <w:jc w:val="center"/>
      <w:textAlignment w:val="auto"/>
    </w:pPr>
    <w:rPr>
      <w:rFonts w:eastAsia="標楷體"/>
      <w:kern w:val="2"/>
      <w:sz w:val="32"/>
      <w:szCs w:val="32"/>
    </w:rPr>
  </w:style>
  <w:style w:type="paragraph" w:customStyle="1" w:styleId="9">
    <w:name w:val="1."/>
    <w:basedOn w:val="10"/>
    <w:qFormat/>
    <w:uiPriority w:val="0"/>
    <w:pPr>
      <w:widowControl/>
      <w:tabs>
        <w:tab w:val="left" w:pos="567"/>
      </w:tabs>
      <w:adjustRightInd/>
      <w:spacing w:beforeLines="100" w:line="240" w:lineRule="auto"/>
      <w:ind w:left="0" w:leftChars="0"/>
      <w:jc w:val="center"/>
      <w:textAlignment w:val="auto"/>
    </w:pPr>
    <w:rPr>
      <w:rFonts w:eastAsia="標楷體"/>
      <w:kern w:val="2"/>
      <w:sz w:val="28"/>
      <w:szCs w:val="28"/>
    </w:rPr>
  </w:style>
  <w:style w:type="paragraph" w:styleId="10">
    <w:name w:val="List Paragraph"/>
    <w:basedOn w:val="1"/>
    <w:qFormat/>
    <w:uiPriority w:val="34"/>
    <w:pPr>
      <w:ind w:left="480" w:leftChars="200"/>
    </w:pPr>
  </w:style>
  <w:style w:type="paragraph" w:customStyle="1" w:styleId="11">
    <w:name w:val="Figures"/>
    <w:basedOn w:val="1"/>
    <w:uiPriority w:val="0"/>
    <w:pPr>
      <w:widowControl/>
      <w:tabs>
        <w:tab w:val="left" w:pos="709"/>
        <w:tab w:val="left" w:pos="4536"/>
      </w:tabs>
      <w:adjustRightInd/>
      <w:spacing w:line="240" w:lineRule="auto"/>
      <w:jc w:val="center"/>
      <w:textAlignment w:val="auto"/>
    </w:pPr>
    <w:rPr>
      <w:rFonts w:eastAsia="標楷體"/>
      <w:b/>
      <w:kern w:val="2"/>
      <w:szCs w:val="24"/>
    </w:rPr>
  </w:style>
  <w:style w:type="paragraph" w:customStyle="1" w:styleId="12">
    <w:name w:val="圖目錄"/>
    <w:basedOn w:val="1"/>
    <w:qFormat/>
    <w:uiPriority w:val="0"/>
    <w:pPr>
      <w:widowControl/>
      <w:adjustRightInd/>
      <w:spacing w:before="120" w:line="360" w:lineRule="auto"/>
      <w:jc w:val="center"/>
      <w:textAlignment w:val="auto"/>
    </w:pPr>
    <w:rPr>
      <w:rFonts w:eastAsia="Times New Roman"/>
      <w:kern w:val="2"/>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image" Target="media/image24.png"/><Relationship Id="rId37" Type="http://schemas.openxmlformats.org/officeDocument/2006/relationships/image" Target="media/image23.wmf"/><Relationship Id="rId36" Type="http://schemas.openxmlformats.org/officeDocument/2006/relationships/oleObject" Target="embeddings/oleObject10.bin"/><Relationship Id="rId35" Type="http://schemas.openxmlformats.org/officeDocument/2006/relationships/image" Target="media/image22.wmf"/><Relationship Id="rId34" Type="http://schemas.openxmlformats.org/officeDocument/2006/relationships/oleObject" Target="embeddings/oleObject9.bin"/><Relationship Id="rId33" Type="http://schemas.openxmlformats.org/officeDocument/2006/relationships/image" Target="media/image21.wmf"/><Relationship Id="rId32" Type="http://schemas.openxmlformats.org/officeDocument/2006/relationships/oleObject" Target="embeddings/oleObject8.bin"/><Relationship Id="rId31" Type="http://schemas.openxmlformats.org/officeDocument/2006/relationships/image" Target="media/image20.wmf"/><Relationship Id="rId30" Type="http://schemas.openxmlformats.org/officeDocument/2006/relationships/oleObject" Target="embeddings/oleObject7.bin"/><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wmf"/><Relationship Id="rId24" Type="http://schemas.openxmlformats.org/officeDocument/2006/relationships/oleObject" Target="embeddings/oleObject6.bin"/><Relationship Id="rId23" Type="http://schemas.openxmlformats.org/officeDocument/2006/relationships/image" Target="media/image14.wmf"/><Relationship Id="rId22" Type="http://schemas.openxmlformats.org/officeDocument/2006/relationships/oleObject" Target="embeddings/oleObject5.bin"/><Relationship Id="rId21" Type="http://schemas.openxmlformats.org/officeDocument/2006/relationships/image" Target="media/image13.png"/><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2019-01-18T09:05:00Z</dcterms:created>
  <dc:creator>Mr silly</dc:creator>
  <cp:lastModifiedBy>Mr silly</cp:lastModifiedBy>
  <dcterms:modified xsi:type="dcterms:W3CDTF">2019-03-08T19:24:44Z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