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lang w:val="en-US" w:eastAsia="zh-CN"/>
        </w:rPr>
      </w:pPr>
      <w:r>
        <w:rPr>
          <w:rFonts w:hint="eastAsia"/>
          <w:lang w:val="en-US" w:eastAsia="zh-CN"/>
        </w:rPr>
        <w:t>應用序列到序列生成模型於情感型聊天機器人之研究</w:t>
      </w:r>
    </w:p>
    <w:p>
      <w:pPr>
        <w:pStyle w:val="8"/>
        <w:spacing w:before="240" w:beforeLines="100" w:after="240"/>
        <w:rPr>
          <w:rFonts w:hint="eastAsia"/>
          <w:lang w:val="en-US" w:eastAsia="zh-CN"/>
        </w:rPr>
      </w:pPr>
    </w:p>
    <w:p>
      <w:pPr>
        <w:ind w:firstLine="1319" w:firstLineChars="0"/>
        <w:jc w:val="center"/>
        <w:rPr>
          <w:rFonts w:eastAsia="標楷體"/>
          <w:szCs w:val="24"/>
        </w:rPr>
      </w:pPr>
    </w:p>
    <w:p>
      <w:pPr>
        <w:widowControl/>
        <w:jc w:val="center"/>
        <w:rPr>
          <w:rFonts w:hAnsi="標楷體" w:eastAsia="標楷體"/>
          <w:b/>
          <w:bCs/>
          <w:sz w:val="28"/>
          <w:szCs w:val="28"/>
        </w:rPr>
      </w:pPr>
      <w:r>
        <w:rPr>
          <w:rFonts w:hAnsi="標楷體" w:eastAsia="標楷體"/>
          <w:b/>
          <w:bCs/>
          <w:sz w:val="28"/>
          <w:szCs w:val="28"/>
        </w:rPr>
        <w:t>摘要</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FF0000"/>
          <w:szCs w:val="24"/>
          <w:lang w:val="en-US" w:eastAsia="zh-CN"/>
        </w:rPr>
      </w:pPr>
      <w:r>
        <w:rPr>
          <w:rFonts w:hint="eastAsia" w:hAnsi="標楷體" w:eastAsia="標楷體"/>
          <w:color w:val="FF0000"/>
          <w:szCs w:val="24"/>
          <w:lang w:val="en-US" w:eastAsia="zh-CN"/>
        </w:rPr>
        <w:t>*研究發現</w:t>
      </w:r>
    </w:p>
    <w:p>
      <w:pPr>
        <w:widowControl/>
        <w:snapToGrid w:val="0"/>
        <w:ind w:firstLine="420" w:firstLineChars="0"/>
        <w:jc w:val="both"/>
        <w:rPr>
          <w:rFonts w:hint="eastAsia" w:hAnsi="標楷體" w:eastAsia="標楷體"/>
          <w:color w:val="FF0000"/>
          <w:szCs w:val="24"/>
          <w:lang w:val="en-US" w:eastAsia="zh-CN"/>
        </w:rPr>
      </w:pPr>
    </w:p>
    <w:p>
      <w:pPr>
        <w:widowControl/>
        <w:snapToGrid w:val="0"/>
        <w:ind w:firstLine="420" w:firstLineChars="0"/>
        <w:jc w:val="both"/>
        <w:rPr>
          <w:rFonts w:hint="eastAsia" w:hAnsi="標楷體" w:eastAsia="標楷體"/>
          <w:szCs w:val="24"/>
          <w:lang w:val="en-US" w:eastAsia="zh-CN"/>
        </w:rPr>
      </w:pPr>
      <w:r>
        <w:rPr>
          <w:rFonts w:hint="eastAsia" w:hAnsi="標楷體" w:eastAsia="標楷體"/>
          <w:szCs w:val="24"/>
          <w:lang w:val="en-US" w:eastAsia="zh-CN"/>
        </w:rPr>
        <w:t>關鍵詞：聊天機器人、自然語言生成、深度學習、情感分析</w:t>
      </w:r>
    </w:p>
    <w:p/>
    <w:p>
      <w:pPr>
        <w:pStyle w:val="8"/>
        <w:spacing w:before="240" w:beforeLines="100" w:after="240"/>
      </w:pPr>
      <w:r>
        <w:br w:type="page"/>
      </w:r>
      <w:r>
        <w:t>2019年第三十屆國際資訊管理學術研討會論文</w:t>
      </w:r>
      <w:r>
        <w:rPr>
          <w:rFonts w:hint="eastAsia"/>
        </w:rPr>
        <w:t>本文</w:t>
      </w:r>
    </w:p>
    <w:p>
      <w:pPr>
        <w:rPr>
          <w:rFonts w:eastAsia="標楷體"/>
        </w:rPr>
      </w:pPr>
    </w:p>
    <w:p>
      <w:pPr>
        <w:pStyle w:val="9"/>
        <w:numPr>
          <w:ilvl w:val="0"/>
          <w:numId w:val="1"/>
        </w:numPr>
        <w:tabs>
          <w:tab w:val="clear" w:pos="3240"/>
        </w:tabs>
        <w:spacing w:before="360" w:beforeLines="150" w:after="120" w:afterLines="50"/>
        <w:ind w:left="0" w:firstLine="0"/>
        <w:rPr>
          <w:b/>
          <w:bCs/>
        </w:rPr>
      </w:pPr>
      <w:r>
        <w:rPr>
          <w:b/>
          <w:bCs/>
        </w:rPr>
        <w:t>導論</w:t>
      </w:r>
    </w:p>
    <w:p>
      <w:pPr>
        <w:numPr>
          <w:ilvl w:val="0"/>
          <w:numId w:val="2"/>
        </w:numPr>
        <w:adjustRightInd/>
        <w:snapToGrid w:val="0"/>
        <w:spacing w:before="240" w:beforeLines="100" w:line="240" w:lineRule="auto"/>
        <w:ind w:left="480" w:hanging="480"/>
        <w:textAlignment w:val="auto"/>
        <w:rPr>
          <w:rFonts w:eastAsia="標楷體"/>
          <w:szCs w:val="24"/>
        </w:rPr>
      </w:pPr>
      <w:r>
        <w:rPr>
          <w:rFonts w:eastAsia="標楷體"/>
          <w:szCs w:val="24"/>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r>
        <w:rPr>
          <w:rFonts w:hint="eastAsia" w:eastAsia="標楷體"/>
          <w:szCs w:val="24"/>
          <w:lang w:val="en-US" w:eastAsia="zh-CN"/>
        </w:rPr>
        <w:t>目前而言，聊天機器人的商業化程度已有相當的規模，但受制于傳統聊天機器人大多是檢索式聊天機器人，預設的回答漸漸無法滿足企業與客戶溝通的需求。</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p>
    <w:p>
      <w:pPr>
        <w:pStyle w:val="9"/>
        <w:numPr>
          <w:ilvl w:val="0"/>
          <w:numId w:val="2"/>
        </w:numPr>
        <w:spacing w:before="360" w:beforeLines="150" w:after="120" w:afterLines="50"/>
        <w:ind w:left="480" w:leftChars="0" w:hanging="480" w:firstLineChars="0"/>
        <w:jc w:val="both"/>
        <w:rPr>
          <w:rFonts w:eastAsia="標楷體"/>
          <w:sz w:val="24"/>
          <w:szCs w:val="22"/>
        </w:rPr>
      </w:pPr>
      <w:r>
        <w:rPr>
          <w:rFonts w:eastAsia="標楷體"/>
          <w:sz w:val="24"/>
          <w:szCs w:val="22"/>
        </w:rPr>
        <w:t>研究</w:t>
      </w:r>
      <w:r>
        <w:rPr>
          <w:rFonts w:hint="eastAsia"/>
          <w:sz w:val="24"/>
          <w:szCs w:val="22"/>
          <w:lang w:val="en-US" w:eastAsia="zh-CN"/>
        </w:rPr>
        <w:t>動機</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2"/>
          <w:lang w:val="en-US" w:eastAsia="zh-CN"/>
        </w:rPr>
        <w:tab/>
      </w:r>
      <w:r>
        <w:rPr>
          <w:rFonts w:hint="eastAsia"/>
          <w:sz w:val="24"/>
          <w:szCs w:val="22"/>
          <w:lang w:val="en-US" w:eastAsia="zh-CN"/>
        </w:rPr>
        <w:t>美國雲端通</w:t>
      </w:r>
      <w:r>
        <w:rPr>
          <w:rFonts w:hint="eastAsia"/>
          <w:sz w:val="24"/>
          <w:szCs w:val="24"/>
          <w:lang w:val="en-US" w:eastAsia="zh-CN"/>
        </w:rPr>
        <w:t>訊公司</w:t>
      </w:r>
      <w:r>
        <w:rPr>
          <w:rFonts w:hint="eastAsia" w:eastAsia="標楷體"/>
          <w:sz w:val="24"/>
          <w:szCs w:val="24"/>
          <w:lang w:val="en-US" w:eastAsia="zh-CN"/>
        </w:rPr>
        <w:t>Twilio</w:t>
      </w:r>
      <w:r>
        <w:rPr>
          <w:rFonts w:hint="eastAsia"/>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現在，生成式聊天機器人也許能為企業和客戶溝通建立一座新的橋樑。前文提到的傳統聊天機器人（檢索式聊天機器人）有一些缺陷，而生成式聊天機器人所倚賴的巨量資料和運算時間，在當今科技飛速的發展下也已然不是很大的問題。在Tensorflow、Keras、Pytorch等開源深度學習框架，以及強悍的GPU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sz w:val="24"/>
          <w:szCs w:val="24"/>
          <w:lang w:val="en-US" w:eastAsia="zh-CN"/>
        </w:rPr>
      </w:pPr>
      <w:r>
        <w:rPr>
          <w:rFonts w:hint="eastAsia"/>
          <w:sz w:val="24"/>
          <w:szCs w:val="24"/>
          <w:lang w:val="en-US" w:eastAsia="zh-CN"/>
        </w:rPr>
        <w:tab/>
      </w:r>
      <w:r>
        <w:rPr>
          <w:rFonts w:hint="eastAsia"/>
          <w:sz w:val="24"/>
          <w:szCs w:val="24"/>
          <w:lang w:val="en-US" w:eastAsia="zh-CN"/>
        </w:rPr>
        <w:t>在</w:t>
      </w:r>
      <w:r>
        <w:rPr>
          <w:rFonts w:hint="eastAsia" w:hAnsi="標楷體" w:eastAsia="宋体"/>
          <w:sz w:val="24"/>
          <w:szCs w:val="24"/>
          <w:lang w:val="en-US" w:eastAsia="zh-CN"/>
        </w:rPr>
        <w:t>NTCIR-14，CECG子任務中釋出的資料集里，除了問答對之外，還包含了句子（</w:t>
      </w:r>
      <w:r>
        <w:rPr>
          <w:rFonts w:hint="eastAsia" w:eastAsia="標楷體"/>
          <w:sz w:val="24"/>
          <w:szCs w:val="22"/>
          <w:lang w:val="en-US" w:eastAsia="zh-CN"/>
        </w:rPr>
        <w:t>post</w:t>
      </w:r>
      <w:r>
        <w:rPr>
          <w:rFonts w:hint="eastAsia"/>
          <w:sz w:val="24"/>
          <w:szCs w:val="22"/>
          <w:lang w:val="en-US" w:eastAsia="zh-CN"/>
        </w:rPr>
        <w:t xml:space="preserve"> &amp; </w:t>
      </w:r>
      <w:r>
        <w:rPr>
          <w:rFonts w:hint="eastAsia" w:eastAsia="標楷體"/>
          <w:sz w:val="24"/>
          <w:szCs w:val="22"/>
          <w:lang w:val="en-US" w:eastAsia="zh-CN"/>
        </w:rPr>
        <w:t>response</w:t>
      </w:r>
      <w:r>
        <w:rPr>
          <w:rFonts w:hint="eastAsia" w:hAnsi="標楷體" w:eastAsia="宋体"/>
          <w:sz w:val="24"/>
          <w:szCs w:val="24"/>
          <w:lang w:val="en-US" w:eastAsia="zh-CN"/>
        </w:rPr>
        <w:t>）本身的客觀情感標籤，共分成6類（Other,Like,Sadness,Disgust,Anger，Happiness）。這個資料集啟發我，將情感標籤也加入生成模型的訓練，透過類神經網路，模型將會學習到類似自然人類高情商（Emotional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numPr>
          <w:ilvl w:val="0"/>
          <w:numId w:val="0"/>
        </w:numPr>
        <w:adjustRightInd/>
        <w:snapToGrid w:val="0"/>
        <w:spacing w:before="240" w:beforeLines="100" w:line="240" w:lineRule="auto"/>
        <w:ind w:leftChars="0" w:firstLine="420" w:firstLineChars="0"/>
        <w:textAlignment w:val="auto"/>
        <w:rPr>
          <w:rFonts w:hint="eastAsia" w:eastAsia="標楷體"/>
          <w:szCs w:val="24"/>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2"/>
        </w:numPr>
        <w:spacing w:before="360" w:beforeLines="150" w:after="120" w:afterLines="50"/>
        <w:ind w:left="480" w:leftChars="0" w:hanging="480" w:firstLineChars="0"/>
        <w:jc w:val="both"/>
        <w:rPr>
          <w:rFonts w:hint="eastAsia"/>
          <w:sz w:val="24"/>
          <w:szCs w:val="22"/>
          <w:lang w:val="en-US" w:eastAsia="zh-CN"/>
        </w:rPr>
      </w:pPr>
      <w:r>
        <w:rPr>
          <w:rFonts w:hint="eastAsia"/>
          <w:sz w:val="24"/>
          <w:szCs w:val="22"/>
          <w:lang w:val="en-US" w:eastAsia="zh-CN"/>
        </w:rPr>
        <w:t>研究目的</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為了讓實驗結果更有可信度，本研究會將部分的測試問答句，通過簡單抽樣的方式設計成問卷，交由簡體中文微博用戶，從語言流暢度，問答相關度和情感表達度三個方面進行評測，以全方位展示實驗的結果。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sz w:val="24"/>
          <w:szCs w:val="22"/>
          <w:lang w:val="en-US" w:eastAsia="zh-CN"/>
        </w:rPr>
      </w:pPr>
      <w:r>
        <w:rPr>
          <w:rFonts w:hint="eastAsia"/>
          <w:sz w:val="24"/>
          <w:szCs w:val="22"/>
          <w:lang w:val="en-US" w:eastAsia="zh-CN"/>
        </w:rPr>
        <w:t>論文架構</w:t>
      </w: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r>
        <w:rPr>
          <w:rFonts w:hint="eastAsia"/>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p>
    <w:p>
      <w:pPr>
        <w:pStyle w:val="9"/>
        <w:numPr>
          <w:ilvl w:val="0"/>
          <w:numId w:val="0"/>
        </w:numPr>
        <w:spacing w:before="360" w:beforeLines="150" w:after="120" w:afterLines="50"/>
        <w:ind w:leftChars="0"/>
        <w:jc w:val="both"/>
        <w:rPr>
          <w:rFonts w:hint="eastAsia"/>
          <w:sz w:val="24"/>
          <w:szCs w:val="22"/>
          <w:lang w:val="en-US" w:eastAsia="zh-CN"/>
        </w:rPr>
      </w:pPr>
      <w:r>
        <w:rPr>
          <w:rFonts w:hint="eastAsia"/>
          <w:sz w:val="24"/>
          <w:szCs w:val="22"/>
          <w:lang w:val="en-US" w:eastAsia="zh-CN"/>
        </w:rPr>
        <w:tab/>
      </w: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文獻探討</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2.1 NTCIR-14</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lang w:val="en-US" w:eastAsia="zh-CN"/>
        </w:rPr>
        <w:tab/>
      </w:r>
      <w:r>
        <w:rPr>
          <w:rFonts w:hint="eastAsia" w:eastAsia="宋体"/>
          <w:b w:val="0"/>
          <w:bCs w:val="0"/>
          <w:sz w:val="24"/>
          <w:szCs w:val="24"/>
          <w:lang w:val="en-US" w:eastAsia="zh-CN"/>
        </w:rPr>
        <w:t>NTCIR是一個針對資訊架構（IA）技術的的評估比賽，其中包含資訊檢索，問題回答，文本摘要和資訊萃取等。最早由日本學術振興會（JSPS）和國立情報學研究所（NACSI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在 2016 年，第十二屆 NTCIR 中首次設置了基於中文、日文兩種語料的評測新任務，即短文本對話任務（STC），這也是目前國際上唯一的“開放域”對話方面的評測比賽。</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b w:val="0"/>
          <w:bCs w:val="0"/>
          <w:sz w:val="24"/>
          <w:szCs w:val="24"/>
          <w:lang w:val="en-US" w:eastAsia="zh-CN"/>
        </w:rPr>
      </w:pPr>
      <w:r>
        <w:rPr>
          <w:rFonts w:hint="eastAsia"/>
          <w:b w:val="0"/>
          <w:bCs w:val="0"/>
          <w:sz w:val="24"/>
          <w:szCs w:val="24"/>
          <w:lang w:val="en-US" w:eastAsia="zh-CN"/>
        </w:rPr>
        <w:tab/>
      </w:r>
      <w:r>
        <w:rPr>
          <w:rFonts w:hint="eastAsia" w:eastAsia="宋体"/>
          <w:b w:val="0"/>
          <w:bCs w:val="0"/>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2.2檢索式聊天機器人</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2.2.1樣板式</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Siri對話機器人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2.2.2規則式</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2.3生成式聊天機器人</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2.4 sequence-to-sequence模型</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seq2seq 可以簡單看做是兩個RNN組成的模型，一個Encoder–Decoder 結構的網路，它的輸入是一個序列，輸出也是一個序列， Encoder 中將一個可變長度的信號序列變為固定長度的向量表達，Decoder 將這個固定長度的向量變成可變長度的目標的信號序列。</w:t>
      </w:r>
      <w:r>
        <w:rPr>
          <w:rFonts w:hint="eastAsia"/>
          <w:sz w:val="24"/>
          <w:szCs w:val="24"/>
          <w:lang w:val="en-US" w:eastAsia="zh-CN"/>
        </w:rPr>
        <w:t>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sz w:val="24"/>
          <w:szCs w:val="24"/>
          <w:lang w:val="en-US" w:eastAsia="zh-CN"/>
        </w:rPr>
      </w:pPr>
      <w:r>
        <w:rPr>
          <w:rFonts w:hint="eastAsia"/>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6"/>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2.4.1 深度學習</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深度學習是經過構建大量訓練數據和大量隱藏層，學習更有用特徵，以達到提高分類或預測準確性的目的的機器學習模型。與傳統的淺層學習不同的是，深度學習模型結構的深度，通常有5層以上。此外，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學習特徵的方法有兩種：基於人工規則和使用大數據。前者適用於提升一些規則已知的學習，後者則可以更好地體現出數據本身所要表達的資訊。深度學習是一種端到端的結構，即可以從數據的訓練直接到最終生成結果，不需要額外的特徵提取的環節，也可以說所有的特徵都包含在隱藏層中。</w:t>
      </w:r>
    </w:p>
    <w:p>
      <w:pPr>
        <w:pStyle w:val="9"/>
        <w:numPr>
          <w:ilvl w:val="0"/>
          <w:numId w:val="0"/>
        </w:numPr>
        <w:spacing w:before="360" w:beforeLines="150" w:after="120" w:afterLines="50"/>
        <w:ind w:leftChars="0"/>
        <w:jc w:val="both"/>
        <w:rPr>
          <w:rFonts w:hint="eastAsia"/>
          <w:lang w:val="en-US" w:eastAsia="zh-CN"/>
        </w:rPr>
      </w:pPr>
      <w:r>
        <w:rPr>
          <w:rFonts w:hint="eastAsia"/>
          <w:sz w:val="24"/>
          <w:szCs w:val="24"/>
          <w:lang w:val="en-US" w:eastAsia="zh-CN"/>
        </w:rPr>
        <w:tab/>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2.4.2 RNN（循環神經網路）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RNN是為了解決DNN（Deep neural network前饋人工神經網路）存在著無法對時間序列上的變化進行建模的問題（如自然語言處理、語音識別、手寫體識別），出現的另一種神經網路結構，迴圈神經網路。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RNN之所以稱為循環神經網路，即一個序列當前的輸出與前面的輸出也有關。具體的表現形式為網路會對前面的資訊進行記憶並應用於當前輸出的計算中，即隱藏層之間的節點不再無連接而是有連接的，並且隱藏層的輸入不僅包括輸入層的輸出，還包括上一時刻隱藏層的輸出。</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一般來說，RNN可以處理任意長度的序列。</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7"/>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lang w:val="en-US" w:eastAsia="zh-CN"/>
        </w:rPr>
        <w:t>2.4.3 LSTM和GRU單元</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 xml:space="preserve">由於梯度消失問題，S-RNN（Simple RNN） 很難高效訓練。在反向傳播（backpropagation）過程中，前面環節的誤差信號/梯度小時的很快，無法到達更前面的輸入信號，使得S-RNN 難以捕獲廣範圍的依賴。Long short-term memory (LSTM) 結構是 </w:t>
      </w:r>
      <w:r>
        <w:rPr>
          <w:rFonts w:hint="eastAsia" w:eastAsia="宋体"/>
          <w:color w:val="ED7D31" w:themeColor="accent2"/>
          <w:sz w:val="24"/>
          <w:szCs w:val="24"/>
          <w:lang w:val="en-US" w:eastAsia="zh-CN"/>
          <w14:textFill>
            <w14:solidFill>
              <w14:schemeClr w14:val="accent2"/>
            </w14:solidFill>
          </w14:textFill>
        </w:rPr>
        <w:t>Hochreiter and Schmidhuber 2017</w:t>
      </w:r>
      <w:r>
        <w:rPr>
          <w:rFonts w:hint="eastAsia" w:eastAsia="宋体"/>
          <w:sz w:val="24"/>
          <w:szCs w:val="24"/>
          <w:lang w:val="en-US" w:eastAsia="zh-CN"/>
        </w:rPr>
        <w:t xml:space="preserve"> 設計來解決梯度消失問題的，首創地引入了門限機制。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 xml:space="preserve">S-RNN 結構中每層都複用相同的矩陣 W，這將導致梯度計算包含多次的矩陣 W 的乘積運算，這很容易導致梯度值消失或者爆炸，門限機制解決這個問題的主要方法就是避免單個矩陣的重複乘積計算。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顯然沒有提供控制記憶的方式，每次計算都是讀取整個記憶然後寫入整個記憶。門限結構提供的就是控制記憶存取的機制。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 xml:space="preserve">門限機制，即通過門限向量，控制對當前記憶狀態 s_i 的讀取，且是動態的，即可以被當前記憶狀態和輸入所控制，且其行為是可以學習的。該機制保證了和記憶部分相關的梯度，即使經過很長的時間跨度，也保持較高的值，避免了梯度消失。 </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當訓練 LSTM 網路時，</w:t>
      </w:r>
      <w:r>
        <w:rPr>
          <w:rFonts w:hint="eastAsia" w:eastAsia="宋体"/>
          <w:color w:val="ED7D31" w:themeColor="accent2"/>
          <w:sz w:val="24"/>
          <w:szCs w:val="24"/>
          <w:lang w:val="en-US" w:eastAsia="zh-CN"/>
          <w14:textFill>
            <w14:solidFill>
              <w14:schemeClr w14:val="accent2"/>
            </w14:solidFill>
          </w14:textFill>
        </w:rPr>
        <w:t>Jozefowics2015</w:t>
      </w:r>
      <w:r>
        <w:rPr>
          <w:rFonts w:hint="eastAsia" w:eastAsia="宋体"/>
          <w:sz w:val="24"/>
          <w:szCs w:val="24"/>
          <w:lang w:val="en-US" w:eastAsia="zh-CN"/>
        </w:rPr>
        <w:t xml:space="preserve"> 強烈推薦總是將遺忘門的 bias 部分初始化接近1。</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雖然 LSTM 結構效果很好，但由於結構過於複雜，導致難以分析，運算成本高。 Gated recurrent unit (GRU) 是 Cho2014 作為 LSTM 替代品提出的。 GRU 雖然基於門限機制，但減少了門限的數量，並取消了切分 memory 的思路。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drawing>
          <wp:inline distT="0" distB="0" distL="114300" distR="114300">
            <wp:extent cx="5753735" cy="2331085"/>
            <wp:effectExtent l="0" t="0" r="18415" b="12065"/>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8"/>
                    <a:stretch>
                      <a:fillRect/>
                    </a:stretch>
                  </pic:blipFill>
                  <pic:spPr>
                    <a:xfrm>
                      <a:off x="0" y="0"/>
                      <a:ext cx="5753735" cy="233108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LSTM和GRU模型示意圖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2.5 Word-embedding</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Word Embedding是指透過特定算法將詞語轉換成向量編碼的表示法，表示方法主要有one-hot，N-gram，分布式表示(distributed representation)、共现矩阵等。</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在早年很多機器翻譯的任務中，詞表示會使用One-Hot-Encoding。</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2.6 Attention Mechanism</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固定長度向量承擔編碼輸入序列的整個“含義”的負擔，無論可能有多長。 由於語言的差異，這是一個非常難的問題。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r>
      <w:r>
        <w:rPr>
          <w:rFonts w:hint="eastAsia" w:eastAsia="宋体"/>
          <w:color w:val="ED7D31" w:themeColor="accent2"/>
          <w:sz w:val="24"/>
          <w:szCs w:val="24"/>
          <w:lang w:val="en-US" w:eastAsia="zh-CN"/>
          <w14:textFill>
            <w14:solidFill>
              <w14:schemeClr w14:val="accent2"/>
            </w14:solidFill>
          </w14:textFill>
        </w:rPr>
        <w:t>Bahdanau等人（2016）</w:t>
      </w:r>
      <w:r>
        <w:rPr>
          <w:rFonts w:hint="eastAsia" w:eastAsia="宋体"/>
          <w:sz w:val="24"/>
          <w:szCs w:val="24"/>
          <w:lang w:val="en-US" w:eastAsia="zh-CN"/>
        </w:rPr>
        <w:t>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eastAsia="宋体"/>
          <w:sz w:val="24"/>
          <w:szCs w:val="24"/>
          <w:lang w:val="en-US" w:eastAsia="zh-CN"/>
        </w:rPr>
        <w:tab/>
        <w:t>在</w:t>
      </w:r>
      <w:r>
        <w:rPr>
          <w:rFonts w:hint="eastAsia" w:eastAsia="宋体"/>
          <w:color w:val="ED7D31" w:themeColor="accent2"/>
          <w:sz w:val="24"/>
          <w:szCs w:val="24"/>
          <w:lang w:val="en-US" w:eastAsia="zh-CN"/>
          <w14:textFill>
            <w14:solidFill>
              <w14:schemeClr w14:val="accent2"/>
            </w14:solidFill>
          </w14:textFill>
        </w:rPr>
        <w:t>Multiplicative attention(Luong et al., 2015)</w:t>
      </w:r>
      <w:r>
        <w:rPr>
          <w:rFonts w:hint="eastAsia" w:eastAsia="宋体"/>
          <w:sz w:val="24"/>
          <w:szCs w:val="24"/>
          <w:lang w:val="en-US" w:eastAsia="zh-CN"/>
        </w:rPr>
        <w:t>中提到了三種attention score的計算方法，本文中會採用第一種。</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281805" cy="1176020"/>
            <wp:effectExtent l="0" t="0" r="4445" b="5080"/>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9"/>
                    <a:stretch>
                      <a:fillRect/>
                    </a:stretch>
                  </pic:blipFill>
                  <pic:spPr>
                    <a:xfrm>
                      <a:off x="0" y="0"/>
                      <a:ext cx="4281805" cy="117602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三种attention score计算方式</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eastAsia="宋体"/>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3981450" cy="2202180"/>
            <wp:effectExtent l="0" t="0" r="0" b="7620"/>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0"/>
                    <a:stretch>
                      <a:fillRect/>
                    </a:stretch>
                  </pic:blipFill>
                  <pic:spPr>
                    <a:xfrm>
                      <a:off x="0" y="0"/>
                      <a:ext cx="3981450" cy="220218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Attention计算示意图</w:t>
      </w:r>
    </w:p>
    <w:p>
      <w:pPr>
        <w:pStyle w:val="9"/>
        <w:numPr>
          <w:ilvl w:val="0"/>
          <w:numId w:val="0"/>
        </w:numPr>
        <w:spacing w:before="360" w:beforeLines="150" w:after="120" w:afterLines="50"/>
        <w:ind w:leftChars="0"/>
        <w:jc w:val="center"/>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2.7 Sentiment Analysis</w:t>
      </w:r>
    </w:p>
    <w:p>
      <w:pPr>
        <w:pStyle w:val="9"/>
        <w:numPr>
          <w:ilvl w:val="0"/>
          <w:numId w:val="0"/>
        </w:numPr>
        <w:spacing w:before="360" w:beforeLines="150" w:after="120" w:afterLines="50"/>
        <w:ind w:leftChars="0"/>
        <w:jc w:val="both"/>
        <w:rPr>
          <w:rFonts w:hint="eastAsia"/>
          <w:color w:val="FF0000"/>
          <w:lang w:val="en-US" w:eastAsia="zh-CN"/>
        </w:rPr>
      </w:pPr>
      <w:r>
        <w:rPr>
          <w:rFonts w:hint="eastAsia"/>
          <w:color w:val="FF0000"/>
          <w:lang w:val="en-US" w:eastAsia="zh-CN"/>
        </w:rPr>
        <w:t>https://arxiv.org/pdf/1312.5419v3.pdf</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方法介紹</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3.1簡介</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
      </w:r>
      <w:r>
        <w:rPr>
          <w:rFonts w:hint="eastAsia"/>
          <w:sz w:val="24"/>
          <w:szCs w:val="24"/>
          <w:lang w:val="en-US" w:eastAsia="zh-CN"/>
        </w:rPr>
        <w:tab/>
        <w:t>問：</w:t>
      </w:r>
      <w:r>
        <w:rPr>
          <w:rFonts w:hint="eastAsia" w:eastAsia="宋体"/>
          <w:sz w:val="24"/>
          <w:szCs w:val="24"/>
          <w:lang w:val="en-US" w:eastAsia="zh-CN"/>
        </w:rPr>
        <w:t>我买到商品为什么是坏的？</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
      </w:r>
      <w:r>
        <w:rPr>
          <w:rFonts w:hint="eastAsia"/>
          <w:sz w:val="24"/>
          <w:szCs w:val="24"/>
          <w:lang w:val="en-US" w:eastAsia="zh-CN"/>
        </w:rPr>
        <w:tab/>
        <w:t>答：哈哈哈哈，我的也是。</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center"/>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3.2系統架構</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對抽樣後的兩種答句進行評估。</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356735" cy="2492375"/>
            <wp:effectExtent l="0" t="0" r="5715" b="3175"/>
            <wp:docPr id="16" name="图片 16"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系统架构图"/>
                    <pic:cNvPicPr>
                      <a:picLocks noChangeAspect="1"/>
                    </pic:cNvPicPr>
                  </pic:nvPicPr>
                  <pic:blipFill>
                    <a:blip r:embed="rId11"/>
                    <a:stretch>
                      <a:fillRect/>
                    </a:stretch>
                  </pic:blipFill>
                  <pic:spPr>
                    <a:xfrm>
                      <a:off x="0" y="0"/>
                      <a:ext cx="4356735" cy="249237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lang w:val="en-US" w:eastAsia="zh-CN"/>
        </w:rPr>
      </w:pPr>
      <w:r>
        <w:rPr>
          <w:rFonts w:hint="eastAsia"/>
          <w:color w:val="5B9BD5" w:themeColor="accent1"/>
          <w:sz w:val="24"/>
          <w:szCs w:val="24"/>
          <w:lang w:val="en-US" w:eastAsia="zh-CN"/>
          <w14:textFill>
            <w14:solidFill>
              <w14:schemeClr w14:val="accent1"/>
            </w14:solidFill>
          </w14:textFill>
        </w:rPr>
        <w:t>系統架構圖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3.3前處理</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r>
      <w:r>
        <w:rPr>
          <w:rFonts w:hint="eastAsia"/>
          <w:sz w:val="24"/>
          <w:szCs w:val="24"/>
          <w:lang w:val="en-US" w:eastAsia="zh-CN"/>
        </w:rPr>
        <w:t>由於NTCIR官方提供的資料結構比較規範，在斷詞方面也已經處理完畢，因此本研究中沒有在進行重新斷詞。首先我們刪去了情感標籤的元素，為模型1的訓練做準備。</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sz w:val="24"/>
          <w:szCs w:val="24"/>
          <w:lang w:val="en-US" w:eastAsia="zh-CN"/>
        </w:rPr>
        <w:tab/>
        <w:t>由於模型2包含5個子模型，所以我們根據有效情感標籤（不含標籤0），將資料集分成5份。下圖中橫軸的Q1到Q5分別表示情感標籤為</w:t>
      </w:r>
      <w:r>
        <w:rPr>
          <w:rFonts w:hint="eastAsia" w:hAnsi="標楷體" w:eastAsia="宋体"/>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2"/>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資料集預覽圖</w:t>
      </w: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p>
    <w:p>
      <w:pPr>
        <w:pStyle w:val="9"/>
        <w:numPr>
          <w:ilvl w:val="0"/>
          <w:numId w:val="0"/>
        </w:numPr>
        <w:spacing w:before="360" w:beforeLines="150" w:after="120" w:afterLines="50"/>
        <w:ind w:leftChars="0"/>
        <w:jc w:val="center"/>
        <w:rPr>
          <w:rFonts w:hint="eastAsia"/>
          <w:color w:val="5B9BD5" w:themeColor="accent1"/>
          <w:sz w:val="24"/>
          <w:szCs w:val="24"/>
          <w:lang w:val="en-US" w:eastAsia="zh-CN"/>
          <w14:textFill>
            <w14:solidFill>
              <w14:schemeClr w14:val="accent1"/>
            </w14:solidFill>
          </w14:textFill>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3.4 seq2seq模型</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r>
      <w:r>
        <w:rPr>
          <w:rFonts w:hint="eastAsia" w:eastAsia="宋体"/>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 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3"/>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lang w:val="en-US" w:eastAsia="zh-CN"/>
        </w:rPr>
      </w:pPr>
      <w:r>
        <w:rPr>
          <w:rFonts w:hint="eastAsia"/>
          <w:color w:val="0000FF"/>
          <w:lang w:val="en-US" w:eastAsia="zh-CN"/>
        </w:rPr>
        <w:t>Seq2seq系統架構圖</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t>3.4.1 GRU-Encoder</w:t>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t/>
      </w:r>
      <w:r>
        <w:rPr>
          <w:rFonts w:hint="eastAsia"/>
          <w:lang w:val="en-US" w:eastAsia="zh-CN"/>
        </w:rPr>
        <w:tab/>
        <w:t xml:space="preserve"> </w:t>
      </w:r>
      <w:r>
        <w:rPr>
          <w:rFonts w:hint="eastAsia" w:eastAsia="宋体"/>
          <w:sz w:val="24"/>
          <w:szCs w:val="24"/>
          <w:lang w:val="en-US" w:eastAsia="zh-CN"/>
        </w:rPr>
        <w:t>Seq2Seq網路的Encoder本質上是一個RNN，它為輸入句子中的每個詞輸出一個向量和隱藏狀態，並將隱藏狀態用於下一個輸入字。GRU結構可以用來解決梯度消失的問題。</w:t>
      </w: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14"/>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t>Encoder示意圖</w:t>
      </w:r>
    </w:p>
    <w:p>
      <w:pPr>
        <w:pStyle w:val="9"/>
        <w:numPr>
          <w:ilvl w:val="0"/>
          <w:numId w:val="0"/>
        </w:numPr>
        <w:spacing w:before="360" w:beforeLines="150" w:after="120" w:afterLines="50"/>
        <w:ind w:leftChars="0"/>
        <w:jc w:val="both"/>
        <w:rPr>
          <w:rFonts w:hint="eastAsia"/>
          <w:lang w:val="en-US" w:eastAsia="zh-CN"/>
        </w:rPr>
      </w:pP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t xml:space="preserve">3.4.2 GRU-Decoder with Attention </w:t>
      </w:r>
    </w:p>
    <w:p>
      <w:pPr>
        <w:pStyle w:val="9"/>
        <w:numPr>
          <w:ilvl w:val="0"/>
          <w:numId w:val="0"/>
        </w:numPr>
        <w:spacing w:before="360" w:beforeLines="150" w:after="120" w:afterLines="50"/>
        <w:ind w:leftChars="0"/>
        <w:jc w:val="both"/>
        <w:rPr>
          <w:rFonts w:hint="eastAsia"/>
          <w:lang w:val="en-US" w:eastAsia="zh-CN"/>
        </w:rPr>
      </w:pPr>
      <w:r>
        <w:rPr>
          <w:rFonts w:hint="eastAsia"/>
          <w:lang w:val="en-US" w:eastAsia="zh-CN"/>
        </w:rPr>
        <w:tab/>
        <w:t/>
      </w:r>
      <w:r>
        <w:rPr>
          <w:rFonts w:hint="eastAsia"/>
          <w:lang w:val="en-US" w:eastAsia="zh-CN"/>
        </w:rPr>
        <w:tab/>
      </w:r>
      <w:r>
        <w:rPr>
          <w:rFonts w:hint="eastAsia" w:eastAsia="宋体"/>
          <w:sz w:val="24"/>
          <w:szCs w:val="24"/>
          <w:lang w:val="en-US" w:eastAsia="zh-CN"/>
        </w:rPr>
        <w:t>一般的注意力計算來自Decoder的隱藏狀態（</w:t>
      </w:r>
      <w:r>
        <w:rPr>
          <w:rFonts w:hint="eastAsia"/>
          <w:position w:val="-12"/>
          <w:sz w:val="24"/>
          <w:szCs w:val="24"/>
          <w:lang w:val="en-US" w:eastAsia="zh-CN"/>
        </w:rPr>
        <w:object>
          <v:shape id="_x0000_i1028" o:spt="75" type="#_x0000_t75" style="height:18pt;width:13pt;" o:ole="t" filled="f" o:preferrelative="t" stroked="f" coordsize="21600,21600">
            <v:fill on="f" focussize="0,0"/>
            <v:stroke on="f"/>
            <v:imagedata r:id="rId16" o:title=""/>
            <o:lock v:ext="edit" aspectratio="t"/>
            <w10:wrap type="none"/>
            <w10:anchorlock/>
          </v:shape>
          <o:OLEObject Type="Embed" ProgID="Equation.KSEE3" ShapeID="_x0000_i1028" DrawAspect="Content" ObjectID="_1468075725" r:id="rId15">
            <o:LockedField>false</o:LockedField>
          </o:OLEObject>
        </w:object>
      </w:r>
      <w:r>
        <w:rPr>
          <w:rFonts w:hint="eastAsia" w:eastAsia="宋体"/>
          <w:sz w:val="24"/>
          <w:szCs w:val="24"/>
          <w:lang w:val="en-US" w:eastAsia="zh-CN"/>
        </w:rPr>
        <w:t>）和Encoder的狀態（</w:t>
      </w:r>
      <w:r>
        <w:rPr>
          <w:rFonts w:hint="eastAsia"/>
          <w:position w:val="-12"/>
          <w:sz w:val="24"/>
          <w:szCs w:val="24"/>
          <w:lang w:val="en-US" w:eastAsia="zh-CN"/>
        </w:rPr>
        <w:object>
          <v:shape id="_x0000_i1029" o:spt="75" type="#_x0000_t75" style="height:18pt;width:13.95pt;" o:ole="t" filled="f" o:preferrelative="t" stroked="f" coordsize="21600,21600">
            <v:fill on="f" focussize="0,0"/>
            <v:stroke on="f"/>
            <v:imagedata r:id="rId18" o:title=""/>
            <o:lock v:ext="edit" aspectratio="t"/>
            <w10:wrap type="none"/>
            <w10:anchorlock/>
          </v:shape>
          <o:OLEObject Type="Embed" ProgID="Equation.KSEE3" ShapeID="_x0000_i1029" DrawAspect="Content" ObjectID="_1468075726" r:id="rId17">
            <o:LockedField>false</o:LockedField>
          </o:OLEObject>
        </w:object>
      </w:r>
      <w:r>
        <w:rPr>
          <w:rFonts w:hint="eastAsia" w:eastAsia="宋体"/>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19"/>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sz w:val="24"/>
          <w:szCs w:val="24"/>
          <w:lang w:val="en-US" w:eastAsia="zh-CN"/>
        </w:rPr>
      </w:pPr>
      <w:r>
        <w:rPr>
          <w:rFonts w:hint="eastAsia"/>
          <w:lang w:val="en-US" w:eastAsia="zh-CN"/>
        </w:rPr>
        <w:tab/>
        <w:t/>
      </w:r>
      <w:r>
        <w:rPr>
          <w:rFonts w:hint="eastAsia"/>
          <w:lang w:val="en-US" w:eastAsia="zh-CN"/>
        </w:rPr>
        <w:tab/>
      </w:r>
      <w:r>
        <w:rPr>
          <w:rFonts w:hint="eastAsia"/>
          <w:sz w:val="24"/>
          <w:szCs w:val="24"/>
          <w:lang w:val="en-US" w:eastAsia="zh-CN"/>
        </w:rPr>
        <w:t>L</w:t>
      </w:r>
      <w:r>
        <w:rPr>
          <w:rFonts w:hint="eastAsia" w:eastAsia="宋体"/>
          <w:sz w:val="24"/>
          <w:szCs w:val="24"/>
          <w:lang w:val="en-US" w:eastAsia="zh-CN"/>
        </w:rPr>
        <w:t>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ind w:leftChars="0"/>
        <w:jc w:val="both"/>
        <w:rPr>
          <w:rFonts w:hint="eastAsia"/>
          <w:color w:val="0000FF"/>
          <w:lang w:val="en-US" w:eastAsia="zh-CN"/>
        </w:rPr>
      </w:pPr>
      <w:r>
        <w:rPr>
          <w:rFonts w:hint="eastAsia" w:eastAsia="宋体"/>
          <w:sz w:val="24"/>
          <w:szCs w:val="24"/>
          <w:lang w:val="en-US" w:eastAsia="zh-CN"/>
        </w:rPr>
        <w:tab/>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lang w:val="en-US" w:eastAsia="zh-CN"/>
        </w:rPr>
      </w:pPr>
      <w:r>
        <w:rPr>
          <w:rFonts w:hint="eastAsia"/>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0"/>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0000FF"/>
          <w:lang w:val="en-US" w:eastAsia="zh-CN"/>
        </w:rPr>
      </w:pPr>
      <w:r>
        <w:rPr>
          <w:rFonts w:hint="eastAsia"/>
          <w:color w:val="0000FF"/>
          <w:lang w:val="en-US" w:eastAsia="zh-CN"/>
        </w:rPr>
        <w:t>Decoder with Attention示意圖</w:t>
      </w:r>
    </w:p>
    <w:p>
      <w:pPr>
        <w:pStyle w:val="9"/>
        <w:numPr>
          <w:ilvl w:val="0"/>
          <w:numId w:val="0"/>
        </w:numPr>
        <w:spacing w:before="360" w:beforeLines="150" w:after="120" w:afterLines="50"/>
        <w:ind w:leftChars="0"/>
        <w:jc w:val="center"/>
        <w:rPr>
          <w:rFonts w:hint="eastAsia"/>
          <w:lang w:val="en-US" w:eastAsia="zh-CN"/>
        </w:rPr>
      </w:pPr>
    </w:p>
    <w:p>
      <w:pPr>
        <w:pStyle w:val="9"/>
        <w:numPr>
          <w:ilvl w:val="0"/>
          <w:numId w:val="0"/>
        </w:numPr>
        <w:spacing w:before="360" w:beforeLines="150" w:after="120" w:afterLines="50"/>
        <w:ind w:leftChars="0"/>
        <w:jc w:val="center"/>
        <w:rPr>
          <w:rFonts w:hint="eastAsia"/>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實驗設計與結果</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4.1實驗環境</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lang w:val="en-US" w:eastAsia="zh-CN"/>
        </w:rPr>
      </w:pPr>
    </w:p>
    <w:p>
      <w:pPr>
        <w:pStyle w:val="9"/>
        <w:numPr>
          <w:ilvl w:val="0"/>
          <w:numId w:val="0"/>
        </w:numPr>
        <w:spacing w:before="360" w:beforeLines="150" w:after="120" w:afterLines="50"/>
        <w:jc w:val="center"/>
        <w:rPr>
          <w:rFonts w:hint="eastAsia"/>
          <w:b w:val="0"/>
          <w:bCs w:val="0"/>
          <w:lang w:val="en-US" w:eastAsia="zh-CN"/>
        </w:rPr>
      </w:pPr>
      <w:r>
        <w:rPr>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1"/>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lang w:val="en-US" w:eastAsia="zh-CN"/>
        </w:rPr>
      </w:pPr>
      <w:r>
        <w:rPr>
          <w:rFonts w:hint="eastAsia"/>
          <w:b w:val="0"/>
          <w:bCs w:val="0"/>
          <w:color w:val="0000FF"/>
          <w:lang w:val="en-US" w:eastAsia="zh-CN"/>
        </w:rPr>
        <w:t>Colab環境配置圖</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Pyplot</w:t>
            </w:r>
          </w:p>
        </w:tc>
      </w:tr>
    </w:tbl>
    <w:p>
      <w:pPr>
        <w:pStyle w:val="9"/>
        <w:numPr>
          <w:ilvl w:val="0"/>
          <w:numId w:val="0"/>
        </w:numPr>
        <w:spacing w:before="360" w:beforeLines="150" w:after="120" w:afterLines="50"/>
        <w:jc w:val="both"/>
        <w:rPr>
          <w:rFonts w:hint="eastAsia"/>
          <w:b w:val="0"/>
          <w:bCs w:val="0"/>
          <w:lang w:val="en-US" w:eastAsia="zh-CN"/>
        </w:rPr>
      </w:pPr>
    </w:p>
    <w:p>
      <w:pPr>
        <w:pStyle w:val="9"/>
        <w:numPr>
          <w:ilvl w:val="0"/>
          <w:numId w:val="0"/>
        </w:numPr>
        <w:spacing w:before="360" w:beforeLines="150" w:after="120" w:afterLines="50"/>
        <w:jc w:val="center"/>
        <w:rPr>
          <w:rFonts w:hint="eastAsia"/>
          <w:b w:val="0"/>
          <w:bCs w:val="0"/>
          <w:color w:val="0000FF"/>
          <w:lang w:val="en-US" w:eastAsia="zh-CN"/>
        </w:rPr>
      </w:pPr>
      <w:r>
        <w:rPr>
          <w:rFonts w:hint="eastAsia"/>
          <w:b w:val="0"/>
          <w:bCs w:val="0"/>
          <w:color w:val="0000FF"/>
          <w:lang w:val="en-US" w:eastAsia="zh-CN"/>
        </w:rPr>
        <w:t>使用套件表。</w:t>
      </w:r>
    </w:p>
    <w:p>
      <w:pPr>
        <w:pStyle w:val="9"/>
        <w:numPr>
          <w:ilvl w:val="0"/>
          <w:numId w:val="0"/>
        </w:numPr>
        <w:spacing w:before="360" w:beforeLines="150" w:after="120" w:afterLines="50"/>
        <w:jc w:val="center"/>
        <w:rPr>
          <w:rFonts w:hint="eastAsia"/>
          <w:b w:val="0"/>
          <w:bCs w:val="0"/>
          <w:color w:val="0000FF"/>
          <w:lang w:val="en-US" w:eastAsia="zh-CN"/>
        </w:rPr>
      </w:pP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b w:val="0"/>
          <w:bCs w:val="0"/>
          <w:lang w:val="en-US" w:eastAsia="zh-CN"/>
        </w:rPr>
        <w:tab/>
      </w:r>
      <w:r>
        <w:rPr>
          <w:rFonts w:hint="eastAsia"/>
          <w:b w:val="0"/>
          <w:bCs w:val="0"/>
          <w:sz w:val="24"/>
          <w:szCs w:val="24"/>
          <w:lang w:val="en-US" w:eastAsia="zh-CN"/>
        </w:rPr>
        <w:t>本研究中使用到的語料來自NTCIR大會官方。在第十四屆的比賽中，大會方提供了共計60萬筆簡體中文微博用戶的問答對（</w:t>
      </w:r>
      <w:r>
        <w:rPr>
          <w:rFonts w:hint="eastAsia" w:eastAsia="標楷體"/>
          <w:sz w:val="24"/>
          <w:szCs w:val="24"/>
          <w:lang w:val="en-US" w:eastAsia="zh-CN"/>
        </w:rPr>
        <w:t>post</w:t>
      </w:r>
      <w:r>
        <w:rPr>
          <w:rFonts w:hint="eastAsia"/>
          <w:sz w:val="24"/>
          <w:szCs w:val="24"/>
          <w:lang w:val="en-US" w:eastAsia="zh-CN"/>
        </w:rPr>
        <w:t xml:space="preserve"> &amp; </w:t>
      </w:r>
      <w:r>
        <w:rPr>
          <w:rFonts w:hint="eastAsia" w:eastAsia="標楷體"/>
          <w:sz w:val="24"/>
          <w:szCs w:val="24"/>
          <w:lang w:val="en-US" w:eastAsia="zh-CN"/>
        </w:rPr>
        <w:t>response</w:t>
      </w:r>
      <w:r>
        <w:rPr>
          <w:rFonts w:hint="eastAsia"/>
          <w:b w:val="0"/>
          <w:bCs w:val="0"/>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2"/>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sz w:val="24"/>
          <w:szCs w:val="24"/>
          <w:lang w:val="en-US" w:eastAsia="zh-CN"/>
        </w:rPr>
      </w:pPr>
      <w:r>
        <w:rPr>
          <w:rFonts w:hint="eastAsia"/>
          <w:b w:val="0"/>
          <w:bCs w:val="0"/>
          <w:lang w:val="en-US" w:eastAsia="zh-CN"/>
        </w:rPr>
        <w:tab/>
      </w:r>
      <w:r>
        <w:rPr>
          <w:rFonts w:hint="eastAsia"/>
          <w:b w:val="0"/>
          <w:bCs w:val="0"/>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lang w:val="en-US" w:eastAsia="zh-CN"/>
        </w:rPr>
      </w:pPr>
      <w:r>
        <w:rPr>
          <w:rFonts w:ascii="Helvetica" w:hAnsi="Helvetica" w:eastAsia="Helvetica" w:cs="Helvetica"/>
          <w:i w:val="0"/>
          <w:caps w:val="0"/>
          <w:color w:val="C00000"/>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C00000"/>
          <w:spacing w:val="0"/>
          <w:sz w:val="21"/>
          <w:szCs w:val="21"/>
          <w:shd w:val="clear" w:fill="FFFFFF"/>
        </w:rPr>
        <w:t>,</w:t>
      </w:r>
      <w:r>
        <w:rPr>
          <w:rFonts w:hint="default" w:ascii="Helvetica" w:hAnsi="Helvetica" w:eastAsia="Helvetica" w:cs="Helvetica"/>
          <w:i w:val="0"/>
          <w:caps w:val="0"/>
          <w:color w:val="C00000"/>
          <w:spacing w:val="0"/>
          <w:sz w:val="21"/>
          <w:szCs w:val="21"/>
          <w:shd w:val="clear" w:fill="FFFFFF"/>
        </w:rPr>
        <w:br w:type="textWrapping"/>
      </w:r>
      <w:r>
        <w:rPr>
          <w:rFonts w:hint="default" w:ascii="Helvetica" w:hAnsi="Helvetica" w:eastAsia="Helvetica" w:cs="Helvetica"/>
          <w:i w:val="0"/>
          <w:caps w:val="0"/>
          <w:color w:val="C00000"/>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000000"/>
          <w:spacing w:val="0"/>
          <w:sz w:val="24"/>
          <w:szCs w:val="24"/>
          <w:shd w:val="clear" w:fill="FFFFFF"/>
        </w:rPr>
        <w:t>1,119,207</w:t>
      </w:r>
      <w:r>
        <w:rPr>
          <w:rFonts w:hint="eastAsia"/>
          <w:b w:val="0"/>
          <w:bCs w:val="0"/>
          <w:sz w:val="24"/>
          <w:szCs w:val="24"/>
          <w:lang w:val="en-US" w:eastAsia="zh-CN"/>
        </w:rPr>
        <w:t>），斷詞後不重複的詞數有約9.9萬筆</w:t>
      </w:r>
      <w:r>
        <w:rPr>
          <w:rFonts w:hint="eastAsia" w:ascii="Helvetica" w:hAnsi="Helvetica" w:eastAsia="宋体" w:cs="Helvetica"/>
          <w:i w:val="0"/>
          <w:caps w:val="0"/>
          <w:color w:val="000000"/>
          <w:spacing w:val="0"/>
          <w:sz w:val="24"/>
          <w:szCs w:val="24"/>
          <w:shd w:val="clear" w:fill="FFFFFF"/>
          <w:lang w:eastAsia="zh-CN"/>
        </w:rPr>
        <w:t>（</w:t>
      </w:r>
      <w:r>
        <w:rPr>
          <w:rFonts w:ascii="Helvetica" w:hAnsi="Helvetica" w:eastAsia="Helvetica" w:cs="Helvetica"/>
          <w:i w:val="0"/>
          <w:caps w:val="0"/>
          <w:color w:val="000000"/>
          <w:spacing w:val="0"/>
          <w:sz w:val="24"/>
          <w:szCs w:val="24"/>
          <w:shd w:val="clear" w:fill="FFFFFF"/>
        </w:rPr>
        <w:t>98,627</w:t>
      </w:r>
      <w:r>
        <w:rPr>
          <w:rFonts w:hint="eastAsia" w:ascii="Helvetica" w:hAnsi="Helvetica" w:eastAsia="宋体" w:cs="Helvetica"/>
          <w:i w:val="0"/>
          <w:caps w:val="0"/>
          <w:color w:val="000000"/>
          <w:spacing w:val="0"/>
          <w:sz w:val="24"/>
          <w:szCs w:val="24"/>
          <w:shd w:val="clear" w:fill="FFFFFF"/>
          <w:lang w:eastAsia="zh-CN"/>
        </w:rPr>
        <w:t>）</w:t>
      </w:r>
      <w:r>
        <w:rPr>
          <w:rFonts w:hint="eastAsia"/>
          <w:b w:val="0"/>
          <w:bCs w:val="0"/>
          <w:sz w:val="24"/>
          <w:szCs w:val="24"/>
          <w:lang w:val="en-US" w:eastAsia="zh-CN"/>
        </w:rPr>
        <w:t>。以下是本次試驗中用到的資料集對照表。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min:0</w:t>
            </w:r>
          </w:p>
        </w:tc>
      </w:tr>
    </w:tbl>
    <w:p>
      <w:pPr>
        <w:pStyle w:val="9"/>
        <w:numPr>
          <w:ilvl w:val="0"/>
          <w:numId w:val="0"/>
        </w:numPr>
        <w:spacing w:before="360" w:beforeLines="150" w:after="120" w:afterLines="50"/>
        <w:jc w:val="center"/>
        <w:rPr>
          <w:rFonts w:hint="eastAsia"/>
          <w:b w:val="0"/>
          <w:bCs w:val="0"/>
          <w:color w:val="0000FF"/>
          <w:lang w:val="en-US" w:eastAsia="zh-CN"/>
        </w:rPr>
      </w:pPr>
      <w:r>
        <w:rPr>
          <w:rFonts w:hint="eastAsia"/>
          <w:b w:val="0"/>
          <w:bCs w:val="0"/>
          <w:color w:val="0000FF"/>
          <w:lang w:val="en-US" w:eastAsia="zh-CN"/>
        </w:rPr>
        <w:t>實驗資料集對照表</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4.2實驗設計</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lang w:val="en-US" w:eastAsia="zh-CN"/>
        </w:rPr>
        <w:t>4.2.1生成模型實驗</w:t>
      </w:r>
    </w:p>
    <w:p>
      <w:pPr>
        <w:pStyle w:val="9"/>
        <w:numPr>
          <w:ilvl w:val="0"/>
          <w:numId w:val="0"/>
        </w:numPr>
        <w:spacing w:before="360" w:beforeLines="150" w:after="120" w:afterLines="50"/>
        <w:jc w:val="both"/>
        <w:rPr>
          <w:rFonts w:hint="eastAsia"/>
          <w:b w:val="0"/>
          <w:bCs w:val="0"/>
          <w:sz w:val="24"/>
          <w:szCs w:val="24"/>
          <w:lang w:val="en-US" w:eastAsia="zh-CN"/>
        </w:rPr>
      </w:pPr>
      <w:r>
        <w:rPr>
          <w:rFonts w:hint="eastAsia"/>
          <w:b w:val="0"/>
          <w:bCs w:val="0"/>
          <w:lang w:val="en-US" w:eastAsia="zh-CN"/>
        </w:rPr>
        <w:tab/>
      </w:r>
      <w:r>
        <w:rPr>
          <w:rFonts w:hint="eastAsia"/>
          <w:b w:val="0"/>
          <w:bCs w:val="0"/>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hAnsi="標楷體" w:eastAsia="宋体"/>
          <w:sz w:val="24"/>
          <w:szCs w:val="24"/>
          <w:lang w:val="en-US" w:eastAsia="zh-CN"/>
        </w:rPr>
      </w:pPr>
      <w:r>
        <w:rPr>
          <w:rFonts w:hint="eastAsia" w:hAnsi="標楷體" w:eastAsia="宋体"/>
          <w:sz w:val="24"/>
          <w:szCs w:val="24"/>
          <w:lang w:val="en-US" w:eastAsia="zh-CN"/>
        </w:rPr>
        <w:tab/>
      </w:r>
      <w:r>
        <w:rPr>
          <w:rFonts w:hint="eastAsia" w:hAnsi="標楷體" w:eastAsia="宋体"/>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sz w:val="24"/>
          <w:szCs w:val="24"/>
          <w:lang w:val="en-US" w:eastAsia="zh-CN"/>
        </w:rPr>
      </w:pPr>
      <w:r>
        <w:rPr>
          <w:rFonts w:hint="eastAsia" w:hAnsi="標楷體" w:eastAsia="宋体"/>
          <w:sz w:val="24"/>
          <w:szCs w:val="24"/>
          <w:lang w:val="en-US" w:eastAsia="zh-CN"/>
        </w:rPr>
        <w:tab/>
        <w:t>在對模型1和模型2生成的回應句的評估上，將會採用問卷的形式，從生成句中分別隨機抽樣30句進行實驗。由於訓練語料源自微博，所以受測人員均是微博用戶簡體中文的使用者。受測人員將會從</w:t>
      </w:r>
      <w:r>
        <w:rPr>
          <w:rFonts w:hint="eastAsia"/>
          <w:sz w:val="24"/>
          <w:szCs w:val="24"/>
          <w:lang w:val="en-US" w:eastAsia="zh-CN"/>
        </w:rPr>
        <w:t>語言流暢度（s1），問答相關度（s2）和情感表達度（s3）三個角度對生成句進行評估，且三個角度的權重賦值相等，針對每一個角度的評估都是從兩種回應句中擇優選擇，優勝句計1分。最終得分計算方式如下：</w:t>
      </w:r>
    </w:p>
    <w:p>
      <w:pPr>
        <w:pStyle w:val="9"/>
        <w:numPr>
          <w:ilvl w:val="0"/>
          <w:numId w:val="0"/>
        </w:numPr>
        <w:spacing w:before="360" w:beforeLines="150" w:after="120" w:afterLines="50"/>
        <w:jc w:val="center"/>
        <w:rPr>
          <w:rFonts w:hint="eastAsia"/>
          <w:sz w:val="28"/>
          <w:szCs w:val="28"/>
          <w:lang w:val="en-US" w:eastAsia="zh-CN"/>
        </w:rPr>
      </w:pPr>
      <w:r>
        <w:rPr>
          <w:rFonts w:hint="eastAsia"/>
          <w:position w:val="-24"/>
          <w:sz w:val="28"/>
          <w:szCs w:val="28"/>
          <w:lang w:val="en-US" w:eastAsia="zh-CN"/>
        </w:rPr>
        <w:object>
          <v:shape id="_x0000_i1027" o:spt="75" type="#_x0000_t75" style="height:31pt;width:110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p>
    <w:p>
      <w:pPr>
        <w:pStyle w:val="9"/>
        <w:numPr>
          <w:ilvl w:val="0"/>
          <w:numId w:val="0"/>
        </w:numPr>
        <w:spacing w:before="360" w:beforeLines="150" w:after="120" w:afterLines="50"/>
        <w:jc w:val="both"/>
        <w:rPr>
          <w:rFonts w:hint="eastAsia"/>
          <w:sz w:val="24"/>
          <w:szCs w:val="22"/>
          <w:lang w:val="en-US" w:eastAsia="zh-CN"/>
        </w:rPr>
      </w:pPr>
      <w:r>
        <w:rPr>
          <w:rFonts w:hint="eastAsia"/>
          <w:sz w:val="24"/>
          <w:szCs w:val="22"/>
          <w:lang w:val="en-US" w:eastAsia="zh-CN"/>
        </w:rPr>
        <w:tab/>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r>
        <w:rPr>
          <w:rFonts w:hint="eastAsia"/>
          <w:b w:val="0"/>
          <w:bCs w:val="0"/>
          <w:lang w:val="en-US" w:eastAsia="zh-CN"/>
        </w:rPr>
        <w:t>4.2.2情感標籤分類實驗</w:t>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ab/>
      </w:r>
    </w:p>
    <w:p>
      <w:pPr>
        <w:pStyle w:val="9"/>
        <w:numPr>
          <w:ilvl w:val="0"/>
          <w:numId w:val="0"/>
        </w:numPr>
        <w:spacing w:before="360" w:beforeLines="150" w:after="120" w:afterLines="50"/>
        <w:jc w:val="both"/>
        <w:rPr>
          <w:rFonts w:hint="eastAsia"/>
          <w:b w:val="0"/>
          <w:bCs w:val="0"/>
          <w:lang w:val="en-US" w:eastAsia="zh-CN"/>
        </w:rPr>
      </w:pPr>
      <w:r>
        <w:rPr>
          <w:rFonts w:hint="eastAsia"/>
          <w:b w:val="0"/>
          <w:bCs w:val="0"/>
          <w:lang w:val="en-US" w:eastAsia="zh-CN"/>
        </w:rPr>
        <w:t>4.3實驗結果</w:t>
      </w:r>
    </w:p>
    <w:p>
      <w:pPr>
        <w:pStyle w:val="9"/>
        <w:numPr>
          <w:ilvl w:val="0"/>
          <w:numId w:val="0"/>
        </w:numPr>
        <w:spacing w:before="360" w:beforeLines="150" w:after="120" w:afterLines="50"/>
        <w:jc w:val="both"/>
        <w:rPr>
          <w:rFonts w:hint="eastAsia"/>
          <w:b/>
          <w:bCs/>
          <w:lang w:val="en-US" w:eastAsia="zh-CN"/>
        </w:rPr>
      </w:pPr>
      <w:bookmarkStart w:id="0" w:name="_GoBack"/>
      <w:bookmarkEnd w:id="0"/>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0"/>
        </w:numPr>
        <w:spacing w:before="360" w:beforeLines="150" w:after="120" w:afterLines="50"/>
        <w:jc w:val="both"/>
        <w:rPr>
          <w:rFonts w:hint="eastAsia"/>
          <w:b/>
          <w:bCs/>
          <w:lang w:val="en-US" w:eastAsia="zh-CN"/>
        </w:rPr>
      </w:pPr>
    </w:p>
    <w:p>
      <w:pPr>
        <w:pStyle w:val="9"/>
        <w:numPr>
          <w:ilvl w:val="0"/>
          <w:numId w:val="1"/>
        </w:numPr>
        <w:tabs>
          <w:tab w:val="clear" w:pos="3240"/>
        </w:tabs>
        <w:spacing w:before="360" w:beforeLines="150" w:after="120" w:afterLines="50"/>
        <w:ind w:left="0" w:firstLine="0"/>
        <w:rPr>
          <w:b/>
          <w:bCs/>
        </w:rPr>
      </w:pPr>
      <w:r>
        <w:rPr>
          <w:rFonts w:hint="eastAsia"/>
          <w:b/>
          <w:bCs/>
          <w:lang w:val="en-US" w:eastAsia="zh-CN"/>
        </w:rPr>
        <w:t>結語與未來發展</w:t>
      </w:r>
    </w:p>
    <w:p/>
    <w:sectPr>
      <w:headerReference r:id="rId3" w:type="default"/>
      <w:footerReference r:id="rId4"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2019</w:t>
    </w:r>
    <w:r>
      <w:rPr>
        <w:rFonts w:hint="eastAsia" w:ascii="標楷體" w:hAnsi="標楷體" w:eastAsia="標楷體"/>
      </w:rPr>
      <w:t>年第三十屆國際資訊管理學術研討會                                    台灣，</w:t>
    </w:r>
    <w:r>
      <w:rPr>
        <w:rFonts w:ascii="標楷體" w:hAnsi="標楷體" w:eastAsia="標楷體"/>
      </w:rPr>
      <w:t>201</w:t>
    </w:r>
    <w:r>
      <w:rPr>
        <w:rFonts w:hint="eastAsia" w:ascii="標楷體" w:hAnsi="標楷體" w:eastAsia="標楷體"/>
      </w:rPr>
      <w:t>9</w:t>
    </w:r>
    <w:r>
      <w:rPr>
        <w:rFonts w:ascii="標楷體" w:hAnsi="標楷體" w:eastAsia="標楷體"/>
      </w:rPr>
      <w:t>/</w:t>
    </w:r>
    <w:r>
      <w:rPr>
        <w:rFonts w:hint="eastAsia" w:ascii="標楷體" w:hAnsi="標楷體" w:eastAsia="標楷體"/>
      </w:rPr>
      <w:t>5</w:t>
    </w:r>
    <w:r>
      <w:rPr>
        <w:rFonts w:ascii="標楷體" w:hAnsi="標楷體" w:eastAsia="標楷體"/>
      </w:rPr>
      <w:t>/</w:t>
    </w:r>
    <w:r>
      <w:rPr>
        <w:rFonts w:hint="eastAsia" w:ascii="標楷體" w:hAnsi="標楷體" w:eastAsia="標楷體"/>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10D83EE7"/>
    <w:rsid w:val="18FF304D"/>
    <w:rsid w:val="1ABD148A"/>
    <w:rsid w:val="21CB3B2E"/>
    <w:rsid w:val="446F1BEA"/>
    <w:rsid w:val="4B24489A"/>
    <w:rsid w:val="4E8930B6"/>
    <w:rsid w:val="622117EC"/>
    <w:rsid w:val="62224132"/>
    <w:rsid w:val="65F51B60"/>
    <w:rsid w:val="6C4A7752"/>
    <w:rsid w:val="740657E2"/>
    <w:rsid w:val="7653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wmf"/><Relationship Id="rId23" Type="http://schemas.openxmlformats.org/officeDocument/2006/relationships/oleObject" Target="embeddings/oleObject3.bin"/><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2.bin"/><Relationship Id="rId16" Type="http://schemas.openxmlformats.org/officeDocument/2006/relationships/image" Target="media/image10.w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2019-02-13T16:34:19Z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