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399B53FA" w:rsidR="00E11191" w:rsidRPr="00233F15" w:rsidRDefault="00E11191" w:rsidP="00E11191">
      <w:pPr>
        <w:spacing w:line="480" w:lineRule="auto"/>
        <w:rPr>
          <w:b/>
          <w:bCs/>
          <w:iCs/>
          <w:color w:val="000000" w:themeColor="text1"/>
          <w:sz w:val="28"/>
        </w:rPr>
      </w:pPr>
      <w:r>
        <w:rPr>
          <w:b/>
          <w:bCs/>
          <w:iCs/>
          <w:color w:val="000000" w:themeColor="text1"/>
          <w:sz w:val="28"/>
        </w:rPr>
        <w:t>Deciphering complex traits via engineered population profiling</w:t>
      </w:r>
    </w:p>
    <w:p w14:paraId="0D55F9D2" w14:textId="77777777" w:rsidR="00E11191" w:rsidRPr="00233F15" w:rsidRDefault="00E11191" w:rsidP="00B0183A">
      <w:pPr>
        <w:spacing w:line="480" w:lineRule="auto"/>
        <w:rPr>
          <w:b/>
          <w:bCs/>
          <w:iCs/>
          <w:color w:val="000000" w:themeColor="text1"/>
          <w:sz w:val="28"/>
        </w:rPr>
      </w:pPr>
    </w:p>
    <w:p w14:paraId="305D72B7" w14:textId="2548C11A"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18F5E746" w:rsidR="00B0183A" w:rsidRPr="00277AC4" w:rsidRDefault="00BD49C4" w:rsidP="00277AC4">
      <w:pPr>
        <w:spacing w:line="480" w:lineRule="auto"/>
        <w:ind w:firstLine="720"/>
        <w:jc w:val="both"/>
        <w:rPr>
          <w:rFonts w:eastAsia="Times New Roman"/>
          <w:color w:val="000000" w:themeColor="text1"/>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E11191">
        <w:rPr>
          <w:rFonts w:eastAsia="Times New Roman"/>
        </w:rPr>
        <w:t xml:space="preserve">Systematically identifying </w:t>
      </w:r>
      <w:r w:rsidR="00B02FA0">
        <w:rPr>
          <w:rFonts w:eastAsia="Times New Roman"/>
        </w:rPr>
        <w:t xml:space="preserve">the phenotypic impact of </w:t>
      </w:r>
      <w:r w:rsidR="00E11191">
        <w:rPr>
          <w:rFonts w:eastAsia="Times New Roman"/>
        </w:rPr>
        <w:t xml:space="preserve">high-order combinations of genetic </w:t>
      </w:r>
      <w:r w:rsidR="00B02FA0">
        <w:rPr>
          <w:rFonts w:eastAsia="Times New Roman"/>
        </w:rPr>
        <w:t xml:space="preserve">variants 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277AC4">
        <w:rPr>
          <w:rFonts w:eastAsia="Times New Roman"/>
        </w:rPr>
        <w:t xml:space="preserve">the entire set of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w:t>
      </w:r>
      <w:commentRangeStart w:id="0"/>
      <w:r w:rsidR="00277AC4">
        <w:rPr>
          <w:rFonts w:eastAsia="Times New Roman"/>
        </w:rPr>
        <w:t xml:space="preserve">outbred </w:t>
      </w:r>
      <w:commentRangeEnd w:id="0"/>
      <w:r w:rsidR="0093605B">
        <w:rPr>
          <w:rStyle w:val="CommentReference"/>
          <w:rFonts w:asciiTheme="minorHAnsi" w:hAnsiTheme="minorHAnsi" w:cstheme="minorBidi"/>
        </w:rPr>
        <w:commentReference w:id="0"/>
      </w:r>
      <w:r w:rsidR="00277AC4">
        <w:rPr>
          <w:rFonts w:eastAsia="Times New Roman"/>
        </w:rPr>
        <w:t xml:space="preserve">population of </w:t>
      </w:r>
      <w:r w:rsidR="00277AC4" w:rsidRPr="00233F15">
        <w:rPr>
          <w:rFonts w:eastAsia="Times New Roman"/>
        </w:rPr>
        <w:t>~7,000 yeast strains</w:t>
      </w:r>
      <w:r w:rsidR="00277AC4">
        <w:rPr>
          <w:rFonts w:eastAsia="Times New Roman"/>
        </w:rPr>
        <w:t>, each carrying gene deletions for a random s</w:t>
      </w:r>
      <w:r w:rsidR="00E635D2">
        <w:rPr>
          <w:rFonts w:eastAsia="Times New Roman"/>
        </w:rPr>
        <w:t>ubset of the 16 ABC transporter</w:t>
      </w:r>
      <w:r w:rsidR="00277AC4">
        <w:rPr>
          <w:rFonts w:eastAsia="Times New Roman"/>
        </w:rPr>
        <w:t xml:space="preserve">s. After genotyping </w:t>
      </w:r>
      <w:r w:rsidR="00B02FA0">
        <w:rPr>
          <w:rFonts w:eastAsia="Times New Roman"/>
        </w:rPr>
        <w:t>and barcode identification</w:t>
      </w:r>
      <w:r w:rsidR="00277AC4">
        <w:rPr>
          <w:rFonts w:eastAsia="Times New Roman"/>
        </w:rPr>
        <w:t xml:space="preserve">, we profiled the </w:t>
      </w:r>
      <w:r w:rsidR="00B02FA0">
        <w:rPr>
          <w:rFonts w:eastAsia="Times New Roman"/>
        </w:rPr>
        <w:t xml:space="preserve">entire </w:t>
      </w:r>
      <w:r w:rsidR="00277AC4">
        <w:rPr>
          <w:rFonts w:eastAsia="Times New Roman"/>
        </w:rPr>
        <w:t xml:space="preserve">population for resistance to each of </w:t>
      </w:r>
      <w:r w:rsidR="00277AC4" w:rsidRPr="00233F15">
        <w:rPr>
          <w:rFonts w:eastAsia="Times New Roman"/>
          <w:color w:val="000000" w:themeColor="text1"/>
        </w:rPr>
        <w:t>16 drugs</w:t>
      </w:r>
      <w:r w:rsidR="00277AC4">
        <w:rPr>
          <w:rFonts w:eastAsia="Times New Roman"/>
          <w:color w:val="000000" w:themeColor="text1"/>
        </w:rPr>
        <w:t>. The resulting complex genotype-</w:t>
      </w:r>
      <w:r w:rsidR="00A91539">
        <w:rPr>
          <w:rFonts w:eastAsia="Times New Roman"/>
          <w:color w:val="000000" w:themeColor="text1"/>
        </w:rPr>
        <w:t xml:space="preserve">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233A42" w:rsidRPr="00233F15">
        <w:rPr>
          <w:rFonts w:eastAsia="Times New Roman"/>
          <w:color w:val="000000" w:themeColor="text1"/>
        </w:rPr>
        <w:t>context-dependent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 xml:space="preserve">(a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77AC4">
        <w:rPr>
          <w:rFonts w:eastAsia="Times New Roman"/>
          <w:color w:val="000000" w:themeColor="text1"/>
        </w:rPr>
        <w:t>) and two other azole compounds</w:t>
      </w:r>
      <w:r w:rsidR="002F052B" w:rsidRPr="00233F15">
        <w:rPr>
          <w:rFonts w:eastAsia="Times New Roman"/>
          <w:color w:val="000000" w:themeColor="text1"/>
        </w:rPr>
        <w:t xml:space="preserve">, </w:t>
      </w:r>
      <w:r w:rsidR="00277AC4">
        <w:rPr>
          <w:rFonts w:eastAsia="Times New Roman"/>
          <w:color w:val="000000" w:themeColor="text1"/>
        </w:rPr>
        <w:t xml:space="preserve">yielding </w:t>
      </w:r>
      <w:r w:rsidR="002F052B" w:rsidRPr="00233F15">
        <w:rPr>
          <w:rFonts w:eastAsia="Times New Roman"/>
          <w:color w:val="000000" w:themeColor="text1"/>
        </w:rPr>
        <w:t xml:space="preserve">a complex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B02FA0">
        <w:rPr>
          <w:rFonts w:eastAsia="Times New Roman"/>
          <w:color w:val="000000" w:themeColor="text1"/>
        </w:rPr>
        <w:t xml:space="preserve">Our results show that </w:t>
      </w:r>
      <w:r w:rsidR="00D57B94" w:rsidRPr="00233F15">
        <w:rPr>
          <w:rFonts w:eastAsia="Times New Roman"/>
          <w:color w:val="000000" w:themeColor="text1"/>
        </w:rPr>
        <w:t>engineered population profiling</w:t>
      </w:r>
      <w:r w:rsidR="008974C6">
        <w:rPr>
          <w:rFonts w:eastAsia="Times New Roman"/>
          <w:color w:val="000000" w:themeColor="text1"/>
        </w:rPr>
        <w:t xml:space="preserve"> </w:t>
      </w:r>
      <w:r w:rsidR="00B02FA0">
        <w:rPr>
          <w:rFonts w:eastAsia="Times New Roman"/>
          <w:color w:val="000000" w:themeColor="text1"/>
        </w:rPr>
        <w:t xml:space="preserve">applied to </w:t>
      </w:r>
      <w:r w:rsidR="00B02FA0" w:rsidRPr="00233F15">
        <w:rPr>
          <w:rFonts w:eastAsia="Times New Roman"/>
          <w:color w:val="000000" w:themeColor="text1"/>
        </w:rPr>
        <w:t>targeted gene sets</w:t>
      </w:r>
      <w:r w:rsidR="00B02FA0">
        <w:rPr>
          <w:rFonts w:eastAsia="Times New Roman"/>
          <w:color w:val="000000" w:themeColor="text1"/>
        </w:rPr>
        <w:t xml:space="preserve"> can systematically decipher complex traits</w:t>
      </w:r>
      <w:r w:rsidR="008974C6">
        <w:rPr>
          <w:rFonts w:eastAsia="Times New Roman"/>
          <w:color w:val="000000" w:themeColor="text1"/>
        </w:rPr>
        <w:t>.</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29327BFC" w:rsidR="00A52414" w:rsidRPr="00602F7C" w:rsidRDefault="00DF67CE" w:rsidP="00602F7C">
      <w:pPr>
        <w:spacing w:line="480" w:lineRule="auto"/>
        <w:ind w:firstLine="720"/>
        <w:jc w:val="both"/>
        <w:rPr>
          <w:lang w:val="en-CA"/>
        </w:rPr>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20633E">
        <w:t>effects</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context </w:t>
      </w:r>
      <w:r w:rsidR="00713AFE" w:rsidRPr="00233F15">
        <w:rPr>
          <w:lang w:val="en-CA"/>
        </w:rPr>
        <w:t xml:space="preserve">of other genetic variants. </w:t>
      </w:r>
      <w:r w:rsidR="004D2831">
        <w:rPr>
          <w:lang w:val="en-CA"/>
        </w:rPr>
        <w:t xml:space="preserve"> </w:t>
      </w:r>
      <w:r w:rsidR="004D2831">
        <w:rPr>
          <w:lang w:val="en-CA"/>
        </w:rPr>
        <w:lastRenderedPageBreak/>
        <w:t>Studying these</w:t>
      </w:r>
      <w:r w:rsidR="001D050A" w:rsidRPr="00233F15">
        <w:rPr>
          <w:lang w:val="en-CA"/>
        </w:rPr>
        <w:t xml:space="preserve"> interactions </w:t>
      </w:r>
      <w:r w:rsidR="00005FAD" w:rsidRPr="00233F15">
        <w:rPr>
          <w:lang w:val="en-CA"/>
        </w:rPr>
        <w:t xml:space="preserve">can </w:t>
      </w:r>
      <w:r w:rsidR="00647AAE">
        <w:rPr>
          <w:lang w:val="en-CA"/>
        </w:rPr>
        <w:t xml:space="preserve">further </w:t>
      </w:r>
      <w:r w:rsidR="00005FAD" w:rsidRPr="00233F15">
        <w:rPr>
          <w:lang w:val="en-CA"/>
        </w:rPr>
        <w:t xml:space="preserve">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28E04BC9" w:rsidR="007746CA" w:rsidRDefault="004D2831" w:rsidP="004D2831">
      <w:pPr>
        <w:spacing w:line="480" w:lineRule="auto"/>
        <w:jc w:val="both"/>
        <w:rPr>
          <w:lang w:val="en-CA"/>
        </w:rPr>
      </w:pPr>
      <w:r>
        <w:rPr>
          <w:lang w:val="en-CA"/>
        </w:rPr>
        <w:tab/>
      </w:r>
      <w:r w:rsidR="001C54DE">
        <w:rPr>
          <w:lang w:val="en-CA"/>
        </w:rPr>
        <w:t xml:space="preserve">Complex </w:t>
      </w:r>
      <w:r w:rsidR="00041FF2">
        <w:rPr>
          <w:lang w:val="en-CA"/>
        </w:rPr>
        <w:t xml:space="preserve">genetic </w:t>
      </w:r>
      <w:r>
        <w:rPr>
          <w:lang w:val="en-CA"/>
        </w:rPr>
        <w:t xml:space="preserve">interactions likely </w:t>
      </w:r>
      <w:r w:rsidR="00671A2B">
        <w:rPr>
          <w:lang w:val="en-CA"/>
        </w:rPr>
        <w:t>mediate</w:t>
      </w:r>
      <w:r w:rsidR="00336F21">
        <w:rPr>
          <w:lang w:val="en-CA"/>
        </w:rPr>
        <w:t xml:space="preserve"> the expression</w:t>
      </w:r>
      <w:r>
        <w:rPr>
          <w:lang w:val="en-CA"/>
        </w:rPr>
        <w:t xml:space="preserve"> of many biological traits</w:t>
      </w:r>
      <w:r w:rsidR="001E20EF" w:rsidRPr="00233F15">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008D75CD"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008D75CD" w:rsidRPr="00233F15">
        <w:rPr>
          <w:lang w:val="en-CA"/>
        </w:rPr>
        <w:t xml:space="preserve"> that three-gene interactions would </w:t>
      </w:r>
      <w:r w:rsidR="00093EBE">
        <w:rPr>
          <w:lang w:val="en-CA"/>
        </w:rPr>
        <w:t>vas</w:t>
      </w:r>
      <w:r w:rsidR="008D75CD" w:rsidRPr="00233F15">
        <w:rPr>
          <w:lang w:val="en-CA"/>
        </w:rPr>
        <w:t>tly outnumber 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8D75CD"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5465918E" w:rsidR="00551BE5" w:rsidRPr="00233F15" w:rsidRDefault="007746CA" w:rsidP="00A62FC6">
      <w:pPr>
        <w:spacing w:line="480" w:lineRule="auto"/>
        <w:ind w:firstLine="720"/>
        <w:jc w:val="both"/>
        <w:rPr>
          <w:lang w:val="en-CA"/>
        </w:rPr>
      </w:pPr>
      <w:r w:rsidRPr="00233F15">
        <w:rPr>
          <w:lang w:val="en-CA"/>
        </w:rPr>
        <w:t>A challenge to sys</w:t>
      </w:r>
      <w:r w:rsidR="009F54F1">
        <w:rPr>
          <w:lang w:val="en-CA"/>
        </w:rPr>
        <w:t>tematically studying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Large two-gene knockout 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000626FF">
        <w:rPr>
          <w:lang w:val="en-CA"/>
        </w:rPr>
        <w:t xml:space="preserve"> triple</w:t>
      </w:r>
      <w:r w:rsidRPr="00233F15">
        <w:rPr>
          <w:lang w:val="en-CA"/>
        </w:rPr>
        <w:t xml:space="preserv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w:t>
      </w:r>
      <w:r w:rsidRPr="00233F15">
        <w:rPr>
          <w:lang w:val="en-CA"/>
        </w:rPr>
        <w:lastRenderedPageBreak/>
        <w:t>feasible.</w:t>
      </w:r>
      <w:r>
        <w:rPr>
          <w:lang w:val="en-CA"/>
        </w:rPr>
        <w:t xml:space="preserve">  </w:t>
      </w:r>
      <w:r w:rsidR="00F21C86">
        <w:rPr>
          <w:lang w:val="en-CA"/>
        </w:rPr>
        <w:t>Because of these limitations</w:t>
      </w:r>
      <w:r w:rsidR="007039E1" w:rsidRPr="00233F15">
        <w:rPr>
          <w:lang w:val="en-CA"/>
        </w:rPr>
        <w:t xml:space="preserve">,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4A19AB5A"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BB4C18">
        <w:rPr>
          <w:lang w:val="en-CA"/>
        </w:rPr>
        <w:t xml:space="preserve"> to isolate and characterize</w:t>
      </w:r>
      <w:r w:rsidR="007D7CF2" w:rsidRPr="00233F15">
        <w:rPr>
          <w:lang w:val="en-CA"/>
        </w:rPr>
        <w:t xml:space="preserv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70A80454" w14:textId="70F5758E" w:rsidR="00B0183A" w:rsidRPr="00E217D9" w:rsidRDefault="006D40FF" w:rsidP="00E217D9">
      <w:pPr>
        <w:spacing w:line="480" w:lineRule="auto"/>
        <w:ind w:firstLine="720"/>
        <w:jc w:val="both"/>
        <w:rPr>
          <w:rFonts w:eastAsia="Times New Roman"/>
          <w:color w:val="000000" w:themeColor="text1"/>
        </w:rPr>
      </w:pPr>
      <w:r>
        <w:rPr>
          <w:lang w:val="en-CA"/>
        </w:rPr>
        <w:t>Here we describe</w:t>
      </w:r>
      <w:r w:rsidR="00E217D9">
        <w:rPr>
          <w:lang w:val="en-CA"/>
        </w:rPr>
        <w:t xml:space="preserve"> a cross-based population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 xml:space="preserve">strategy to study arbitrarily complex </w:t>
      </w:r>
      <w:r w:rsidR="00E217D9">
        <w:rPr>
          <w:rFonts w:eastAsia="Times New Roman"/>
        </w:rPr>
        <w:t>growth</w:t>
      </w:r>
      <w:r w:rsidR="00E217D9" w:rsidRPr="00233F15">
        <w:rPr>
          <w:rFonts w:eastAsia="Times New Roman"/>
        </w:rPr>
        <w:t xml:space="preserve"> phenotypes</w:t>
      </w:r>
      <w:r w:rsidR="00E217D9">
        <w:rPr>
          <w:rFonts w:eastAsia="Times New Roman"/>
        </w:rPr>
        <w:t xml:space="preserve"> 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and reproducible multi-knockout relationships, </w:t>
      </w:r>
      <w:r w:rsidR="00E217D9">
        <w:rPr>
          <w:rFonts w:eastAsia="Times New Roman"/>
          <w:color w:val="000000" w:themeColor="text1"/>
        </w:rPr>
        <w:t>and further explore the biological basis of one these traits, demonstrating</w:t>
      </w:r>
      <w:r w:rsidR="002810DC" w:rsidRPr="00233F15">
        <w:rPr>
          <w:rFonts w:eastAsia="Times New Roman"/>
          <w:color w:val="000000" w:themeColor="text1"/>
        </w:rPr>
        <w:t xml:space="preserve"> the potential of </w:t>
      </w:r>
      <w:r w:rsidR="001461BC">
        <w:rPr>
          <w:rFonts w:eastAsia="Times New Roman"/>
          <w:color w:val="000000" w:themeColor="text1"/>
        </w:rPr>
        <w:t>targeted</w:t>
      </w:r>
      <w:r w:rsidR="002810DC" w:rsidRPr="00233F15">
        <w:rPr>
          <w:rFonts w:eastAsia="Times New Roman"/>
          <w:color w:val="000000" w:themeColor="text1"/>
        </w:rPr>
        <w:t xml:space="preserve">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5E63CDB8" w14:textId="1A75FEF1" w:rsidR="00E47F5E" w:rsidRDefault="000F65CF" w:rsidP="00E47F5E">
      <w:pPr>
        <w:spacing w:line="480" w:lineRule="auto"/>
        <w:outlineLvl w:val="0"/>
        <w:rPr>
          <w:b/>
          <w:bCs/>
          <w:iCs/>
          <w:color w:val="000000" w:themeColor="text1"/>
        </w:rPr>
      </w:pPr>
      <w:r>
        <w:rPr>
          <w:b/>
          <w:bCs/>
          <w:iCs/>
          <w:color w:val="000000" w:themeColor="text1"/>
        </w:rPr>
        <w:lastRenderedPageBreak/>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2705669A" w14:textId="06B346EC" w:rsidR="00CD405B" w:rsidRDefault="00675487" w:rsidP="00564D92">
      <w:pPr>
        <w:spacing w:line="480" w:lineRule="auto"/>
        <w:ind w:firstLine="720"/>
        <w:jc w:val="both"/>
        <w:rPr>
          <w:lang w:val="en-CA"/>
        </w:rPr>
      </w:pPr>
      <w:r>
        <w:rPr>
          <w:bCs/>
          <w:iCs/>
          <w:color w:val="000000" w:themeColor="text1"/>
        </w:rPr>
        <w:t xml:space="preserve">One method to introduce </w:t>
      </w:r>
      <w:r w:rsidRPr="002456C5">
        <w:rPr>
          <w:lang w:val="en-CA"/>
        </w:rPr>
        <w:t xml:space="preserve">variation </w:t>
      </w:r>
      <w:r w:rsidRPr="002456C5">
        <w:rPr>
          <w:i/>
          <w:lang w:val="en-CA"/>
        </w:rPr>
        <w:t>en masse</w:t>
      </w:r>
      <w:r>
        <w:rPr>
          <w:i/>
          <w:lang w:val="en-CA"/>
        </w:rPr>
        <w:t xml:space="preserve"> </w:t>
      </w:r>
      <w:r>
        <w:rPr>
          <w:lang w:val="en-CA"/>
        </w:rPr>
        <w:t xml:space="preserve">is through a cross </w:t>
      </w:r>
      <w:r w:rsidR="00973108">
        <w:rPr>
          <w:lang w:val="en-CA"/>
        </w:rPr>
        <w:t xml:space="preserve">between two divergent strains, so that all progeny inherit a random variant </w:t>
      </w:r>
      <w:r w:rsidR="00E56229">
        <w:rPr>
          <w:lang w:val="en-CA"/>
        </w:rPr>
        <w:t>at all polymorphic positions</w:t>
      </w:r>
      <w:r w:rsidR="00E56229" w:rsidRPr="002456C5">
        <w:rPr>
          <w:lang w:val="en-CA"/>
        </w:rPr>
        <w:fldChar w:fldCharType="begin" w:fldLock="1"/>
      </w:r>
      <w:r w:rsidR="00E5622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xml:space="preserve">.  These ‘genome-wide’ variants are </w:t>
      </w:r>
      <w:r w:rsidR="00E56229" w:rsidRPr="002456C5">
        <w:rPr>
          <w:lang w:val="en-CA"/>
        </w:rPr>
        <w:t>then statistically associated to traits of interest</w:t>
      </w:r>
      <w:r w:rsidR="00E56229">
        <w:rPr>
          <w:lang w:val="en-CA"/>
        </w:rPr>
        <w:t xml:space="preserve">. While this cross-based strategy offers straightforward engineering of multi-variant strains, it is </w:t>
      </w:r>
      <w:r w:rsidR="00E56229" w:rsidRPr="00885C71">
        <w:rPr>
          <w:lang w:val="en-CA"/>
        </w:rPr>
        <w:t xml:space="preserve">limited to naturally occurring variants of unknown </w:t>
      </w:r>
      <w:r w:rsidR="00EF0BF0">
        <w:rPr>
          <w:lang w:val="en-CA"/>
        </w:rPr>
        <w:t>effect</w:t>
      </w:r>
      <w:r w:rsidR="00E56229" w:rsidRPr="00885C71">
        <w:rPr>
          <w:lang w:val="en-CA"/>
        </w:rPr>
        <w:t xml:space="preserve">, </w:t>
      </w:r>
      <w:r w:rsidR="00EF0BF0">
        <w:rPr>
          <w:lang w:val="en-CA"/>
        </w:rPr>
        <w:t xml:space="preserve">and linkage between variants further confounds association with causality. Thus, </w:t>
      </w:r>
      <w:r w:rsidR="00E56229" w:rsidRPr="00885C71">
        <w:rPr>
          <w:lang w:val="en-CA"/>
        </w:rPr>
        <w:t xml:space="preserve">biological interpretation and functional </w:t>
      </w:r>
      <w:r w:rsidR="00DB6159">
        <w:rPr>
          <w:lang w:val="en-CA"/>
        </w:rPr>
        <w:t>insight</w:t>
      </w:r>
      <w:r w:rsidR="00E56229" w:rsidRPr="00885C71">
        <w:rPr>
          <w:lang w:val="en-CA"/>
        </w:rPr>
        <w:t xml:space="preserve"> </w:t>
      </w:r>
      <w:r w:rsidR="00EF0BF0">
        <w:rPr>
          <w:lang w:val="en-CA"/>
        </w:rPr>
        <w:t>become</w:t>
      </w:r>
      <w:r w:rsidR="007A0F8D">
        <w:rPr>
          <w:lang w:val="en-CA"/>
        </w:rPr>
        <w:t xml:space="preserve">s difficult and limited.  Furthermore, the genome-wide scope </w:t>
      </w:r>
      <w:r w:rsidR="00E56229">
        <w:rPr>
          <w:lang w:val="en-CA"/>
        </w:rPr>
        <w:t>requires prohibitively many strains for</w:t>
      </w:r>
      <w:r w:rsidR="00E56229" w:rsidRPr="00885C71">
        <w:rPr>
          <w:lang w:val="en-CA"/>
        </w:rPr>
        <w:t xml:space="preserve"> find</w:t>
      </w:r>
      <w:r w:rsidR="00E56229">
        <w:rPr>
          <w:lang w:val="en-CA"/>
        </w:rPr>
        <w:t>ing</w:t>
      </w:r>
      <w:r w:rsidR="00E56229" w:rsidRPr="00885C71">
        <w:rPr>
          <w:lang w:val="en-CA"/>
        </w:rPr>
        <w:t xml:space="preserve"> complex interactions.</w:t>
      </w:r>
      <w:r w:rsidR="00E56229">
        <w:rPr>
          <w:lang w:val="en-CA"/>
        </w:rPr>
        <w:t xml:space="preserve">  </w:t>
      </w:r>
      <w:r w:rsidR="00564D92">
        <w:rPr>
          <w:lang w:val="en-CA"/>
        </w:rPr>
        <w:t>While</w:t>
      </w:r>
      <w:r w:rsidR="004325B9">
        <w:rPr>
          <w:lang w:val="en-CA"/>
        </w:rPr>
        <w:t xml:space="preserve"> molecular tools allow for</w:t>
      </w:r>
      <w:r w:rsidR="00564D92">
        <w:rPr>
          <w:lang w:val="en-CA"/>
        </w:rPr>
        <w:t xml:space="preserve"> precise genetic modifications to overcome these limitations, they often require each strain to be in</w:t>
      </w:r>
      <w:r w:rsidR="000D0B5B">
        <w:rPr>
          <w:lang w:val="en-CA"/>
        </w:rPr>
        <w:t>di</w:t>
      </w:r>
      <w:r w:rsidR="00564D92">
        <w:rPr>
          <w:lang w:val="en-CA"/>
        </w:rPr>
        <w:t>vidually engineered.</w:t>
      </w:r>
      <w:r w:rsidR="00564D92" w:rsidRPr="00564D92">
        <w:rPr>
          <w:lang w:val="en-CA"/>
        </w:rPr>
        <w:t xml:space="preserve"> </w:t>
      </w:r>
      <w:r w:rsidR="00564D92">
        <w:rPr>
          <w:lang w:val="en-CA"/>
        </w:rPr>
        <w:t xml:space="preserve"> A ‘hybrid’ </w:t>
      </w:r>
      <w:r w:rsidR="000D060F">
        <w:rPr>
          <w:lang w:val="en-CA"/>
        </w:rPr>
        <w:t xml:space="preserve">strategy where one or </w:t>
      </w:r>
      <w:r w:rsidR="00A834FB">
        <w:rPr>
          <w:lang w:val="en-CA"/>
        </w:rPr>
        <w:t>few strains containing all</w:t>
      </w:r>
      <w:r w:rsidR="00564D92">
        <w:rPr>
          <w:lang w:val="en-CA"/>
        </w:rPr>
        <w:t xml:space="preserve"> desired variants are engineered using molecular tools, and </w:t>
      </w:r>
      <w:r w:rsidR="00A834FB">
        <w:rPr>
          <w:lang w:val="en-CA"/>
        </w:rPr>
        <w:t xml:space="preserve">then </w:t>
      </w:r>
      <w:r w:rsidR="00564D92">
        <w:rPr>
          <w:lang w:val="en-CA"/>
        </w:rPr>
        <w:t>segregated randomly over a population using a controlled cross overcomes the above limitations.</w:t>
      </w:r>
      <w:r w:rsidR="007A0F8D">
        <w:rPr>
          <w:lang w:val="en-CA"/>
        </w:rPr>
        <w:t xml:space="preserve"> </w:t>
      </w:r>
    </w:p>
    <w:p w14:paraId="1E7CEFD8" w14:textId="4B23C5AA" w:rsidR="00BC68C5" w:rsidRPr="00E360A0" w:rsidRDefault="007A0F8D" w:rsidP="00D20906">
      <w:pPr>
        <w:spacing w:line="480" w:lineRule="auto"/>
        <w:ind w:firstLine="720"/>
        <w:jc w:val="both"/>
        <w:outlineLvl w:val="0"/>
        <w:rPr>
          <w:bCs/>
          <w:iCs/>
          <w:color w:val="000000" w:themeColor="text1"/>
        </w:rPr>
      </w:pPr>
      <w:r>
        <w:rPr>
          <w:lang w:val="en-CA"/>
        </w:rPr>
        <w:t xml:space="preserve">Once the desired variation is engineered, molecular tools must be further used to </w:t>
      </w:r>
      <w:r w:rsidR="00967B1D">
        <w:rPr>
          <w:bCs/>
          <w:iCs/>
          <w:color w:val="000000" w:themeColor="text1"/>
        </w:rPr>
        <w:t xml:space="preserve">allow </w:t>
      </w:r>
      <w:r w:rsidR="000D060F">
        <w:rPr>
          <w:bCs/>
          <w:iCs/>
          <w:color w:val="000000" w:themeColor="text1"/>
        </w:rPr>
        <w:t xml:space="preserve">for population-level </w:t>
      </w:r>
      <w:r w:rsidR="00000E31">
        <w:rPr>
          <w:bCs/>
          <w:iCs/>
          <w:color w:val="000000" w:themeColor="text1"/>
        </w:rPr>
        <w:t>identification, genotyping, and phenotyping of each strain</w:t>
      </w:r>
      <w:r w:rsidR="007F07A8">
        <w:rPr>
          <w:bCs/>
          <w:iCs/>
          <w:color w:val="000000" w:themeColor="text1"/>
        </w:rPr>
        <w:t xml:space="preserve">.  </w:t>
      </w:r>
      <w:r w:rsidR="00D535E5">
        <w:rPr>
          <w:bCs/>
          <w:iCs/>
          <w:color w:val="000000" w:themeColor="text1"/>
        </w:rPr>
        <w:t xml:space="preserve">Strain identification is </w:t>
      </w:r>
      <w:r w:rsidR="00967B1D">
        <w:rPr>
          <w:bCs/>
          <w:iCs/>
          <w:color w:val="000000" w:themeColor="text1"/>
        </w:rPr>
        <w:t xml:space="preserve">first </w:t>
      </w:r>
      <w:r w:rsidR="00D535E5">
        <w:rPr>
          <w:bCs/>
          <w:iCs/>
          <w:color w:val="000000" w:themeColor="text1"/>
        </w:rPr>
        <w:t>performed</w:t>
      </w:r>
      <w:r w:rsidR="009D3C60">
        <w:rPr>
          <w:bCs/>
          <w:iCs/>
          <w:color w:val="000000" w:themeColor="text1"/>
        </w:rPr>
        <w:t xml:space="preserve">, as </w:t>
      </w:r>
      <w:r w:rsidR="00967B1D">
        <w:rPr>
          <w:bCs/>
          <w:iCs/>
          <w:color w:val="000000" w:themeColor="text1"/>
        </w:rPr>
        <w:t>an</w:t>
      </w:r>
      <w:r w:rsidR="001C271A">
        <w:rPr>
          <w:bCs/>
          <w:iCs/>
          <w:color w:val="000000" w:themeColor="text1"/>
        </w:rPr>
        <w:t xml:space="preserve">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and a phenotype</w:t>
      </w:r>
      <w:r w:rsidR="00E91B54">
        <w:rPr>
          <w:bCs/>
          <w:iCs/>
          <w:color w:val="000000" w:themeColor="text1"/>
        </w:rPr>
        <w:t>.  Straightforward</w:t>
      </w:r>
      <w:r w:rsidR="00A12B7E">
        <w:rPr>
          <w:bCs/>
          <w:iCs/>
          <w:color w:val="000000" w:themeColor="text1"/>
        </w:rPr>
        <w:t xml:space="preserve">ly, </w:t>
      </w:r>
      <w:r w:rsidR="00E91B54">
        <w:rPr>
          <w:bCs/>
          <w:iCs/>
          <w:color w:val="000000" w:themeColor="text1"/>
        </w:rPr>
        <w:t xml:space="preserve">a </w:t>
      </w:r>
      <w:r w:rsidR="003C773F">
        <w:rPr>
          <w:bCs/>
          <w:iCs/>
          <w:color w:val="000000" w:themeColor="text1"/>
        </w:rPr>
        <w:t>DNA barcode identifier</w:t>
      </w:r>
      <w:r w:rsidR="003C773F">
        <w:rPr>
          <w:bCs/>
          <w:iCs/>
          <w:color w:val="000000" w:themeColor="text1"/>
        </w:rPr>
        <w:fldChar w:fldCharType="begin" w:fldLock="1"/>
      </w:r>
      <w:r w:rsidR="003C773F">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"&lt;sup&gt;20&lt;/sup&gt;", "plainTextFormattedCitation" : "20", "previouslyFormattedCitation" : "&lt;sup&gt;20&lt;/sup&gt;" }, "properties" : { "noteIndex" : 0 }, "schema" : "https://github.com/citation-style-language/schema/raw/master/csl-citation.json" }</w:instrText>
      </w:r>
      <w:r w:rsidR="003C773F">
        <w:rPr>
          <w:bCs/>
          <w:iCs/>
          <w:color w:val="000000" w:themeColor="text1"/>
        </w:rPr>
        <w:fldChar w:fldCharType="separate"/>
      </w:r>
      <w:r w:rsidR="003C773F" w:rsidRPr="00232D4F">
        <w:rPr>
          <w:bCs/>
          <w:iCs/>
          <w:noProof/>
          <w:color w:val="000000" w:themeColor="text1"/>
          <w:vertAlign w:val="superscript"/>
        </w:rPr>
        <w:t>20</w:t>
      </w:r>
      <w:r w:rsidR="003C773F">
        <w:rPr>
          <w:bCs/>
          <w:iCs/>
          <w:color w:val="000000" w:themeColor="text1"/>
        </w:rPr>
        <w:fldChar w:fldCharType="end"/>
      </w:r>
      <w:r w:rsidR="00E91B54">
        <w:rPr>
          <w:bCs/>
          <w:iCs/>
          <w:color w:val="000000" w:themeColor="text1"/>
        </w:rPr>
        <w:t xml:space="preserve"> </w:t>
      </w:r>
      <w:r w:rsidR="00A12B7E">
        <w:rPr>
          <w:bCs/>
          <w:iCs/>
          <w:color w:val="000000" w:themeColor="text1"/>
        </w:rPr>
        <w:t xml:space="preserve">can be </w:t>
      </w:r>
      <w:r w:rsidR="00E91B54">
        <w:rPr>
          <w:bCs/>
          <w:iCs/>
          <w:color w:val="000000" w:themeColor="text1"/>
        </w:rPr>
        <w:t>integrated into the g</w:t>
      </w:r>
      <w:r w:rsidR="00967B1D">
        <w:rPr>
          <w:bCs/>
          <w:iCs/>
          <w:color w:val="000000" w:themeColor="text1"/>
        </w:rPr>
        <w:t xml:space="preserve">enome </w:t>
      </w:r>
      <w:r w:rsidR="003C773F">
        <w:rPr>
          <w:bCs/>
          <w:iCs/>
          <w:color w:val="000000" w:themeColor="text1"/>
        </w:rPr>
        <w:t>of the engineered strains</w:t>
      </w:r>
      <w:r w:rsidR="00E91B54">
        <w:rPr>
          <w:bCs/>
          <w:iCs/>
          <w:color w:val="000000" w:themeColor="text1"/>
        </w:rPr>
        <w:t>.</w:t>
      </w:r>
      <w:r w:rsidR="00A834FB">
        <w:rPr>
          <w:bCs/>
          <w:iCs/>
          <w:color w:val="000000" w:themeColor="text1"/>
        </w:rPr>
        <w:t xml:space="preserve">  To </w:t>
      </w:r>
      <w:r w:rsidR="00E360A0">
        <w:rPr>
          <w:bCs/>
          <w:iCs/>
          <w:color w:val="000000" w:themeColor="text1"/>
        </w:rPr>
        <w:t xml:space="preserve">perform this at a population level, a parent strain can be transformed with a complex random barcode pool, </w:t>
      </w:r>
      <w:r w:rsidR="001C271A">
        <w:rPr>
          <w:bCs/>
          <w:iCs/>
          <w:color w:val="000000" w:themeColor="text1"/>
        </w:rPr>
        <w:t xml:space="preserve">so that </w:t>
      </w:r>
      <w:r w:rsidR="003C773F">
        <w:rPr>
          <w:bCs/>
          <w:iCs/>
          <w:color w:val="000000" w:themeColor="text1"/>
        </w:rPr>
        <w:t>each progeny inherits a unique barcode.</w:t>
      </w:r>
      <w:r w:rsidR="00E360A0">
        <w:rPr>
          <w:bCs/>
          <w:iCs/>
          <w:color w:val="000000" w:themeColor="text1"/>
        </w:rPr>
        <w:t xml:space="preserve"> </w:t>
      </w:r>
      <w:r w:rsidR="00A1423F">
        <w:rPr>
          <w:bCs/>
          <w:iCs/>
          <w:color w:val="000000" w:themeColor="text1"/>
        </w:rPr>
        <w:t>L</w:t>
      </w:r>
      <w:r w:rsidR="00512B17">
        <w:rPr>
          <w:bCs/>
          <w:iCs/>
          <w:color w:val="000000" w:themeColor="text1"/>
        </w:rPr>
        <w:t>ink</w:t>
      </w:r>
      <w:r w:rsidR="00A1423F">
        <w:rPr>
          <w:bCs/>
          <w:iCs/>
          <w:color w:val="000000" w:themeColor="text1"/>
        </w:rPr>
        <w:t>ing</w:t>
      </w:r>
      <w:r w:rsidR="00512B17">
        <w:rPr>
          <w:bCs/>
          <w:iCs/>
          <w:color w:val="000000" w:themeColor="text1"/>
        </w:rPr>
        <w:t xml:space="preserve"> this barcode identifier to a strain genoty</w:t>
      </w:r>
      <w:r w:rsidR="00A1423F">
        <w:rPr>
          <w:bCs/>
          <w:iCs/>
          <w:color w:val="000000" w:themeColor="text1"/>
        </w:rPr>
        <w:t xml:space="preserve">pe can be performed by sequencing it </w:t>
      </w:r>
      <w:r w:rsidR="00512B17">
        <w:rPr>
          <w:bCs/>
          <w:iCs/>
          <w:color w:val="000000" w:themeColor="text1"/>
        </w:rPr>
        <w:t xml:space="preserve">along with the target loci from each isolated strain. </w:t>
      </w:r>
      <w:r w:rsidR="00E360A0">
        <w:rPr>
          <w:bCs/>
          <w:iCs/>
          <w:color w:val="000000" w:themeColor="text1"/>
        </w:rPr>
        <w:t xml:space="preserve">Additional molecular tools allow for this </w:t>
      </w:r>
      <w:r w:rsidR="0028187A">
        <w:rPr>
          <w:bCs/>
          <w:iCs/>
          <w:color w:val="000000" w:themeColor="text1"/>
        </w:rPr>
        <w:t xml:space="preserve">at a large scale by </w:t>
      </w:r>
      <w:r w:rsidR="00E360A0">
        <w:rPr>
          <w:bCs/>
          <w:iCs/>
          <w:color w:val="000000" w:themeColor="text1"/>
        </w:rPr>
        <w:t>use of another</w:t>
      </w:r>
      <w:r w:rsidR="0028187A">
        <w:rPr>
          <w:bCs/>
          <w:iCs/>
          <w:color w:val="000000" w:themeColor="text1"/>
        </w:rPr>
        <w:t xml:space="preserve"> molecular tag </w:t>
      </w:r>
      <w:r w:rsidR="00C06D1D">
        <w:rPr>
          <w:bCs/>
          <w:iCs/>
          <w:color w:val="000000" w:themeColor="text1"/>
        </w:rPr>
        <w:t>to identify</w:t>
      </w:r>
      <w:r w:rsidR="00E360A0">
        <w:rPr>
          <w:bCs/>
          <w:iCs/>
          <w:color w:val="000000" w:themeColor="text1"/>
        </w:rPr>
        <w:t xml:space="preserve"> </w:t>
      </w:r>
      <w:r w:rsidR="00C06D1D">
        <w:rPr>
          <w:bCs/>
          <w:iCs/>
          <w:color w:val="000000" w:themeColor="text1"/>
        </w:rPr>
        <w:t xml:space="preserve">sequencing </w:t>
      </w:r>
      <w:r w:rsidR="00E360A0">
        <w:rPr>
          <w:bCs/>
          <w:iCs/>
          <w:color w:val="000000" w:themeColor="text1"/>
        </w:rPr>
        <w:t xml:space="preserve">products </w:t>
      </w:r>
      <w:r w:rsidR="00C06D1D">
        <w:rPr>
          <w:bCs/>
          <w:iCs/>
          <w:color w:val="000000" w:themeColor="text1"/>
        </w:rPr>
        <w:t xml:space="preserve">arising from the same progeny, </w:t>
      </w:r>
      <w:r w:rsidR="00C06D1D">
        <w:rPr>
          <w:bCs/>
          <w:iCs/>
          <w:color w:val="000000" w:themeColor="text1"/>
        </w:rPr>
        <w:lastRenderedPageBreak/>
        <w:t>enabling</w:t>
      </w:r>
      <w:r w:rsidR="0028187A">
        <w:rPr>
          <w:bCs/>
          <w:iCs/>
          <w:color w:val="000000" w:themeColor="text1"/>
        </w:rPr>
        <w:t xml:space="preserve"> pooling</w:t>
      </w:r>
      <w:r w:rsidR="00A12B7E">
        <w:rPr>
          <w:bCs/>
          <w:iCs/>
          <w:color w:val="000000" w:themeColor="text1"/>
        </w:rPr>
        <w:t xml:space="preserve"> </w:t>
      </w:r>
      <w:r w:rsidR="0028187A">
        <w:rPr>
          <w:bCs/>
          <w:iCs/>
          <w:color w:val="000000" w:themeColor="text1"/>
        </w:rPr>
        <w:t xml:space="preserve">and subsequent </w:t>
      </w:r>
      <w:r w:rsidR="00A12B7E">
        <w:rPr>
          <w:bCs/>
          <w:iCs/>
          <w:color w:val="000000" w:themeColor="text1"/>
        </w:rPr>
        <w:t>high-throughput sequencing</w:t>
      </w:r>
      <w:r w:rsidR="00E91B54">
        <w:rPr>
          <w:bCs/>
          <w:iCs/>
          <w:color w:val="000000" w:themeColor="text1"/>
        </w:rPr>
        <w:t xml:space="preserve">. </w:t>
      </w:r>
      <w:r w:rsidR="00C43186">
        <w:rPr>
          <w:bCs/>
          <w:iCs/>
          <w:color w:val="000000" w:themeColor="text1"/>
        </w:rPr>
        <w:t>To perform high-throughput growth profiling, strain barcode abundance can be measured over time in a competitive pool</w:t>
      </w:r>
      <w:r w:rsidR="00C43186">
        <w:rPr>
          <w:bCs/>
          <w:iCs/>
          <w:color w:val="000000" w:themeColor="text1"/>
        </w:rPr>
        <w:fldChar w:fldCharType="begin" w:fldLock="1"/>
      </w:r>
      <w:r w:rsidR="00C43186">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C43186">
        <w:rPr>
          <w:bCs/>
          <w:iCs/>
          <w:color w:val="000000" w:themeColor="text1"/>
        </w:rPr>
        <w:fldChar w:fldCharType="separate"/>
      </w:r>
      <w:r w:rsidR="00C43186" w:rsidRPr="00232D4F">
        <w:rPr>
          <w:bCs/>
          <w:iCs/>
          <w:noProof/>
          <w:color w:val="000000" w:themeColor="text1"/>
          <w:vertAlign w:val="superscript"/>
        </w:rPr>
        <w:t>21</w:t>
      </w:r>
      <w:r w:rsidR="00C43186">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Ult</w:t>
      </w:r>
      <w:r w:rsidR="002E20D7">
        <w:rPr>
          <w:bCs/>
          <w:iCs/>
          <w:color w:val="000000" w:themeColor="text1"/>
        </w:rPr>
        <w:t xml:space="preserve">imately, </w:t>
      </w:r>
      <w:r w:rsidR="00D20906">
        <w:rPr>
          <w:bCs/>
          <w:iCs/>
          <w:color w:val="000000" w:themeColor="text1"/>
        </w:rPr>
        <w:t>the combination of molecular engineering tools with cross-based approaches results in</w:t>
      </w:r>
      <w:r w:rsidR="002E20D7">
        <w:rPr>
          <w:bCs/>
          <w:iCs/>
          <w:color w:val="000000" w:themeColor="text1"/>
        </w:rPr>
        <w:t xml:space="preserve"> </w:t>
      </w:r>
      <w:r w:rsidR="00380D70">
        <w:rPr>
          <w:bCs/>
          <w:iCs/>
          <w:color w:val="000000" w:themeColor="text1"/>
        </w:rPr>
        <w:t>a large population of 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w:t>
      </w:r>
      <w:r w:rsidR="00D20906">
        <w:rPr>
          <w:bCs/>
          <w:iCs/>
          <w:color w:val="000000" w:themeColor="text1"/>
        </w:rPr>
        <w:t xml:space="preserve">readily </w:t>
      </w:r>
      <w:r w:rsidR="00433194">
        <w:rPr>
          <w:bCs/>
          <w:iCs/>
          <w:color w:val="000000" w:themeColor="text1"/>
        </w:rPr>
        <w:t>characterized</w:t>
      </w:r>
      <w:r w:rsidR="00FB5C56">
        <w:rPr>
          <w:bCs/>
          <w:iCs/>
          <w:color w:val="000000" w:themeColor="text1"/>
        </w:rPr>
        <w:t xml:space="preserve"> </w:t>
      </w:r>
      <w:r w:rsidR="002400D6">
        <w:rPr>
          <w:bCs/>
          <w:iCs/>
          <w:color w:val="000000" w:themeColor="text1"/>
        </w:rPr>
        <w:t>in-depth</w:t>
      </w:r>
      <w:r w:rsidR="00FB5C56">
        <w:rPr>
          <w:bCs/>
          <w:iCs/>
          <w:color w:val="000000" w:themeColor="text1"/>
        </w:rPr>
        <w:t xml:space="preserve"> under multiple conditions.</w:t>
      </w:r>
    </w:p>
    <w:p w14:paraId="6DF3C2E4" w14:textId="77777777" w:rsidR="00027FD5" w:rsidRDefault="00027FD5" w:rsidP="00D73C15">
      <w:pPr>
        <w:spacing w:line="480" w:lineRule="auto"/>
        <w:outlineLvl w:val="0"/>
        <w:rPr>
          <w:b/>
          <w:bCs/>
          <w:iCs/>
          <w:color w:val="000000" w:themeColor="text1"/>
        </w:rPr>
      </w:pPr>
    </w:p>
    <w:p w14:paraId="606BC389" w14:textId="2998B0E5" w:rsidR="000F6B5B" w:rsidRDefault="00D20906" w:rsidP="00D73C15">
      <w:pPr>
        <w:spacing w:line="480" w:lineRule="auto"/>
        <w:outlineLvl w:val="0"/>
        <w:rPr>
          <w:b/>
          <w:bCs/>
          <w:iCs/>
          <w:color w:val="000000" w:themeColor="text1"/>
        </w:rPr>
      </w:pPr>
      <w:r>
        <w:rPr>
          <w:b/>
          <w:bCs/>
          <w:iCs/>
          <w:color w:val="000000" w:themeColor="text1"/>
        </w:rPr>
        <w:t>The Barcoder Pool: A Tool for Population Engineering</w:t>
      </w:r>
    </w:p>
    <w:p w14:paraId="7824FAFB" w14:textId="4E0AC085" w:rsidR="00C451B2" w:rsidRDefault="00B37241" w:rsidP="0065711E">
      <w:pPr>
        <w:spacing w:line="480" w:lineRule="auto"/>
        <w:ind w:firstLine="720"/>
        <w:jc w:val="both"/>
        <w:outlineLvl w:val="0"/>
        <w:rPr>
          <w:bCs/>
          <w:iCs/>
          <w:color w:val="000000" w:themeColor="text1"/>
        </w:rPr>
      </w:pPr>
      <w:r>
        <w:rPr>
          <w:bCs/>
          <w:iCs/>
          <w:color w:val="000000" w:themeColor="text1"/>
        </w:rPr>
        <w:t xml:space="preserve">One challenge towards population engineering is the introduction of a unique molecular barcode to each strain.  </w:t>
      </w:r>
      <w:r w:rsidR="0039455E">
        <w:rPr>
          <w:bCs/>
          <w:iCs/>
          <w:color w:val="000000" w:themeColor="text1"/>
        </w:rPr>
        <w:t>To perform this step at a large scale and create a general tool for the profiling of any target gene set, we created a complex pool of ‘barcoder strains’</w:t>
      </w:r>
      <w:r w:rsidR="0065711E">
        <w:rPr>
          <w:bCs/>
          <w:iCs/>
          <w:color w:val="000000" w:themeColor="text1"/>
        </w:rPr>
        <w:t xml:space="preserve"> by transforming </w:t>
      </w:r>
      <w:r w:rsidR="00AC1E66">
        <w:rPr>
          <w:bCs/>
          <w:iCs/>
          <w:color w:val="000000" w:themeColor="text1"/>
        </w:rPr>
        <w:t xml:space="preserve">a </w:t>
      </w:r>
      <w:r w:rsidR="00EB493B">
        <w:rPr>
          <w:bCs/>
          <w:iCs/>
          <w:color w:val="000000" w:themeColor="text1"/>
        </w:rPr>
        <w:t xml:space="preserve">wild-type </w:t>
      </w:r>
      <w:r w:rsidR="00B209EB">
        <w:rPr>
          <w:bCs/>
          <w:iCs/>
          <w:color w:val="000000" w:themeColor="text1"/>
        </w:rPr>
        <w:t xml:space="preserve">RY0148 strain with a </w:t>
      </w:r>
      <w:r w:rsidR="004F5471">
        <w:rPr>
          <w:bCs/>
          <w:iCs/>
          <w:color w:val="000000" w:themeColor="text1"/>
        </w:rPr>
        <w:t xml:space="preserve">large </w:t>
      </w:r>
      <w:r w:rsidR="00B209EB">
        <w:rPr>
          <w:bCs/>
          <w:iCs/>
          <w:color w:val="000000" w:themeColor="text1"/>
        </w:rPr>
        <w:t>pool</w:t>
      </w:r>
      <w:r w:rsidR="00EB493B">
        <w:rPr>
          <w:bCs/>
          <w:iCs/>
          <w:color w:val="000000" w:themeColor="text1"/>
        </w:rPr>
        <w:t xml:space="preserve"> of </w:t>
      </w:r>
      <w:r w:rsidR="00B57C5B">
        <w:rPr>
          <w:bCs/>
          <w:iCs/>
          <w:color w:val="000000" w:themeColor="text1"/>
        </w:rPr>
        <w:t xml:space="preserve">genome-integrated </w:t>
      </w:r>
      <w:r w:rsidR="004F5471">
        <w:rPr>
          <w:bCs/>
          <w:iCs/>
          <w:color w:val="000000" w:themeColor="text1"/>
        </w:rPr>
        <w:t xml:space="preserve">unique </w:t>
      </w:r>
      <w:r w:rsidR="00EB493B" w:rsidRPr="00233F15">
        <w:rPr>
          <w:bCs/>
          <w:iCs/>
          <w:color w:val="000000" w:themeColor="text1"/>
        </w:rPr>
        <w:t>DNA ‘barcode’ tags</w:t>
      </w:r>
      <w:r w:rsidR="00EB493B">
        <w:rPr>
          <w:bCs/>
          <w:iCs/>
          <w:color w:val="000000" w:themeColor="text1"/>
        </w:rPr>
        <w:t xml:space="preserve">.  </w:t>
      </w:r>
      <w:r w:rsidR="007B4032">
        <w:rPr>
          <w:bCs/>
          <w:iCs/>
          <w:color w:val="000000" w:themeColor="text1"/>
        </w:rPr>
        <w:t>T</w:t>
      </w:r>
      <w:r w:rsidR="00B57C5B">
        <w:rPr>
          <w:bCs/>
          <w:iCs/>
          <w:color w:val="000000" w:themeColor="text1"/>
        </w:rPr>
        <w:t xml:space="preserve">o </w:t>
      </w:r>
      <w:r w:rsidR="007924F9">
        <w:rPr>
          <w:bCs/>
          <w:iCs/>
          <w:color w:val="000000" w:themeColor="text1"/>
        </w:rPr>
        <w:t>achieve</w:t>
      </w:r>
      <w:r w:rsidR="00434A1B">
        <w:rPr>
          <w:bCs/>
          <w:iCs/>
          <w:color w:val="000000" w:themeColor="text1"/>
        </w:rPr>
        <w:t xml:space="preserve"> </w:t>
      </w:r>
      <w:r w:rsidR="00B35C35">
        <w:rPr>
          <w:bCs/>
          <w:iCs/>
          <w:color w:val="000000" w:themeColor="text1"/>
        </w:rPr>
        <w:t xml:space="preserve">high </w:t>
      </w:r>
      <w:r w:rsidR="00296E5E">
        <w:rPr>
          <w:bCs/>
          <w:iCs/>
          <w:color w:val="000000" w:themeColor="text1"/>
        </w:rPr>
        <w:t xml:space="preserve">barcode </w:t>
      </w:r>
      <w:r w:rsidR="004F5471">
        <w:rPr>
          <w:bCs/>
          <w:iCs/>
          <w:color w:val="000000" w:themeColor="text1"/>
        </w:rPr>
        <w:t xml:space="preserve">complexity, we used a </w:t>
      </w:r>
      <w:r w:rsidR="006653E1">
        <w:rPr>
          <w:bCs/>
          <w:iCs/>
          <w:color w:val="000000" w:themeColor="text1"/>
        </w:rPr>
        <w:t>Cre-mediated recombination strategy</w:t>
      </w:r>
      <w:r w:rsidR="004659FB">
        <w:rPr>
          <w:bCs/>
          <w:iCs/>
          <w:color w:val="000000" w:themeColor="text1"/>
        </w:rPr>
        <w:t xml:space="preserve">.  </w:t>
      </w:r>
      <w:r w:rsidR="00AC180F">
        <w:rPr>
          <w:bCs/>
          <w:iCs/>
          <w:color w:val="000000" w:themeColor="text1"/>
        </w:rPr>
        <w:t xml:space="preserve">We </w:t>
      </w:r>
      <w:r w:rsidR="0065711E">
        <w:rPr>
          <w:bCs/>
          <w:iCs/>
          <w:color w:val="000000" w:themeColor="text1"/>
        </w:rPr>
        <w:t xml:space="preserve">first </w:t>
      </w:r>
      <w:r w:rsidR="008033F1">
        <w:rPr>
          <w:bCs/>
          <w:iCs/>
          <w:color w:val="000000" w:themeColor="text1"/>
        </w:rPr>
        <w:t>engineered</w:t>
      </w:r>
      <w:r w:rsidR="0065711E">
        <w:rPr>
          <w:bCs/>
          <w:iCs/>
          <w:color w:val="000000" w:themeColor="text1"/>
        </w:rPr>
        <w:t xml:space="preserve"> a </w:t>
      </w:r>
      <w:r w:rsidR="00936319">
        <w:rPr>
          <w:bCs/>
          <w:iCs/>
          <w:color w:val="000000" w:themeColor="text1"/>
        </w:rPr>
        <w:t xml:space="preserve">Loxp/Lox2272 </w:t>
      </w:r>
      <w:r w:rsidR="0065711E">
        <w:rPr>
          <w:bCs/>
          <w:iCs/>
          <w:color w:val="000000" w:themeColor="text1"/>
        </w:rPr>
        <w:t xml:space="preserve">recombination site into RY0148 </w:t>
      </w:r>
      <w:r w:rsidR="0008612D">
        <w:rPr>
          <w:bCs/>
          <w:iCs/>
          <w:color w:val="000000" w:themeColor="text1"/>
        </w:rPr>
        <w:t xml:space="preserve">, then transformed this strain with a </w:t>
      </w:r>
      <w:r w:rsidR="00BE6162">
        <w:rPr>
          <w:bCs/>
          <w:iCs/>
          <w:color w:val="000000" w:themeColor="text1"/>
        </w:rPr>
        <w:t xml:space="preserve">complex pool of </w:t>
      </w:r>
      <w:r w:rsidR="00EE5E3C">
        <w:rPr>
          <w:bCs/>
          <w:iCs/>
          <w:color w:val="000000" w:themeColor="text1"/>
        </w:rPr>
        <w:t xml:space="preserve">Cre-expressing </w:t>
      </w:r>
      <w:r w:rsidR="00BE6162">
        <w:rPr>
          <w:bCs/>
          <w:iCs/>
          <w:color w:val="000000" w:themeColor="text1"/>
        </w:rPr>
        <w:t xml:space="preserve">plasmids containing </w:t>
      </w:r>
      <w:r w:rsidR="003A6038">
        <w:rPr>
          <w:bCs/>
          <w:iCs/>
          <w:color w:val="000000" w:themeColor="text1"/>
        </w:rPr>
        <w:t>two DNA tags (‘</w:t>
      </w:r>
      <w:r w:rsidR="00E2327D">
        <w:rPr>
          <w:bCs/>
          <w:iCs/>
          <w:color w:val="000000" w:themeColor="text1"/>
        </w:rPr>
        <w:t>UP</w:t>
      </w:r>
      <w:r w:rsidR="003A6038">
        <w:rPr>
          <w:bCs/>
          <w:iCs/>
          <w:color w:val="000000" w:themeColor="text1"/>
        </w:rPr>
        <w:t>’</w:t>
      </w:r>
      <w:r w:rsidR="00E2327D">
        <w:rPr>
          <w:bCs/>
          <w:iCs/>
          <w:color w:val="000000" w:themeColor="text1"/>
        </w:rPr>
        <w:t xml:space="preserve"> and </w:t>
      </w:r>
      <w:r w:rsidR="003A6038">
        <w:rPr>
          <w:bCs/>
          <w:iCs/>
          <w:color w:val="000000" w:themeColor="text1"/>
        </w:rPr>
        <w:t>‘</w:t>
      </w:r>
      <w:r w:rsidR="00E2327D">
        <w:rPr>
          <w:bCs/>
          <w:iCs/>
          <w:color w:val="000000" w:themeColor="text1"/>
        </w:rPr>
        <w:t>DN</w:t>
      </w:r>
      <w:r w:rsidR="003A6038">
        <w:rPr>
          <w:bCs/>
          <w:iCs/>
          <w:color w:val="000000" w:themeColor="text1"/>
        </w:rPr>
        <w:t xml:space="preserve">’) </w:t>
      </w:r>
      <w:r w:rsidR="009F77BB">
        <w:rPr>
          <w:bCs/>
          <w:iCs/>
          <w:color w:val="000000" w:themeColor="text1"/>
        </w:rPr>
        <w:t xml:space="preserve">flanked by these sites </w:t>
      </w:r>
      <w:r w:rsidR="005153DF">
        <w:rPr>
          <w:bCs/>
          <w:iCs/>
          <w:color w:val="000000" w:themeColor="text1"/>
        </w:rPr>
        <w:t>(</w:t>
      </w:r>
      <w:r w:rsidR="00655BEC">
        <w:rPr>
          <w:bCs/>
          <w:iCs/>
          <w:color w:val="000000" w:themeColor="text1"/>
        </w:rPr>
        <w:t>Fig. S1,</w:t>
      </w:r>
      <w:r w:rsidR="0077396B">
        <w:rPr>
          <w:bCs/>
          <w:iCs/>
          <w:color w:val="000000" w:themeColor="text1"/>
        </w:rPr>
        <w:t xml:space="preserve"> </w:t>
      </w:r>
      <w:r w:rsidR="005153DF">
        <w:rPr>
          <w:bCs/>
          <w:iCs/>
          <w:color w:val="000000" w:themeColor="text1"/>
        </w:rPr>
        <w:t>Methods)</w:t>
      </w:r>
      <w:r w:rsidR="00B93158">
        <w:rPr>
          <w:bCs/>
          <w:iCs/>
          <w:color w:val="000000" w:themeColor="text1"/>
        </w:rPr>
        <w:t>.</w:t>
      </w:r>
      <w:r w:rsidR="0065711E">
        <w:rPr>
          <w:bCs/>
          <w:iCs/>
          <w:color w:val="000000" w:themeColor="text1"/>
        </w:rPr>
        <w:t xml:space="preserve">  Using Cre</w:t>
      </w:r>
      <w:r w:rsidR="00E433FB">
        <w:rPr>
          <w:bCs/>
          <w:iCs/>
          <w:color w:val="000000" w:themeColor="text1"/>
        </w:rPr>
        <w:t xml:space="preserve"> induction with the appropriate </w:t>
      </w:r>
      <w:r w:rsidR="0065711E">
        <w:rPr>
          <w:bCs/>
          <w:iCs/>
          <w:color w:val="000000" w:themeColor="text1"/>
        </w:rPr>
        <w:t xml:space="preserve">selection conditions, </w:t>
      </w:r>
      <w:r w:rsidR="00621252">
        <w:rPr>
          <w:bCs/>
          <w:iCs/>
          <w:color w:val="000000" w:themeColor="text1"/>
        </w:rPr>
        <w:t>a pool of</w:t>
      </w:r>
      <w:r w:rsidR="006375D2">
        <w:rPr>
          <w:bCs/>
          <w:iCs/>
          <w:color w:val="000000" w:themeColor="text1"/>
        </w:rPr>
        <w:t xml:space="preserve"> </w:t>
      </w:r>
      <w:r w:rsidR="00A4755E">
        <w:rPr>
          <w:bCs/>
          <w:iCs/>
          <w:color w:val="000000" w:themeColor="text1"/>
        </w:rPr>
        <w:t xml:space="preserve">universal </w:t>
      </w:r>
      <w:r w:rsidR="006375D2">
        <w:rPr>
          <w:bCs/>
          <w:iCs/>
          <w:color w:val="000000" w:themeColor="text1"/>
        </w:rPr>
        <w:t xml:space="preserve">barcoder </w:t>
      </w:r>
      <w:r w:rsidR="00A4755E">
        <w:rPr>
          <w:bCs/>
          <w:iCs/>
          <w:color w:val="000000" w:themeColor="text1"/>
        </w:rPr>
        <w:t>parent</w:t>
      </w:r>
      <w:r w:rsidR="0065711E">
        <w:rPr>
          <w:bCs/>
          <w:iCs/>
          <w:color w:val="000000" w:themeColor="text1"/>
        </w:rPr>
        <w:t>s</w:t>
      </w:r>
      <w:r w:rsidR="00D22452">
        <w:rPr>
          <w:bCs/>
          <w:iCs/>
          <w:color w:val="000000" w:themeColor="text1"/>
        </w:rPr>
        <w:t xml:space="preserve"> </w:t>
      </w:r>
      <w:r w:rsidR="0065711E">
        <w:rPr>
          <w:bCs/>
          <w:iCs/>
          <w:color w:val="000000" w:themeColor="text1"/>
        </w:rPr>
        <w:t xml:space="preserve">was created </w:t>
      </w:r>
      <w:r w:rsidR="006375D2">
        <w:rPr>
          <w:bCs/>
          <w:iCs/>
          <w:color w:val="000000" w:themeColor="text1"/>
        </w:rPr>
        <w:t xml:space="preserve">which can be </w:t>
      </w:r>
      <w:r w:rsidR="009F77BB">
        <w:rPr>
          <w:bCs/>
          <w:iCs/>
          <w:color w:val="000000" w:themeColor="text1"/>
        </w:rPr>
        <w:t>used to engineer a population 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655BEC">
        <w:rPr>
          <w:bCs/>
          <w:iCs/>
          <w:color w:val="000000" w:themeColor="text1"/>
        </w:rPr>
        <w:t xml:space="preserve">Fig. S1, </w:t>
      </w:r>
      <w:r w:rsidR="00C56B19">
        <w:rPr>
          <w:bCs/>
          <w:iCs/>
          <w:color w:val="000000" w:themeColor="text1"/>
        </w:rPr>
        <w:t>Methods)</w:t>
      </w:r>
      <w:r w:rsidR="00DE76AE">
        <w:rPr>
          <w:bCs/>
          <w:iCs/>
          <w:color w:val="000000" w:themeColor="text1"/>
        </w:rPr>
        <w:t>.</w:t>
      </w:r>
    </w:p>
    <w:p w14:paraId="6C984264" w14:textId="77777777" w:rsidR="00111A12" w:rsidRDefault="00111A12" w:rsidP="00D73C15">
      <w:pPr>
        <w:spacing w:line="480" w:lineRule="auto"/>
        <w:outlineLvl w:val="0"/>
        <w:rPr>
          <w:b/>
          <w:bCs/>
          <w:iCs/>
          <w:color w:val="000000" w:themeColor="text1"/>
        </w:rPr>
      </w:pPr>
    </w:p>
    <w:p w14:paraId="3B37FF59" w14:textId="17366DEF" w:rsidR="00B0183A" w:rsidRDefault="001461BC" w:rsidP="00D73C15">
      <w:pPr>
        <w:spacing w:line="480" w:lineRule="auto"/>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31958C50" w14:textId="77777777" w:rsidR="00B04AB1" w:rsidRDefault="00B04AB1" w:rsidP="00FF689A">
      <w:pPr>
        <w:spacing w:line="480" w:lineRule="auto"/>
        <w:ind w:firstLine="720"/>
        <w:jc w:val="both"/>
      </w:pPr>
    </w:p>
    <w:p w14:paraId="5134A32A" w14:textId="77777777" w:rsidR="00B04AB1" w:rsidRDefault="00B04AB1" w:rsidP="00FF689A">
      <w:pPr>
        <w:spacing w:line="480" w:lineRule="auto"/>
        <w:ind w:firstLine="720"/>
        <w:jc w:val="both"/>
      </w:pPr>
    </w:p>
    <w:p w14:paraId="2BC4679B" w14:textId="77777777" w:rsidR="00B04AB1" w:rsidRDefault="00B04AB1" w:rsidP="00FF689A">
      <w:pPr>
        <w:spacing w:line="480" w:lineRule="auto"/>
        <w:ind w:firstLine="720"/>
        <w:jc w:val="both"/>
      </w:pPr>
    </w:p>
    <w:p w14:paraId="28C782AC" w14:textId="77777777" w:rsidR="00B04AB1" w:rsidRDefault="00B04AB1" w:rsidP="00FF689A">
      <w:pPr>
        <w:spacing w:line="480" w:lineRule="auto"/>
        <w:ind w:firstLine="720"/>
        <w:jc w:val="both"/>
      </w:pPr>
    </w:p>
    <w:p w14:paraId="08A6B9B2" w14:textId="32E2AF69" w:rsidR="00C451B2" w:rsidRDefault="00B04AB1" w:rsidP="00E4685F">
      <w:pPr>
        <w:spacing w:line="480" w:lineRule="auto"/>
        <w:ind w:firstLine="720"/>
        <w:jc w:val="both"/>
        <w:rPr>
          <w:bCs/>
          <w:iCs/>
          <w:color w:val="000000" w:themeColor="text1"/>
        </w:rPr>
      </w:pPr>
      <w:r>
        <w:lastRenderedPageBreak/>
        <w:t xml:space="preserve">To choose a multi-variant strain </w:t>
      </w:r>
      <w:r w:rsidR="00C63663">
        <w:t>for testing the engineered population profiling approach, we u</w:t>
      </w:r>
      <w:r w:rsidR="00DC472F">
        <w:t xml:space="preserve">sed several criteria.  To make the approach straightforward, we first required that all </w:t>
      </w:r>
      <w:r w:rsidR="006B3A20">
        <w:t xml:space="preserve">segregating </w:t>
      </w:r>
      <w:r w:rsidR="00DC472F">
        <w:t>variation can be engineered into a single parental strain</w:t>
      </w:r>
      <w:r w:rsidR="00E75570">
        <w:t xml:space="preserve"> without major defects</w:t>
      </w:r>
      <w:r w:rsidR="00DC472F">
        <w:t xml:space="preserve">.  </w:t>
      </w:r>
      <w:r w:rsidR="006B3A20">
        <w:t>To e</w:t>
      </w:r>
      <w:r w:rsidR="006209E4">
        <w:t>nsure even representation of knockout combinations</w:t>
      </w:r>
      <w:r w:rsidR="006B3A20">
        <w:t xml:space="preserve">, we required </w:t>
      </w:r>
      <w:r w:rsidR="006209E4">
        <w:t xml:space="preserve">a </w:t>
      </w:r>
      <w:r w:rsidR="006B3A20">
        <w:t>lack of strong linkage between the engineered variants.  To ensure relevance</w:t>
      </w:r>
      <w:r w:rsidR="00E433FB">
        <w:t xml:space="preserve"> and interpretability</w:t>
      </w:r>
      <w:r w:rsidR="006B3A20">
        <w:t>, we required that the genes chosen are</w:t>
      </w:r>
      <w:r w:rsidR="00E433FB">
        <w:t xml:space="preserve"> conserved in humans and have </w:t>
      </w:r>
      <w:r w:rsidR="0038634B">
        <w:t>many phenotypes</w:t>
      </w:r>
      <w:r w:rsidR="00E433FB">
        <w:t xml:space="preserve"> already</w:t>
      </w:r>
      <w:r w:rsidR="006B3A20">
        <w:t xml:space="preserve"> </w:t>
      </w:r>
      <w:r w:rsidR="00E433FB">
        <w:t>reported in the literature</w:t>
      </w:r>
      <w:r w:rsidR="00E75570">
        <w:t xml:space="preserve">, including </w:t>
      </w:r>
      <w:r w:rsidR="0038634B">
        <w:t>genetic interactions</w:t>
      </w:r>
      <w:r w:rsidR="00E433FB">
        <w:t xml:space="preserve">.  Fulfilling </w:t>
      </w:r>
      <w:r w:rsidR="005F4A2F">
        <w:t xml:space="preserve">all </w:t>
      </w:r>
      <w:r w:rsidR="00E433FB">
        <w:t xml:space="preserve">these criteria, we </w:t>
      </w:r>
      <w:r w:rsidR="00E4685F">
        <w:rPr>
          <w:bCs/>
          <w:iCs/>
          <w:color w:val="000000" w:themeColor="text1"/>
        </w:rPr>
        <w:t xml:space="preserve">used a previously-created </w:t>
      </w:r>
      <w:r w:rsidR="00E4685F" w:rsidRPr="00233F15">
        <w:rPr>
          <w:bCs/>
          <w:iCs/>
          <w:color w:val="000000" w:themeColor="text1"/>
        </w:rPr>
        <w:t>strain</w:t>
      </w:r>
      <w:r w:rsidR="00DB680A">
        <w:rPr>
          <w:bCs/>
          <w:iCs/>
          <w:color w:val="000000" w:themeColor="text1"/>
        </w:rPr>
        <w:t xml:space="preserve"> with deletions at 16 ATP Binding Cassette</w:t>
      </w:r>
      <w:r w:rsidR="00E4685F">
        <w:rPr>
          <w:bCs/>
          <w:iCs/>
          <w:color w:val="000000" w:themeColor="text1"/>
        </w:rPr>
        <w:t xml:space="preserve"> transporters (ABC-16)</w:t>
      </w:r>
      <w:r w:rsidR="00E4685F" w:rsidRPr="00233F15">
        <w:rPr>
          <w:bCs/>
          <w:iCs/>
          <w:color w:val="000000" w:themeColor="text1"/>
        </w:rPr>
        <w:fldChar w:fldCharType="begin" w:fldLock="1"/>
      </w:r>
      <w:r w:rsidR="00E4685F"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E4685F" w:rsidRPr="00233F15">
        <w:rPr>
          <w:bCs/>
          <w:iCs/>
          <w:color w:val="000000" w:themeColor="text1"/>
        </w:rPr>
        <w:fldChar w:fldCharType="separate"/>
      </w:r>
      <w:r w:rsidR="00E4685F" w:rsidRPr="00233F15">
        <w:rPr>
          <w:bCs/>
          <w:iCs/>
          <w:noProof/>
          <w:color w:val="000000" w:themeColor="text1"/>
          <w:vertAlign w:val="superscript"/>
        </w:rPr>
        <w:t>15</w:t>
      </w:r>
      <w:r w:rsidR="00E4685F" w:rsidRPr="00233F15">
        <w:rPr>
          <w:bCs/>
          <w:iCs/>
          <w:color w:val="000000" w:themeColor="text1"/>
        </w:rPr>
        <w:fldChar w:fldCharType="end"/>
      </w:r>
      <w:r w:rsidR="00E4685F">
        <w:rPr>
          <w:bCs/>
          <w:iCs/>
          <w:color w:val="000000" w:themeColor="text1"/>
        </w:rPr>
        <w:t xml:space="preserve">. </w:t>
      </w:r>
      <w:r w:rsidR="00DB680A">
        <w:rPr>
          <w:bCs/>
          <w:iCs/>
          <w:color w:val="000000" w:themeColor="text1"/>
        </w:rPr>
        <w:t xml:space="preserve"> </w:t>
      </w:r>
      <w:r w:rsidR="00E4685F">
        <w:t>Part of a large gene family with over 10,000 members across all three domains of life</w:t>
      </w:r>
      <w:r w:rsidR="00E4685F">
        <w:fldChar w:fldCharType="begin" w:fldLock="1"/>
      </w:r>
      <w:r w:rsidR="00E4685F">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"&lt;sup&gt;22&lt;/sup&gt;", "plainTextFormattedCitation" : "22", "previouslyFormattedCitation" : "&lt;sup&gt;23&lt;/sup&gt;" }, "properties" : { "noteIndex" : 0 }, "schema" : "https://github.com/citation-style-language/schema/raw/master/csl-citation.json" }</w:instrText>
      </w:r>
      <w:r w:rsidR="00E4685F">
        <w:fldChar w:fldCharType="separate"/>
      </w:r>
      <w:r w:rsidR="00E4685F" w:rsidRPr="00E27D1C">
        <w:rPr>
          <w:noProof/>
          <w:vertAlign w:val="superscript"/>
        </w:rPr>
        <w:t>22</w:t>
      </w:r>
      <w:r w:rsidR="00E4685F">
        <w:fldChar w:fldCharType="end"/>
      </w:r>
      <w:r w:rsidR="00E4685F">
        <w:t>, ABC transporters mediate functions such as multidrug resistance, disease progression, and basic cellular functions</w:t>
      </w:r>
      <w:r w:rsidR="00E4685F">
        <w:fldChar w:fldCharType="begin" w:fldLock="1"/>
      </w:r>
      <w:r w:rsidR="00E4685F">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"&lt;sup&gt;23,24&lt;/sup&gt;", "plainTextFormattedCitation" : "23,24", "previouslyFormattedCitation" : "&lt;sup&gt;24,25&lt;/sup&gt;" }, "properties" : { "noteIndex" : 0 }, "schema" : "https://github.com/citation-style-language/schema/raw/master/csl-citation.json" }</w:instrText>
      </w:r>
      <w:r w:rsidR="00E4685F">
        <w:fldChar w:fldCharType="separate"/>
      </w:r>
      <w:r w:rsidR="00E4685F" w:rsidRPr="00E27D1C">
        <w:rPr>
          <w:noProof/>
          <w:vertAlign w:val="superscript"/>
        </w:rPr>
        <w:t>23,24</w:t>
      </w:r>
      <w:r w:rsidR="00E4685F">
        <w:fldChar w:fldCharType="end"/>
      </w:r>
      <w:r w:rsidR="00E4685F">
        <w:t>.  In yeast, 16 ABC transporters are involved in multidrug resistance with overlapping specificity</w:t>
      </w:r>
      <w:r w:rsidR="00E4685F">
        <w:fldChar w:fldCharType="begin" w:fldLock="1"/>
      </w:r>
      <w:r w:rsidR="00E4685F">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"&lt;sup&gt;25&lt;/sup&gt;", "plainTextFormattedCitation" : "25", "previouslyFormattedCitation" : "&lt;sup&gt;26&lt;/sup&gt;" }, "properties" : { "noteIndex" : 0 }, "schema" : "https://github.com/citation-style-language/schema/raw/master/csl-citation.json" }</w:instrText>
      </w:r>
      <w:r w:rsidR="00E4685F">
        <w:fldChar w:fldCharType="separate"/>
      </w:r>
      <w:r w:rsidR="00E4685F" w:rsidRPr="00E27D1C">
        <w:rPr>
          <w:noProof/>
          <w:vertAlign w:val="superscript"/>
        </w:rPr>
        <w:t>25</w:t>
      </w:r>
      <w:r w:rsidR="00E4685F">
        <w:fldChar w:fldCharType="end"/>
      </w:r>
      <w:r w:rsidR="00E4685F">
        <w:t>, and knockouts have been known to result in compensatory activation of other transporters leading to unexpected resistance</w:t>
      </w:r>
      <w:r w:rsidR="00E4685F">
        <w:fldChar w:fldCharType="begin" w:fldLock="1"/>
      </w:r>
      <w:r w:rsidR="00E4685F">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"&lt;sup&gt;27,28&lt;/sup&gt;" }, "properties" : { "noteIndex" : 0 }, "schema" : "https://github.com/citation-style-language/schema/raw/master/csl-citation.json" }</w:instrText>
      </w:r>
      <w:r w:rsidR="00E4685F">
        <w:fldChar w:fldCharType="separate"/>
      </w:r>
      <w:r w:rsidR="00E4685F" w:rsidRPr="00E27D1C">
        <w:rPr>
          <w:noProof/>
          <w:vertAlign w:val="superscript"/>
        </w:rPr>
        <w:t>26,27</w:t>
      </w:r>
      <w:r w:rsidR="00E4685F">
        <w:fldChar w:fldCharType="end"/>
      </w:r>
      <w:r w:rsidR="00E4685F">
        <w:t xml:space="preserve">.  </w:t>
      </w:r>
      <w:commentRangeStart w:id="1"/>
      <w:r w:rsidR="00E4685F">
        <w:t>Even in humans, compensatory activation has been observed in</w:t>
      </w:r>
      <w:r w:rsidR="00E4685F">
        <w:rPr>
          <w:bCs/>
          <w:iCs/>
          <w:color w:val="000000" w:themeColor="text1"/>
        </w:rPr>
        <w:t xml:space="preserve"> ABCC3 </w:t>
      </w:r>
      <w:r w:rsidR="00E4685F" w:rsidRPr="00233F15">
        <w:rPr>
          <w:bCs/>
          <w:iCs/>
          <w:color w:val="000000" w:themeColor="text1"/>
        </w:rPr>
        <w:t>upon knock</w:t>
      </w:r>
      <w:r w:rsidR="00E4685F">
        <w:rPr>
          <w:bCs/>
          <w:iCs/>
          <w:color w:val="000000" w:themeColor="text1"/>
        </w:rPr>
        <w:t>out or disruption of ABCC2</w:t>
      </w:r>
      <w:r w:rsidR="00E4685F" w:rsidRPr="00233F15">
        <w:rPr>
          <w:bCs/>
          <w:iCs/>
          <w:color w:val="000000" w:themeColor="text1"/>
        </w:rPr>
        <w:t xml:space="preserve"> in </w:t>
      </w:r>
      <w:r w:rsidR="00E4685F">
        <w:rPr>
          <w:bCs/>
          <w:iCs/>
          <w:color w:val="000000" w:themeColor="text1"/>
        </w:rPr>
        <w:t xml:space="preserve">both </w:t>
      </w:r>
      <w:r w:rsidR="00E4685F" w:rsidRPr="00233F15">
        <w:rPr>
          <w:bCs/>
          <w:iCs/>
          <w:color w:val="000000" w:themeColor="text1"/>
        </w:rPr>
        <w:t>rat knockout models</w:t>
      </w:r>
      <w:r w:rsidR="00E4685F" w:rsidRPr="00233F15">
        <w:rPr>
          <w:bCs/>
          <w:iCs/>
          <w:color w:val="000000" w:themeColor="text1"/>
        </w:rPr>
        <w:fldChar w:fldCharType="begin" w:fldLock="1"/>
      </w:r>
      <w:r w:rsidR="00E4685F">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"&lt;sup&gt;28&lt;/sup&gt;", "plainTextFormattedCitation" : "28", "previouslyFormattedCitation" : "&lt;sup&gt;29&lt;/sup&gt;" }, "properties" : { "noteIndex" : 0 }, "schema" : "https://github.com/citation-style-language/schema/raw/master/csl-citation.json" }</w:instrText>
      </w:r>
      <w:r w:rsidR="00E4685F" w:rsidRPr="00233F15">
        <w:rPr>
          <w:bCs/>
          <w:iCs/>
          <w:color w:val="000000" w:themeColor="text1"/>
        </w:rPr>
        <w:fldChar w:fldCharType="separate"/>
      </w:r>
      <w:r w:rsidR="00E4685F" w:rsidRPr="00E27D1C">
        <w:rPr>
          <w:bCs/>
          <w:iCs/>
          <w:noProof/>
          <w:color w:val="000000" w:themeColor="text1"/>
          <w:vertAlign w:val="superscript"/>
        </w:rPr>
        <w:t>28</w:t>
      </w:r>
      <w:r w:rsidR="00E4685F" w:rsidRPr="00233F15">
        <w:rPr>
          <w:bCs/>
          <w:iCs/>
          <w:color w:val="000000" w:themeColor="text1"/>
        </w:rPr>
        <w:fldChar w:fldCharType="end"/>
      </w:r>
      <w:r w:rsidR="00E4685F" w:rsidRPr="00233F15">
        <w:rPr>
          <w:bCs/>
          <w:iCs/>
          <w:color w:val="000000" w:themeColor="text1"/>
        </w:rPr>
        <w:t xml:space="preserve"> </w:t>
      </w:r>
      <w:r w:rsidR="00E4685F">
        <w:rPr>
          <w:bCs/>
          <w:iCs/>
          <w:color w:val="000000" w:themeColor="text1"/>
        </w:rPr>
        <w:t xml:space="preserve">and </w:t>
      </w:r>
      <w:r w:rsidR="00E4685F" w:rsidRPr="00233F15">
        <w:rPr>
          <w:bCs/>
          <w:iCs/>
          <w:color w:val="000000" w:themeColor="text1"/>
        </w:rPr>
        <w:t>in the context of Dubin-Johnson syndrome</w:t>
      </w:r>
      <w:r w:rsidR="00E4685F" w:rsidRPr="00233F15">
        <w:rPr>
          <w:bCs/>
          <w:iCs/>
          <w:color w:val="000000" w:themeColor="text1"/>
        </w:rPr>
        <w:fldChar w:fldCharType="begin" w:fldLock="1"/>
      </w:r>
      <w:r w:rsidR="00E4685F">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"&lt;sup&gt;29&lt;/sup&gt;", "plainTextFormattedCitation" : "29", "previouslyFormattedCitation" : "&lt;sup&gt;30&lt;/sup&gt;" }, "properties" : { "noteIndex" : 0 }, "schema" : "https://github.com/citation-style-language/schema/raw/master/csl-citation.json" }</w:instrText>
      </w:r>
      <w:r w:rsidR="00E4685F" w:rsidRPr="00233F15">
        <w:rPr>
          <w:bCs/>
          <w:iCs/>
          <w:color w:val="000000" w:themeColor="text1"/>
        </w:rPr>
        <w:fldChar w:fldCharType="separate"/>
      </w:r>
      <w:r w:rsidR="00E4685F" w:rsidRPr="00E27D1C">
        <w:rPr>
          <w:bCs/>
          <w:iCs/>
          <w:noProof/>
          <w:color w:val="000000" w:themeColor="text1"/>
          <w:vertAlign w:val="superscript"/>
        </w:rPr>
        <w:t>29</w:t>
      </w:r>
      <w:r w:rsidR="00E4685F" w:rsidRPr="00233F15">
        <w:rPr>
          <w:bCs/>
          <w:iCs/>
          <w:color w:val="000000" w:themeColor="text1"/>
        </w:rPr>
        <w:fldChar w:fldCharType="end"/>
      </w:r>
      <w:commentRangeEnd w:id="1"/>
      <w:r w:rsidR="00E4685F">
        <w:rPr>
          <w:rStyle w:val="CommentReference"/>
          <w:rFonts w:asciiTheme="minorHAnsi" w:hAnsiTheme="minorHAnsi" w:cstheme="minorBidi"/>
        </w:rPr>
        <w:commentReference w:id="1"/>
      </w:r>
      <w:r w:rsidR="00E4685F" w:rsidRPr="00233F15">
        <w:rPr>
          <w:bCs/>
          <w:iCs/>
          <w:color w:val="000000" w:themeColor="text1"/>
        </w:rPr>
        <w:t>.</w:t>
      </w:r>
    </w:p>
    <w:p w14:paraId="795A9D25" w14:textId="2992E413" w:rsidR="00B4719B" w:rsidRDefault="004B539F" w:rsidP="00E4685F">
      <w:pPr>
        <w:spacing w:line="480" w:lineRule="auto"/>
        <w:ind w:firstLine="720"/>
        <w:jc w:val="both"/>
        <w:rPr>
          <w:bCs/>
          <w:iCs/>
          <w:color w:val="000000" w:themeColor="text1"/>
          <w:lang w:val="en-CA"/>
        </w:rPr>
      </w:pPr>
      <w:r>
        <w:rPr>
          <w:bCs/>
          <w:iCs/>
          <w:color w:val="000000" w:themeColor="text1"/>
        </w:rPr>
        <w:t>The ABC-16 strain was</w:t>
      </w:r>
      <w:r w:rsidR="007E0BEE" w:rsidRPr="00233F15">
        <w:rPr>
          <w:bCs/>
          <w:iCs/>
          <w:color w:val="000000" w:themeColor="text1"/>
        </w:rPr>
        <w:t xml:space="preserve"> </w:t>
      </w:r>
      <w:r>
        <w:rPr>
          <w:bCs/>
          <w:iCs/>
          <w:color w:val="000000" w:themeColor="text1"/>
        </w:rPr>
        <w:t>mated</w:t>
      </w:r>
      <w:r w:rsidR="00196297">
        <w:rPr>
          <w:bCs/>
          <w:iCs/>
          <w:color w:val="000000" w:themeColor="text1"/>
        </w:rPr>
        <w:t xml:space="preserve"> to the </w:t>
      </w:r>
      <w:r w:rsidR="001B1218">
        <w:rPr>
          <w:bCs/>
          <w:iCs/>
          <w:color w:val="000000" w:themeColor="text1"/>
        </w:rPr>
        <w:t xml:space="preserve">universal barcoder </w:t>
      </w:r>
      <w:r w:rsidR="00196297">
        <w:rPr>
          <w:bCs/>
          <w:iCs/>
          <w:color w:val="000000" w:themeColor="text1"/>
        </w:rPr>
        <w:t>parent</w:t>
      </w:r>
      <w:r w:rsidR="001B1218">
        <w:rPr>
          <w:bCs/>
          <w:iCs/>
          <w:color w:val="000000" w:themeColor="text1"/>
        </w:rPr>
        <w:t xml:space="preserve"> pool</w:t>
      </w:r>
      <w:r w:rsidR="00E02FB1">
        <w:rPr>
          <w:bCs/>
          <w:iCs/>
          <w:color w:val="000000" w:themeColor="text1"/>
        </w:rPr>
        <w:t xml:space="preserve">, </w:t>
      </w:r>
      <w:r w:rsidR="00EE62BF">
        <w:rPr>
          <w:bCs/>
          <w:iCs/>
          <w:color w:val="000000" w:themeColor="text1"/>
        </w:rPr>
        <w:t xml:space="preserve">and was subject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w:t>
      </w:r>
      <w:r w:rsidR="00F64504" w:rsidRPr="00233F15">
        <w:rPr>
          <w:bCs/>
          <w:iCs/>
          <w:color w:val="000000" w:themeColor="text1"/>
        </w:rPr>
        <w:t xml:space="preserve"> </w:t>
      </w:r>
      <w:r w:rsidR="00EE62BF">
        <w:rPr>
          <w:bCs/>
          <w:iCs/>
          <w:color w:val="000000" w:themeColor="text1"/>
        </w:rPr>
        <w:t xml:space="preserve"> A</w:t>
      </w:r>
      <w:r w:rsidR="007303A4" w:rsidRPr="00233F15">
        <w:rPr>
          <w:bCs/>
          <w:iCs/>
          <w:color w:val="000000" w:themeColor="text1"/>
        </w:rPr>
        <w:t xml:space="preserve">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w:t>
      </w:r>
      <w:r w:rsidR="00C53132">
        <w:rPr>
          <w:bCs/>
          <w:iCs/>
          <w:color w:val="000000" w:themeColor="text1"/>
          <w:lang w:val="en-CA"/>
        </w:rPr>
        <w:t>ning random knockouts at 16 genes</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sidR="001A4F46">
        <w:rPr>
          <w:bCs/>
          <w:iCs/>
          <w:color w:val="000000" w:themeColor="text1"/>
          <w:lang w:val="en-CA"/>
        </w:rPr>
        <w:t xml:space="preserve">  </w:t>
      </w:r>
      <w:r w:rsidR="00C95AE1">
        <w:rPr>
          <w:bCs/>
          <w:iCs/>
          <w:color w:val="000000" w:themeColor="text1"/>
          <w:lang w:val="en-CA"/>
        </w:rPr>
        <w:t xml:space="preserve">To genotype </w:t>
      </w:r>
      <w:r w:rsidR="00C95AE1" w:rsidRPr="00233F15">
        <w:rPr>
          <w:bCs/>
          <w:iCs/>
          <w:color w:val="000000" w:themeColor="text1"/>
          <w:lang w:val="en-CA"/>
        </w:rPr>
        <w:t xml:space="preserve">these progeny </w:t>
      </w:r>
      <w:r w:rsidR="00C95AE1" w:rsidRPr="00233F15">
        <w:rPr>
          <w:bCs/>
          <w:i/>
          <w:iCs/>
          <w:color w:val="000000" w:themeColor="text1"/>
          <w:lang w:val="en-CA"/>
        </w:rPr>
        <w:t>en masse</w:t>
      </w:r>
      <w:r w:rsidR="00C95AE1" w:rsidRPr="00233F15">
        <w:rPr>
          <w:bCs/>
          <w:iCs/>
          <w:color w:val="000000" w:themeColor="text1"/>
          <w:lang w:val="en-CA"/>
        </w:rPr>
        <w:t xml:space="preserve"> and link this information to their DNA barcode</w:t>
      </w:r>
      <w:r w:rsidR="00C95AE1">
        <w:rPr>
          <w:bCs/>
          <w:iCs/>
          <w:color w:val="000000" w:themeColor="text1"/>
          <w:lang w:val="en-CA"/>
        </w:rPr>
        <w:t>, we amplified strain-</w:t>
      </w:r>
      <w:r w:rsidR="00C95AE1" w:rsidRPr="00233F15">
        <w:rPr>
          <w:bCs/>
          <w:iCs/>
          <w:color w:val="000000" w:themeColor="text1"/>
          <w:lang w:val="en-CA"/>
        </w:rPr>
        <w:t xml:space="preserve"> and deletion-specific barcodes</w:t>
      </w:r>
      <w:r w:rsidR="00C95AE1">
        <w:rPr>
          <w:bCs/>
          <w:iCs/>
          <w:color w:val="000000" w:themeColor="text1"/>
          <w:lang w:val="en-CA"/>
        </w:rPr>
        <w:t xml:space="preserve"> from each individual in our collection and tagged the amplification products with additional </w:t>
      </w:r>
      <w:r w:rsidR="00C95AE1" w:rsidRPr="00233F15">
        <w:rPr>
          <w:bCs/>
          <w:iCs/>
          <w:color w:val="000000" w:themeColor="text1"/>
          <w:lang w:val="en-CA"/>
        </w:rPr>
        <w:t>sequences indicating the plate</w:t>
      </w:r>
      <w:r w:rsidR="00C95AE1">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sidR="00C95AE1">
        <w:rPr>
          <w:bCs/>
          <w:iCs/>
          <w:color w:val="000000" w:themeColor="text1"/>
          <w:lang w:val="en-CA"/>
        </w:rPr>
        <w:t>e PCR (RCP-PCR) strategy</w:t>
      </w:r>
      <w:r w:rsidR="00230DDA" w:rsidRPr="00233F15">
        <w:rPr>
          <w:bCs/>
          <w:iCs/>
          <w:color w:val="000000" w:themeColor="text1"/>
          <w:lang w:val="en-CA"/>
        </w:rPr>
        <w:fldChar w:fldCharType="begin" w:fldLock="1"/>
      </w:r>
      <w:r w:rsidR="00E27D1C">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230DDA" w:rsidRPr="00233F15">
        <w:rPr>
          <w:bCs/>
          <w:iCs/>
          <w:color w:val="000000" w:themeColor="text1"/>
          <w:lang w:val="en-CA"/>
        </w:rPr>
        <w:fldChar w:fldCharType="separate"/>
      </w:r>
      <w:r w:rsidR="00E27D1C" w:rsidRPr="00E27D1C">
        <w:rPr>
          <w:bCs/>
          <w:iCs/>
          <w:noProof/>
          <w:color w:val="000000" w:themeColor="text1"/>
          <w:vertAlign w:val="superscript"/>
          <w:lang w:val="en-CA"/>
        </w:rPr>
        <w:t>30</w:t>
      </w:r>
      <w:r w:rsidR="00230DDA" w:rsidRPr="00233F15">
        <w:rPr>
          <w:bCs/>
          <w:iCs/>
          <w:color w:val="000000" w:themeColor="text1"/>
          <w:lang w:val="en-CA"/>
        </w:rPr>
        <w:fldChar w:fldCharType="end"/>
      </w:r>
      <w:r w:rsidR="00B4719B">
        <w:rPr>
          <w:bCs/>
          <w:iCs/>
          <w:color w:val="000000" w:themeColor="text1"/>
          <w:lang w:val="en-CA"/>
        </w:rPr>
        <w:t xml:space="preserve"> (Methods; Fig. 1).  </w:t>
      </w:r>
      <w:r w:rsidR="00C95AE1">
        <w:rPr>
          <w:bCs/>
          <w:iCs/>
          <w:color w:val="000000" w:themeColor="text1"/>
          <w:lang w:val="en-CA"/>
        </w:rPr>
        <w:t>To verify and calibrate the genotyping results, m</w:t>
      </w:r>
      <w:r w:rsidR="00B4719B" w:rsidRPr="00233F15">
        <w:rPr>
          <w:bCs/>
          <w:iCs/>
          <w:color w:val="000000" w:themeColor="text1"/>
          <w:lang w:val="en-CA"/>
        </w:rPr>
        <w:t xml:space="preserve">ultiple </w:t>
      </w:r>
      <w:r w:rsidR="00B4719B" w:rsidRPr="00233F15">
        <w:rPr>
          <w:bCs/>
          <w:iCs/>
          <w:color w:val="000000" w:themeColor="text1"/>
          <w:lang w:val="en-CA"/>
        </w:rPr>
        <w:lastRenderedPageBreak/>
        <w:t xml:space="preserve">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w:t>
      </w:r>
    </w:p>
    <w:p w14:paraId="6BA72D55" w14:textId="64478AAD" w:rsidR="00670AD9" w:rsidRDefault="00B4719B" w:rsidP="00B4719B">
      <w:pPr>
        <w:spacing w:line="480" w:lineRule="auto"/>
        <w:ind w:firstLine="720"/>
        <w:jc w:val="both"/>
      </w:pPr>
      <w:r>
        <w:rPr>
          <w:lang w:val="en-CA"/>
        </w:rPr>
        <w:t xml:space="preserve">Barcode-linked genotyping was performed using high-throughput sequencing </w:t>
      </w:r>
      <w:r w:rsidR="00C95AE1">
        <w:rPr>
          <w:lang w:val="en-CA"/>
        </w:rPr>
        <w:t xml:space="preserve">and </w:t>
      </w:r>
      <w:r w:rsidR="00F40B36">
        <w:rPr>
          <w:lang w:val="en-CA"/>
        </w:rPr>
        <w:t xml:space="preserve">analysis </w:t>
      </w:r>
      <w:r>
        <w:rPr>
          <w:lang w:val="en-CA"/>
        </w:rPr>
        <w:t>of the tagged amplificatio</w:t>
      </w:r>
      <w:r w:rsidR="00C95AE1">
        <w:rPr>
          <w:lang w:val="en-CA"/>
        </w:rPr>
        <w:t>n products.  Using data from</w:t>
      </w:r>
      <w:r>
        <w:rPr>
          <w:lang w:val="en-CA"/>
        </w:rPr>
        <w:t xml:space="preserve"> calibration</w:t>
      </w:r>
      <w:r w:rsidR="00656C95" w:rsidRPr="00233F15">
        <w:rPr>
          <w:lang w:val="en-CA"/>
        </w:rPr>
        <w:t xml:space="preserve"> strains, we</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w:t>
      </w:r>
      <w:r w:rsidR="00C92394" w:rsidRPr="00233F15">
        <w:t>negative</w:t>
      </w:r>
      <w:r w:rsidR="00C92394" w:rsidRPr="00233F15">
        <w:t xml:space="preserve"> </w:t>
      </w:r>
      <w:r w:rsidR="00EB3FBA" w:rsidRPr="00233F15">
        <w:t>apparent linkage</w:t>
      </w:r>
      <w:r w:rsidR="00C92394">
        <w:t>, sug</w:t>
      </w:r>
      <w:r w:rsidR="00584D8F">
        <w:t>ges</w:t>
      </w:r>
      <w:r w:rsidR="00621AC3">
        <w:t>ting weak negative genetic interactions</w:t>
      </w:r>
      <w:r w:rsidR="00EB3FBA" w:rsidRPr="00233F15">
        <w:t xml:space="preserve"> (Fig. S1B)</w:t>
      </w:r>
      <w:r w:rsidR="00EB3FBA">
        <w:t>.</w:t>
      </w:r>
      <w:r w:rsidR="00EB3FBA" w:rsidRPr="00233F15">
        <w:t xml:space="preserve"> </w:t>
      </w:r>
      <w:r w:rsidR="00EB3FBA">
        <w:t xml:space="preserve"> These small effects may have arisen </w:t>
      </w:r>
      <w:r w:rsidR="00062B32">
        <w:t xml:space="preserve">from genotype dependence </w:t>
      </w:r>
      <w:r w:rsidR="00EB3FBA">
        <w:t>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B87E47">
      <w:pPr>
        <w:spacing w:line="480" w:lineRule="auto"/>
        <w:jc w:val="both"/>
      </w:pPr>
    </w:p>
    <w:p w14:paraId="4C706BDA" w14:textId="39AB913F" w:rsidR="00B87E47" w:rsidRPr="00AB0D18" w:rsidRDefault="00AB0D18" w:rsidP="00AB0D18">
      <w:pPr>
        <w:spacing w:line="480" w:lineRule="auto"/>
        <w:outlineLvl w:val="0"/>
        <w:rPr>
          <w:b/>
          <w:bCs/>
          <w:iCs/>
          <w:color w:val="000000" w:themeColor="text1"/>
        </w:rPr>
      </w:pPr>
      <w:r>
        <w:rPr>
          <w:b/>
          <w:bCs/>
          <w:iCs/>
          <w:color w:val="000000" w:themeColor="text1"/>
        </w:rPr>
        <w:t xml:space="preserve">Resistance Profiling </w:t>
      </w:r>
      <w:r w:rsidR="00013887">
        <w:rPr>
          <w:b/>
          <w:bCs/>
          <w:iCs/>
          <w:color w:val="000000" w:themeColor="text1"/>
        </w:rPr>
        <w:t xml:space="preserve">of </w:t>
      </w:r>
      <w:r>
        <w:rPr>
          <w:b/>
          <w:bCs/>
          <w:iCs/>
          <w:color w:val="000000" w:themeColor="text1"/>
        </w:rPr>
        <w:t xml:space="preserve">An </w:t>
      </w:r>
      <w:r w:rsidRPr="00233F15">
        <w:rPr>
          <w:b/>
          <w:bCs/>
          <w:iCs/>
          <w:color w:val="000000" w:themeColor="text1"/>
        </w:rPr>
        <w:t>Engineered Population</w:t>
      </w:r>
    </w:p>
    <w:p w14:paraId="4266C1D3" w14:textId="7A714713" w:rsidR="00996D73" w:rsidRPr="00B15770" w:rsidRDefault="00EA779F" w:rsidP="00B15770">
      <w:pPr>
        <w:spacing w:line="480" w:lineRule="auto"/>
        <w:ind w:firstLine="720"/>
        <w:jc w:val="both"/>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Pr="00233F15">
        <w:rPr>
          <w:bCs/>
          <w:iCs/>
          <w:color w:val="000000" w:themeColor="text1"/>
        </w:rPr>
        <w:t xml:space="preserve">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096F4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5B0B96" w:rsidRPr="00233F15">
        <w:fldChar w:fldCharType="separate"/>
      </w:r>
      <w:r w:rsidR="00232D4F" w:rsidRPr="00232D4F">
        <w:rPr>
          <w:noProof/>
          <w:vertAlign w:val="superscript"/>
        </w:rPr>
        <w:t>21</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w:t>
      </w:r>
      <w:r w:rsidR="00FF6AEB">
        <w:rPr>
          <w:color w:val="000000"/>
        </w:rPr>
        <w:lastRenderedPageBreak/>
        <w:t>R</w:t>
      </w:r>
      <w:r w:rsidR="00EB60B6" w:rsidRPr="00233F15">
        <w:rPr>
          <w:color w:val="000000"/>
        </w:rPr>
        <w:t>esistance was determined</w:t>
      </w:r>
      <w:r w:rsidR="005B0B96" w:rsidRPr="00233F15">
        <w:rPr>
          <w:color w:val="000000"/>
        </w:rPr>
        <w:t xml:space="preserve"> by comparing growth in each drug to the solvent control</w:t>
      </w:r>
      <w:r w:rsidR="004D44CC">
        <w:rPr>
          <w:color w:val="000000"/>
        </w:rPr>
        <w:t xml:space="preserve"> (Methods, Fig. 1)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B46DA9">
        <w:rPr>
          <w:color w:val="000000"/>
        </w:rPr>
        <w:t>ng those</w:t>
      </w:r>
      <w:r w:rsidR="00AB3EB7">
        <w:rPr>
          <w:color w:val="000000"/>
        </w:rPr>
        <w:t xml:space="preserve"> </w:t>
      </w:r>
      <w:r w:rsidR="00140674">
        <w:rPr>
          <w:color w:val="000000"/>
        </w:rPr>
        <w:t xml:space="preserve">absent </w:t>
      </w:r>
      <w:r w:rsidR="004D44CC">
        <w:rPr>
          <w:color w:val="000000"/>
        </w:rPr>
        <w:t>in the solvent control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commentRangeStart w:id="2"/>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commentRangeEnd w:id="2"/>
      <w:r w:rsidR="00D41A92">
        <w:rPr>
          <w:rStyle w:val="CommentReference"/>
          <w:rFonts w:asciiTheme="minorHAnsi" w:hAnsiTheme="minorHAnsi" w:cstheme="minorBidi"/>
        </w:rPr>
        <w:commentReference w:id="2"/>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087C2E">
        <w:rPr>
          <w:color w:val="000000"/>
        </w:rPr>
        <w:t>While UP tag – DN tag variability was similar for all samples, 4</w:t>
      </w:r>
      <w:commentRangeStart w:id="3"/>
      <w:r w:rsidR="00E454F4">
        <w:rPr>
          <w:color w:val="000000"/>
        </w:rPr>
        <w:t xml:space="preserve"> drugs</w:t>
      </w:r>
      <w:r w:rsidR="00650C97">
        <w:rPr>
          <w:color w:val="000000"/>
        </w:rPr>
        <w:t xml:space="preserve"> also</w:t>
      </w:r>
      <w:r w:rsidR="00E454F4">
        <w:rPr>
          <w:color w:val="000000"/>
        </w:rPr>
        <w:t xml:space="preserve"> had low </w:t>
      </w:r>
      <w:r w:rsidR="007925AB">
        <w:rPr>
          <w:color w:val="000000"/>
        </w:rPr>
        <w:t>strain to strain</w:t>
      </w:r>
      <w:r w:rsidR="000A4621">
        <w:rPr>
          <w:color w:val="000000"/>
        </w:rPr>
        <w:t xml:space="preserve"> </w:t>
      </w:r>
      <w:r w:rsidR="007B21BE" w:rsidRPr="00233F15">
        <w:rPr>
          <w:color w:val="000000"/>
        </w:rPr>
        <w:t>variability</w:t>
      </w:r>
      <w:r w:rsidR="007925AB">
        <w:rPr>
          <w:color w:val="000000"/>
        </w:rPr>
        <w:t xml:space="preserve"> in resistance</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3"/>
      <w:r w:rsidR="003C4B87">
        <w:rPr>
          <w:rStyle w:val="CommentReference"/>
          <w:rFonts w:asciiTheme="minorHAnsi" w:hAnsiTheme="minorHAnsi" w:cstheme="minorBidi"/>
        </w:rPr>
        <w:commentReference w:id="3"/>
      </w:r>
    </w:p>
    <w:p w14:paraId="44429BBE" w14:textId="77777777" w:rsidR="00E656A7" w:rsidRPr="00233F15" w:rsidRDefault="00E656A7" w:rsidP="00E656A7">
      <w:pPr>
        <w:spacing w:line="480" w:lineRule="auto"/>
        <w:jc w:val="both"/>
        <w:rPr>
          <w:color w:val="000000"/>
        </w:rPr>
      </w:pPr>
    </w:p>
    <w:p w14:paraId="40CBFD60" w14:textId="39E7AA8B" w:rsidR="00D741B3" w:rsidRDefault="000508E8" w:rsidP="00B24EF9">
      <w:pPr>
        <w:widowControl w:val="0"/>
        <w:autoSpaceDE w:val="0"/>
        <w:autoSpaceDN w:val="0"/>
        <w:adjustRightInd w:val="0"/>
        <w:spacing w:line="480" w:lineRule="auto"/>
        <w:jc w:val="both"/>
        <w:rPr>
          <w:color w:val="000000"/>
        </w:rPr>
      </w:pPr>
      <w:r>
        <w:rPr>
          <w:b/>
          <w:bCs/>
          <w:iCs/>
          <w:color w:val="000000" w:themeColor="text1"/>
        </w:rPr>
        <w:t>Grouped Profiles Recreate Consistent Drug Resistance Relationships</w:t>
      </w:r>
    </w:p>
    <w:p w14:paraId="7FCC72C5" w14:textId="516B7D9D" w:rsidR="001D4AFF" w:rsidRDefault="00D741B3" w:rsidP="00B24EF9">
      <w:pPr>
        <w:widowControl w:val="0"/>
        <w:autoSpaceDE w:val="0"/>
        <w:autoSpaceDN w:val="0"/>
        <w:adjustRightInd w:val="0"/>
        <w:spacing w:line="480" w:lineRule="auto"/>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B07E37">
        <w:rPr>
          <w:color w:val="000000"/>
        </w:rPr>
        <w:t>identified</w:t>
      </w:r>
      <w:r w:rsidR="003118EB">
        <w:rPr>
          <w:color w:val="000000"/>
        </w:rPr>
        <w:t xml:space="preserve"> </w:t>
      </w:r>
      <w:r w:rsidR="00B07E37">
        <w:rPr>
          <w:color w:val="000000"/>
        </w:rPr>
        <w:t>a</w:t>
      </w:r>
      <w:r w:rsidR="00A4104D">
        <w:rPr>
          <w:color w:val="000000"/>
        </w:rPr>
        <w:t xml:space="preserve"> set of </w:t>
      </w:r>
      <w:r w:rsidR="003118EB">
        <w:rPr>
          <w:color w:val="000000"/>
        </w:rPr>
        <w:t xml:space="preserve">genes relevant for resistance to each drug.  </w:t>
      </w:r>
      <w:r w:rsidR="0022477A">
        <w:rPr>
          <w:color w:val="000000"/>
        </w:rPr>
        <w:t xml:space="preserve">For this purpose, </w:t>
      </w:r>
      <w:commentRangeStart w:id="4"/>
      <w:r w:rsidR="0022477A">
        <w:rPr>
          <w:color w:val="000000"/>
        </w:rPr>
        <w:t>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w:t>
      </w:r>
      <w:r w:rsidR="000D1A92">
        <w:rPr>
          <w:color w:val="000000"/>
        </w:rPr>
        <w:t xml:space="preserve">a </w:t>
      </w:r>
      <w:r w:rsidR="00731B51" w:rsidRPr="00233F15">
        <w:rPr>
          <w:color w:val="000000"/>
        </w:rPr>
        <w:t>marginal association</w:t>
      </w:r>
      <w:r w:rsidR="002B6815" w:rsidRPr="00233F15">
        <w:rPr>
          <w:color w:val="000000"/>
        </w:rPr>
        <w:t xml:space="preserve"> of each knockout to drug resis</w:t>
      </w:r>
      <w:r w:rsidR="00F712F5">
        <w:rPr>
          <w:color w:val="000000"/>
        </w:rPr>
        <w:t>tance.</w:t>
      </w:r>
      <w:r w:rsidR="004A64AD">
        <w:rPr>
          <w:color w:val="000000"/>
        </w:rPr>
        <w:t xml:space="preserve"> </w:t>
      </w:r>
      <w:commentRangeEnd w:id="4"/>
      <w:r w:rsidR="00816CBD">
        <w:rPr>
          <w:rStyle w:val="CommentReference"/>
          <w:rFonts w:asciiTheme="minorHAnsi" w:hAnsiTheme="minorHAnsi" w:cstheme="minorBidi"/>
        </w:rPr>
        <w:commentReference w:id="4"/>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(Fig. S3, Data S6).  </w:t>
      </w:r>
      <w:r w:rsidR="00E25E49">
        <w:rPr>
          <w:color w:val="000000"/>
        </w:rPr>
        <w:t>Comparably, t</w:t>
      </w:r>
      <w:r w:rsidR="00ED75C1">
        <w:rPr>
          <w:color w:val="000000"/>
        </w:rPr>
        <w:t>he latter three knockouts had sm</w:t>
      </w:r>
      <w:r w:rsidR="00EC1113">
        <w:rPr>
          <w:color w:val="000000"/>
        </w:rPr>
        <w:t xml:space="preserve">all marginal effects, indicating either minor roles towards </w:t>
      </w:r>
      <w:r w:rsidR="00ED75C1">
        <w:rPr>
          <w:color w:val="000000"/>
        </w:rPr>
        <w:t xml:space="preserve">resistance to the tested drugs, or </w:t>
      </w:r>
      <w:r w:rsidR="00EC1113">
        <w:rPr>
          <w:color w:val="000000"/>
        </w:rPr>
        <w:t>a greater dependence on knockout background</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E468BC">
        <w:rPr>
          <w:color w:val="000000"/>
        </w:rPr>
        <w:t>(Data S6)</w:t>
      </w:r>
      <w:r w:rsidR="00C21340" w:rsidRPr="00233F15">
        <w:rPr>
          <w:color w:val="000000"/>
        </w:rPr>
        <w:t xml:space="preserve">. </w:t>
      </w:r>
      <w:r w:rsidR="00C21340">
        <w:rPr>
          <w:color w:val="000000"/>
        </w:rPr>
        <w:t xml:space="preserve"> </w:t>
      </w:r>
      <w:r w:rsidR="00ED75C1">
        <w:rPr>
          <w:color w:val="000000"/>
        </w:rPr>
        <w:t>From these reprod</w:t>
      </w:r>
      <w:r w:rsidR="00EC1113">
        <w:rPr>
          <w:color w:val="000000"/>
        </w:rPr>
        <w:t xml:space="preserve">ucible associations,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w:t>
      </w:r>
      <w:r w:rsidR="00EC1113">
        <w:rPr>
          <w:color w:val="000000"/>
        </w:rPr>
        <w:t xml:space="preserve">were verified </w:t>
      </w:r>
      <w:r w:rsidR="00ED75C1" w:rsidRPr="00233F15">
        <w:rPr>
          <w:color w:val="000000"/>
        </w:rPr>
        <w:t xml:space="preserve">(Fig. S3; </w:t>
      </w:r>
      <w:r w:rsidR="00ED75C1">
        <w:rPr>
          <w:color w:val="000000"/>
        </w:rPr>
        <w:t xml:space="preserve">Data </w:t>
      </w:r>
      <w:r w:rsidR="00ED75C1" w:rsidRPr="00242E8F">
        <w:rPr>
          <w:color w:val="000000"/>
        </w:rPr>
        <w:t>S</w:t>
      </w:r>
      <w:r w:rsidR="00ED75C1">
        <w:rPr>
          <w:color w:val="000000"/>
        </w:rPr>
        <w:t>7).</w:t>
      </w:r>
    </w:p>
    <w:p w14:paraId="5FAF1F3A" w14:textId="3FDF583E" w:rsidR="00316809" w:rsidRPr="0039005E" w:rsidRDefault="00B24EF9" w:rsidP="0039005E">
      <w:pPr>
        <w:widowControl w:val="0"/>
        <w:autoSpaceDE w:val="0"/>
        <w:autoSpaceDN w:val="0"/>
        <w:adjustRightInd w:val="0"/>
        <w:spacing w:line="480" w:lineRule="auto"/>
        <w:ind w:firstLine="720"/>
        <w:jc w:val="both"/>
        <w:rPr>
          <w:color w:val="000000"/>
          <w:lang w:val="en-CA"/>
        </w:rPr>
      </w:pPr>
      <w:r>
        <w:rPr>
          <w:bCs/>
          <w:iCs/>
          <w:color w:val="000000" w:themeColor="text1"/>
        </w:rPr>
        <w:t>Releva</w:t>
      </w:r>
      <w:r w:rsidR="00EC1113">
        <w:rPr>
          <w:bCs/>
          <w:iCs/>
          <w:color w:val="000000" w:themeColor="text1"/>
        </w:rPr>
        <w:t>nt gene identification</w:t>
      </w:r>
      <w:commentRangeStart w:id="5"/>
      <w:r w:rsidR="0066103F">
        <w:rPr>
          <w:bCs/>
          <w:iCs/>
          <w:color w:val="000000" w:themeColor="text1"/>
        </w:rPr>
        <w:t xml:space="preserve"> allowed us to group strains by their genotype at </w:t>
      </w:r>
      <w:r w:rsidR="0066103F" w:rsidRPr="00233F15">
        <w:rPr>
          <w:i/>
          <w:color w:val="000000"/>
        </w:rPr>
        <w:t>snq2∆</w:t>
      </w:r>
      <w:r w:rsidR="0066103F" w:rsidRPr="00233F15">
        <w:rPr>
          <w:color w:val="000000"/>
        </w:rPr>
        <w:t>,</w:t>
      </w:r>
      <w:r w:rsidR="0066103F" w:rsidRPr="00233F15">
        <w:rPr>
          <w:i/>
          <w:color w:val="000000"/>
        </w:rPr>
        <w:t xml:space="preserve"> </w:t>
      </w:r>
      <w:r w:rsidR="0066103F" w:rsidRPr="00233F15">
        <w:rPr>
          <w:i/>
          <w:color w:val="000000"/>
        </w:rPr>
        <w:lastRenderedPageBreak/>
        <w:t>pdr5∆</w:t>
      </w:r>
      <w:r w:rsidR="0066103F" w:rsidRPr="00233F15">
        <w:rPr>
          <w:color w:val="000000"/>
        </w:rPr>
        <w:t xml:space="preserve">, </w:t>
      </w:r>
      <w:r w:rsidR="0066103F" w:rsidRPr="00233F15">
        <w:rPr>
          <w:i/>
          <w:color w:val="000000"/>
        </w:rPr>
        <w:t>yor1∆</w:t>
      </w:r>
      <w:r w:rsidR="0066103F" w:rsidRPr="00233F15">
        <w:rPr>
          <w:color w:val="000000"/>
        </w:rPr>
        <w:t xml:space="preserve">, </w:t>
      </w:r>
      <w:r w:rsidR="0066103F" w:rsidRPr="00233F15">
        <w:rPr>
          <w:i/>
          <w:color w:val="000000"/>
        </w:rPr>
        <w:t>ycf1∆</w:t>
      </w:r>
      <w:r w:rsidR="0066103F" w:rsidRPr="00233F15">
        <w:rPr>
          <w:color w:val="000000"/>
        </w:rPr>
        <w:t xml:space="preserve">, </w:t>
      </w:r>
      <w:r w:rsidR="00D03B2B" w:rsidRPr="00233F15">
        <w:rPr>
          <w:i/>
          <w:color w:val="000000"/>
        </w:rPr>
        <w:t>ybt1∆</w:t>
      </w:r>
      <w:r w:rsidR="00D03B2B" w:rsidRPr="001E76CB">
        <w:rPr>
          <w:color w:val="000000"/>
        </w:rPr>
        <w:t>,</w:t>
      </w:r>
      <w:r w:rsidR="00D03B2B">
        <w:rPr>
          <w:color w:val="000000"/>
        </w:rPr>
        <w:t xml:space="preserve"> and </w:t>
      </w:r>
      <w:r w:rsidR="0066103F" w:rsidRPr="00233F15">
        <w:rPr>
          <w:i/>
          <w:color w:val="000000"/>
        </w:rPr>
        <w:t>bpt1∆</w:t>
      </w:r>
      <w:r w:rsidR="00D03B2B">
        <w:rPr>
          <w:color w:val="000000"/>
        </w:rPr>
        <w:t>,</w:t>
      </w:r>
      <w:r w:rsidR="0066103F" w:rsidRPr="00233F15">
        <w:rPr>
          <w:color w:val="000000"/>
        </w:rPr>
        <w:t xml:space="preserve"> allowing </w:t>
      </w:r>
      <w:r w:rsidR="001E76CB">
        <w:rPr>
          <w:color w:val="000000"/>
        </w:rPr>
        <w:t xml:space="preserve">for background </w:t>
      </w:r>
      <w:r w:rsidR="0066103F" w:rsidRPr="00233F15">
        <w:rPr>
          <w:color w:val="000000"/>
        </w:rPr>
        <w:t>variation at the other 10 transporters</w:t>
      </w:r>
      <w:r w:rsidR="0066103F">
        <w:rPr>
          <w:color w:val="000000"/>
        </w:rPr>
        <w:t>.</w:t>
      </w:r>
      <w:commentRangeEnd w:id="5"/>
      <w:r w:rsidR="00952E80">
        <w:rPr>
          <w:rStyle w:val="CommentReference"/>
          <w:rFonts w:asciiTheme="minorHAnsi" w:hAnsiTheme="minorHAnsi" w:cstheme="minorBidi"/>
        </w:rPr>
        <w:commentReference w:id="5"/>
      </w:r>
      <w:r w:rsidR="0066103F">
        <w:rPr>
          <w:bCs/>
          <w:iCs/>
          <w:color w:val="000000" w:themeColor="text1"/>
        </w:rPr>
        <w:t xml:space="preserve">  </w:t>
      </w:r>
      <w:r w:rsidR="003F5251">
        <w:rPr>
          <w:bCs/>
          <w:iCs/>
          <w:color w:val="000000" w:themeColor="text1"/>
        </w:rPr>
        <w:t>Taking the average resistance</w:t>
      </w:r>
      <w:r w:rsidR="00C90B55">
        <w:rPr>
          <w:bCs/>
          <w:iCs/>
          <w:color w:val="000000" w:themeColor="text1"/>
        </w:rPr>
        <w:t xml:space="preserve"> of </w:t>
      </w:r>
      <w:r w:rsidR="00C90B55">
        <w:rPr>
          <w:color w:val="000000"/>
        </w:rPr>
        <w:t>each</w:t>
      </w:r>
      <w:r w:rsidR="00752466">
        <w:rPr>
          <w:color w:val="000000"/>
        </w:rPr>
        <w:t xml:space="preserve"> group</w:t>
      </w:r>
      <w:r w:rsidR="0066103F">
        <w:rPr>
          <w:color w:val="000000"/>
        </w:rPr>
        <w:t xml:space="preserve"> </w:t>
      </w:r>
      <w:r w:rsidR="000B7575">
        <w:rPr>
          <w:color w:val="000000"/>
        </w:rPr>
        <w:t>yielded</w:t>
      </w:r>
      <w:r w:rsidR="006466FC">
        <w:rPr>
          <w:color w:val="000000"/>
        </w:rPr>
        <w:t xml:space="preserve"> a further-targeted</w:t>
      </w:r>
      <w:r w:rsidR="0066103F">
        <w:rPr>
          <w:color w:val="000000"/>
        </w:rPr>
        <w:t xml:space="preserve"> profile for each population, </w:t>
      </w:r>
      <w:r w:rsidR="006466FC">
        <w:rPr>
          <w:color w:val="000000"/>
        </w:rPr>
        <w:t>allowing population-independent clustering</w:t>
      </w:r>
      <w:r w:rsidR="0066103F">
        <w:rPr>
          <w:color w:val="000000"/>
        </w:rPr>
        <w:t xml:space="preserve"> </w:t>
      </w:r>
      <w:r w:rsidR="00E468BC">
        <w:rPr>
          <w:color w:val="000000"/>
        </w:rPr>
        <w:t xml:space="preserve">(Fig. </w:t>
      </w:r>
      <w:r w:rsidR="00182CBB">
        <w:rPr>
          <w:color w:val="000000"/>
        </w:rPr>
        <w:t>S</w:t>
      </w:r>
      <w:r w:rsidR="00E468BC">
        <w:rPr>
          <w:color w:val="000000"/>
        </w:rPr>
        <w:t>4</w:t>
      </w:r>
      <w:r w:rsidR="0066103F" w:rsidRPr="00233F15">
        <w:rPr>
          <w:color w:val="000000"/>
        </w:rPr>
        <w:t xml:space="preserve">). </w:t>
      </w:r>
      <w:r w:rsidR="0066103F">
        <w:rPr>
          <w:color w:val="000000"/>
        </w:rPr>
        <w:t xml:space="preserve"> We found grouped profiles to be highly reproducible between different populations grown in the same drug (r</w:t>
      </w:r>
      <w:r w:rsidR="00340F3F">
        <w:rPr>
          <w:color w:val="000000"/>
          <w:vertAlign w:val="superscript"/>
        </w:rPr>
        <w:t>2</w:t>
      </w:r>
      <w:r w:rsidR="0066103F">
        <w:rPr>
          <w:color w:val="000000"/>
        </w:rPr>
        <w:t xml:space="preserve"> </w:t>
      </w:r>
      <w:r w:rsidR="0066103F" w:rsidRPr="00BC744C">
        <w:rPr>
          <w:color w:val="000000"/>
          <w:u w:val="single"/>
        </w:rPr>
        <w:t>&gt;</w:t>
      </w:r>
      <w:r w:rsidR="00340F3F">
        <w:rPr>
          <w:color w:val="000000"/>
        </w:rPr>
        <w:t xml:space="preserve"> 0.8</w:t>
      </w:r>
      <w:r w:rsidR="00AC644E">
        <w:rPr>
          <w:color w:val="000000"/>
        </w:rPr>
        <w:t xml:space="preserve"> for 11</w:t>
      </w:r>
      <w:r w:rsidR="0066103F">
        <w:rPr>
          <w:color w:val="000000"/>
        </w:rPr>
        <w:t xml:space="preserve"> of 16 drugs, </w:t>
      </w:r>
      <w:r w:rsidR="009E2837">
        <w:rPr>
          <w:color w:val="000000"/>
        </w:rPr>
        <w:t>Fig. 2A</w:t>
      </w:r>
      <w:r w:rsidR="007C6D74">
        <w:rPr>
          <w:color w:val="000000"/>
        </w:rPr>
        <w:t>, S6</w:t>
      </w:r>
      <w:r w:rsidR="0066103F">
        <w:rPr>
          <w:color w:val="000000"/>
        </w:rPr>
        <w:t>), indicating high reliability in the average resistance measurements.</w:t>
      </w:r>
      <w:r w:rsidR="009E2837">
        <w:rPr>
          <w:color w:val="000000"/>
        </w:rPr>
        <w:t xml:space="preserve">  </w:t>
      </w:r>
      <w:r w:rsidR="008C66C7">
        <w:rPr>
          <w:color w:val="000000"/>
        </w:rPr>
        <w:t>In some drugs</w:t>
      </w:r>
      <w:r w:rsidR="00EF7D30">
        <w:rPr>
          <w:color w:val="000000"/>
        </w:rPr>
        <w:t xml:space="preserve">, </w:t>
      </w:r>
      <w:r w:rsidR="000E4C73">
        <w:rPr>
          <w:color w:val="000000"/>
        </w:rPr>
        <w:t xml:space="preserve">the resistance scores were </w:t>
      </w:r>
      <w:r w:rsidR="003F6354">
        <w:rPr>
          <w:color w:val="000000"/>
        </w:rPr>
        <w:t>strikingly</w:t>
      </w:r>
      <w:r w:rsidR="00E65B32">
        <w:rPr>
          <w:color w:val="000000"/>
        </w:rPr>
        <w:t xml:space="preserve"> similar</w:t>
      </w:r>
      <w:r w:rsidR="000E4C73">
        <w:rPr>
          <w:color w:val="000000"/>
        </w:rPr>
        <w:t xml:space="preserve"> for the majority of these 64 groups (Fig. 2B).  </w:t>
      </w:r>
      <w:r w:rsidR="0080297F">
        <w:rPr>
          <w:color w:val="000000"/>
        </w:rPr>
        <w:t>We used these grouped re</w:t>
      </w:r>
      <w:r w:rsidR="00663B9B">
        <w:rPr>
          <w:color w:val="000000"/>
        </w:rPr>
        <w:t>s</w:t>
      </w:r>
      <w:r w:rsidR="0080297F">
        <w:rPr>
          <w:color w:val="000000"/>
        </w:rPr>
        <w:t>istance</w:t>
      </w:r>
      <w:r w:rsidR="00663B9B">
        <w:rPr>
          <w:color w:val="000000"/>
        </w:rPr>
        <w:t xml:space="preserve"> profiles to </w:t>
      </w:r>
      <w:r w:rsidR="0039005E">
        <w:rPr>
          <w:color w:val="000000"/>
        </w:rPr>
        <w:t>understand overall</w:t>
      </w:r>
      <w:r w:rsidR="005E458D">
        <w:rPr>
          <w:color w:val="000000"/>
        </w:rPr>
        <w:t xml:space="preserve"> patterns in each drug</w:t>
      </w:r>
      <w:r w:rsidR="0039005E">
        <w:rPr>
          <w:color w:val="000000"/>
        </w:rPr>
        <w:t xml:space="preserve"> by</w:t>
      </w:r>
      <w:r w:rsidR="0024468E">
        <w:rPr>
          <w:color w:val="000000"/>
        </w:rPr>
        <w:t xml:space="preserve"> </w:t>
      </w:r>
      <w:r w:rsidR="0039005E">
        <w:rPr>
          <w:color w:val="000000"/>
        </w:rPr>
        <w:t>developing</w:t>
      </w:r>
      <w:r w:rsidR="0024468E">
        <w:rPr>
          <w:color w:val="000000"/>
        </w:rPr>
        <w:t xml:space="preserve"> a radial representation which </w:t>
      </w:r>
      <w:r w:rsidR="0024468E">
        <w:rPr>
          <w:color w:val="000000"/>
          <w:lang w:val="en-CA"/>
        </w:rPr>
        <w:t>allows</w:t>
      </w:r>
      <w:r w:rsidR="0039005E">
        <w:rPr>
          <w:color w:val="000000"/>
          <w:lang w:val="en-CA"/>
        </w:rPr>
        <w:t xml:space="preserve"> for </w:t>
      </w:r>
      <w:r w:rsidR="0024468E">
        <w:rPr>
          <w:color w:val="000000"/>
          <w:lang w:val="en-CA"/>
        </w:rPr>
        <w:t xml:space="preserve">a broad data </w:t>
      </w:r>
      <w:r w:rsidR="000E4C73">
        <w:rPr>
          <w:color w:val="000000"/>
          <w:lang w:val="en-CA"/>
        </w:rPr>
        <w:t>overview</w:t>
      </w:r>
      <w:r w:rsidR="0024468E">
        <w:rPr>
          <w:color w:val="000000"/>
          <w:lang w:val="en-CA"/>
        </w:rPr>
        <w:t xml:space="preserve"> </w:t>
      </w:r>
      <w:r w:rsidR="0039005E">
        <w:rPr>
          <w:color w:val="000000"/>
          <w:lang w:val="en-CA"/>
        </w:rPr>
        <w:t>that can</w:t>
      </w:r>
      <w:r w:rsidR="0024468E">
        <w:rPr>
          <w:color w:val="000000"/>
          <w:lang w:val="en-CA"/>
        </w:rPr>
        <w:t xml:space="preserve"> be further explored to study</w:t>
      </w:r>
      <w:r w:rsidR="0024468E">
        <w:rPr>
          <w:color w:val="000000"/>
        </w:rPr>
        <w:t xml:space="preserve"> </w:t>
      </w:r>
      <w:r w:rsidR="009510DA">
        <w:rPr>
          <w:color w:val="000000"/>
          <w:lang w:val="en-CA"/>
        </w:rPr>
        <w:t>all p</w:t>
      </w:r>
      <w:r w:rsidR="005001B7">
        <w:rPr>
          <w:color w:val="000000"/>
          <w:lang w:val="en-CA"/>
        </w:rPr>
        <w:t>ossible trajectories towards a</w:t>
      </w:r>
      <w:r w:rsidR="009510DA">
        <w:rPr>
          <w:color w:val="000000"/>
          <w:lang w:val="en-CA"/>
        </w:rPr>
        <w:t xml:space="preserve"> </w:t>
      </w:r>
      <w:r w:rsidR="00857C27">
        <w:rPr>
          <w:color w:val="000000"/>
          <w:lang w:val="en-CA"/>
        </w:rPr>
        <w:t>six-</w:t>
      </w:r>
      <w:r w:rsidR="009510DA">
        <w:rPr>
          <w:color w:val="000000"/>
          <w:lang w:val="en-CA"/>
        </w:rPr>
        <w:t>knockout state</w:t>
      </w:r>
      <w:r w:rsidR="0024468E">
        <w:rPr>
          <w:color w:val="000000"/>
          <w:lang w:val="en-CA"/>
        </w:rPr>
        <w:t xml:space="preserve"> (Fig. 2C)</w:t>
      </w:r>
      <w:r w:rsidR="009510DA">
        <w:rPr>
          <w:color w:val="000000"/>
          <w:lang w:val="en-CA"/>
        </w:rPr>
        <w:t xml:space="preserve">. </w:t>
      </w:r>
      <w:r w:rsidR="000E4C73">
        <w:rPr>
          <w:color w:val="000000"/>
          <w:lang w:val="en-CA"/>
        </w:rPr>
        <w:t xml:space="preserve"> </w:t>
      </w:r>
      <w:r w:rsidR="00AC1A72">
        <w:rPr>
          <w:color w:val="000000"/>
          <w:lang w:val="en-CA"/>
        </w:rPr>
        <w:t>T</w:t>
      </w:r>
      <w:r w:rsidR="00EF7D30">
        <w:rPr>
          <w:color w:val="000000"/>
          <w:lang w:val="en-CA"/>
        </w:rPr>
        <w:t>hese radial overviews highl</w:t>
      </w:r>
      <w:r w:rsidR="003A08FD">
        <w:rPr>
          <w:color w:val="000000"/>
          <w:lang w:val="en-CA"/>
        </w:rPr>
        <w:t>ight the main ABC transporters</w:t>
      </w:r>
      <w:r w:rsidR="00EF7D30">
        <w:rPr>
          <w:color w:val="000000"/>
          <w:lang w:val="en-CA"/>
        </w:rPr>
        <w:t xml:space="preserve"> conferring resistance to each drug, and </w:t>
      </w:r>
      <w:r w:rsidR="00B56BBD">
        <w:rPr>
          <w:color w:val="000000"/>
          <w:lang w:val="en-CA"/>
        </w:rPr>
        <w:t xml:space="preserve">also </w:t>
      </w:r>
      <w:r w:rsidR="00EF7D30">
        <w:rPr>
          <w:color w:val="000000"/>
          <w:lang w:val="en-CA"/>
        </w:rPr>
        <w:t>multi-knockout</w:t>
      </w:r>
      <w:r w:rsidR="000E4C73">
        <w:rPr>
          <w:color w:val="000000"/>
          <w:lang w:val="en-CA"/>
        </w:rPr>
        <w:t xml:space="preserve"> phenotypes which were more resistant than the wild-type group</w:t>
      </w:r>
      <w:r w:rsidR="00EF7D30">
        <w:rPr>
          <w:color w:val="000000"/>
          <w:lang w:val="en-CA"/>
        </w:rPr>
        <w:t>.</w:t>
      </w:r>
      <w:r w:rsidR="000E4C73">
        <w:rPr>
          <w:color w:val="000000"/>
        </w:rPr>
        <w:t xml:space="preserve"> </w:t>
      </w:r>
      <w:r w:rsidR="00C70A5B">
        <w:rPr>
          <w:color w:val="000000"/>
          <w:lang w:val="en-CA"/>
        </w:rPr>
        <w:t>Reflecting the high profile reproducibility, these path structures were strikingly consistent</w:t>
      </w:r>
      <w:r w:rsidR="00C86624">
        <w:rPr>
          <w:color w:val="000000"/>
          <w:lang w:val="en-CA"/>
        </w:rPr>
        <w:t xml:space="preserve"> for 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S6</w:t>
      </w:r>
      <w:r w:rsidR="00857C27">
        <w:rPr>
          <w:color w:val="000000"/>
          <w:lang w:val="en-CA"/>
        </w:rPr>
        <w:t xml:space="preserve">).  </w:t>
      </w:r>
    </w:p>
    <w:p w14:paraId="057CB3A3" w14:textId="77777777" w:rsidR="00FD50A0" w:rsidRPr="00FD50A0" w:rsidRDefault="00FD50A0" w:rsidP="00FD50A0">
      <w:pPr>
        <w:widowControl w:val="0"/>
        <w:autoSpaceDE w:val="0"/>
        <w:autoSpaceDN w:val="0"/>
        <w:adjustRightInd w:val="0"/>
        <w:spacing w:after="240" w:line="480" w:lineRule="auto"/>
        <w:jc w:val="both"/>
        <w:rPr>
          <w:color w:val="000000"/>
        </w:rPr>
      </w:pPr>
    </w:p>
    <w:p w14:paraId="20D9CF00" w14:textId="25EA2AB2" w:rsidR="000812E9" w:rsidRPr="00CE0ED7" w:rsidRDefault="000812E9" w:rsidP="006466FC">
      <w:pPr>
        <w:widowControl w:val="0"/>
        <w:autoSpaceDE w:val="0"/>
        <w:autoSpaceDN w:val="0"/>
        <w:adjustRightInd w:val="0"/>
        <w:spacing w:line="480" w:lineRule="auto"/>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3CAD8C0" w14:textId="281FF023" w:rsidR="00AB0D18" w:rsidRDefault="009F7387" w:rsidP="006466FC">
      <w:pPr>
        <w:widowControl w:val="0"/>
        <w:autoSpaceDE w:val="0"/>
        <w:autoSpaceDN w:val="0"/>
        <w:adjustRightInd w:val="0"/>
        <w:spacing w:line="480" w:lineRule="auto"/>
        <w:ind w:firstLine="720"/>
        <w:jc w:val="both"/>
        <w:rPr>
          <w:color w:val="000000"/>
        </w:rPr>
      </w:pPr>
      <w:r>
        <w:rPr>
          <w:color w:val="000000"/>
        </w:rPr>
        <w:t>To</w:t>
      </w:r>
      <w:r w:rsidR="00F97A36">
        <w:rPr>
          <w:color w:val="000000"/>
        </w:rPr>
        <w:t xml:space="preserve"> </w:t>
      </w:r>
      <w:r>
        <w:rPr>
          <w:color w:val="000000"/>
        </w:rPr>
        <w:t>explore the mu</w:t>
      </w:r>
      <w:r w:rsidR="00455C5E">
        <w:rPr>
          <w:color w:val="000000"/>
        </w:rPr>
        <w:t xml:space="preserve">lti-knockout relationships </w:t>
      </w:r>
      <w:r>
        <w:rPr>
          <w:color w:val="000000"/>
        </w:rPr>
        <w:t>in depth, w</w:t>
      </w:r>
      <w:r w:rsidR="00A806AF">
        <w:rPr>
          <w:color w:val="000000"/>
        </w:rPr>
        <w:t xml:space="preserve">e used the grouped profiles to recreate </w:t>
      </w:r>
      <w:r w:rsidR="00304AD7">
        <w:rPr>
          <w:color w:val="000000"/>
        </w:rPr>
        <w:t>a ‘complex fitness landscape’ which</w:t>
      </w:r>
      <w:r w:rsidR="00A806AF">
        <w:rPr>
          <w:color w:val="000000"/>
        </w:rPr>
        <w:t xml:space="preserve"> allow</w:t>
      </w:r>
      <w:r w:rsidR="00304AD7">
        <w:rPr>
          <w:color w:val="000000"/>
        </w:rPr>
        <w:t>s</w:t>
      </w:r>
      <w:r w:rsidR="00A806AF">
        <w:rPr>
          <w:color w:val="000000"/>
        </w:rPr>
        <w:t xml:space="preserve"> visualization of transporter knockout effects in the context of any other knockout combination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w:t>
      </w:r>
      <w:r w:rsidR="00C8180C">
        <w:rPr>
          <w:color w:val="000000"/>
        </w:rPr>
        <w:t xml:space="preserve">first </w:t>
      </w:r>
      <w:r w:rsidR="00A806AF">
        <w:rPr>
          <w:color w:val="000000"/>
        </w:rPr>
        <w:t xml:space="preserve">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and </w:t>
      </w:r>
      <w:r w:rsidR="00A806AF" w:rsidRPr="004E4A74">
        <w:rPr>
          <w:i/>
          <w:color w:val="000000"/>
        </w:rPr>
        <w:t>YOR1</w:t>
      </w:r>
      <w:r w:rsidR="008345B8">
        <w:rPr>
          <w:i/>
          <w:color w:val="000000"/>
        </w:rPr>
        <w:fldChar w:fldCharType="begin" w:fldLock="1"/>
      </w:r>
      <w:r w:rsidR="00E27D1C">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8345B8">
        <w:rPr>
          <w:i/>
          <w:color w:val="000000"/>
        </w:rPr>
        <w:fldChar w:fldCharType="separate"/>
      </w:r>
      <w:r w:rsidR="00E27D1C" w:rsidRPr="00E27D1C">
        <w:rPr>
          <w:noProof/>
          <w:color w:val="000000"/>
          <w:vertAlign w:val="superscript"/>
        </w:rPr>
        <w:t>26</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w:t>
      </w:r>
      <w:r w:rsidR="00A806AF">
        <w:rPr>
          <w:color w:val="000000"/>
        </w:rPr>
        <w:lastRenderedPageBreak/>
        <w:t>sensitivity (</w:t>
      </w:r>
      <w:r w:rsidR="00B47D3D">
        <w:rPr>
          <w:color w:val="000000"/>
        </w:rPr>
        <w:t>Fig. 3A, S7</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Fig. 3A, S7</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S7</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278E50C0" w:rsidR="00316809" w:rsidRPr="00CE2976" w:rsidRDefault="00BA5EDC" w:rsidP="00CE2976">
      <w:pPr>
        <w:widowControl w:val="0"/>
        <w:autoSpaceDE w:val="0"/>
        <w:autoSpaceDN w:val="0"/>
        <w:adjustRightInd w:val="0"/>
        <w:spacing w:line="480" w:lineRule="auto"/>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S7</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S7</w:t>
      </w:r>
      <w:r w:rsidR="00BE4D3C">
        <w:rPr>
          <w:color w:val="000000"/>
        </w:rPr>
        <w:t>).  Broadly, such these</w:t>
      </w:r>
      <w:r w:rsidR="004414A6" w:rsidRPr="00233F15">
        <w:rPr>
          <w:color w:val="000000"/>
        </w:rPr>
        <w:t xml:space="preserve">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S7)</w:t>
      </w:r>
      <w:r w:rsidR="00944175">
        <w:rPr>
          <w:color w:val="000000"/>
          <w:lang w:val="en-CA"/>
        </w:rPr>
        <w:t xml:space="preserve">. </w:t>
      </w:r>
      <w:r w:rsidR="004414A6" w:rsidRPr="00233F15">
        <w:rPr>
          <w:color w:val="000000"/>
        </w:rPr>
        <w:t>Under fluconazole and ketoc</w:t>
      </w:r>
      <w:r w:rsidR="004414A6">
        <w:rPr>
          <w:color w:val="000000"/>
        </w:rPr>
        <w:t>onazole, 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w:t>
      </w:r>
      <w:r w:rsidR="004414A6" w:rsidRPr="00233F15">
        <w:rPr>
          <w:color w:val="000000"/>
        </w:rPr>
        <w:lastRenderedPageBreak/>
        <w:t xml:space="preserve">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S7</w:t>
      </w:r>
      <w:r w:rsidR="005636B4">
        <w:rPr>
          <w:color w:val="000000"/>
          <w:lang w:val="en-CA"/>
        </w:rPr>
        <w:t xml:space="preserve">; </w:t>
      </w:r>
      <w:r w:rsidR="004414A6" w:rsidRPr="00233F15">
        <w:rPr>
          <w:color w:val="000000"/>
          <w:lang w:val="en-CA"/>
        </w:rPr>
        <w:t>)</w:t>
      </w:r>
      <w:r w:rsidR="004414A6" w:rsidRPr="00233F15">
        <w:rPr>
          <w:i/>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E27D1C">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4414A6" w:rsidRPr="00233F15">
        <w:rPr>
          <w:color w:val="000000"/>
          <w:lang w:val="en-CA"/>
        </w:rPr>
        <w:fldChar w:fldCharType="separate"/>
      </w:r>
      <w:r w:rsidR="00E27D1C" w:rsidRPr="00E27D1C">
        <w:rPr>
          <w:noProof/>
          <w:color w:val="000000"/>
          <w:vertAlign w:val="superscript"/>
          <w:lang w:val="en-CA"/>
        </w:rPr>
        <w:t>26</w:t>
      </w:r>
      <w:r w:rsidR="004414A6" w:rsidRPr="00233F15">
        <w:rPr>
          <w:color w:val="000000"/>
          <w:lang w:val="en-CA"/>
        </w:rPr>
        <w:fldChar w:fldCharType="end"/>
      </w:r>
      <w:r w:rsidR="004414A6">
        <w:rPr>
          <w:color w:val="000000"/>
          <w:lang w:val="en-CA"/>
        </w:rPr>
        <w:t>, but require</w:t>
      </w:r>
      <w:r w:rsidR="004414A6" w:rsidRPr="00233F15">
        <w:rPr>
          <w:color w:val="000000"/>
          <w:lang w:val="en-CA"/>
        </w:rPr>
        <w:t xml:space="preserve"> m</w:t>
      </w:r>
      <w:r w:rsidR="004414A6">
        <w:rPr>
          <w:color w:val="000000"/>
          <w:lang w:val="en-CA"/>
        </w:rPr>
        <w:t>ultiple knockouts</w:t>
      </w:r>
      <w:r w:rsidR="004414A6" w:rsidRPr="00233F15">
        <w:rPr>
          <w:color w:val="000000"/>
          <w:lang w:val="en-CA"/>
        </w:rPr>
        <w:t xml:space="preserve"> and the involvement of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4414A6" w:rsidRPr="00233F15">
        <w:rPr>
          <w:color w:val="000000"/>
          <w:lang w:val="en-CA"/>
        </w:rPr>
        <w:t>.</w:t>
      </w:r>
    </w:p>
    <w:p w14:paraId="361683E5" w14:textId="7EB9D35D" w:rsidR="00944175" w:rsidRPr="00233F15" w:rsidRDefault="00944175" w:rsidP="00316809">
      <w:pPr>
        <w:spacing w:line="480" w:lineRule="auto"/>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ulation of cells with additional</w:t>
      </w:r>
      <w:r w:rsidR="00E421EB">
        <w:rPr>
          <w:color w:val="000000"/>
          <w:lang w:val="en-CA"/>
        </w:rPr>
        <w:t xml:space="preserve"> background knockouts, we</w:t>
      </w:r>
      <w:r w:rsidR="00316809">
        <w:rPr>
          <w:color w:val="000000"/>
          <w:lang w:val="en-CA"/>
        </w:rPr>
        <w:t xml:space="preserve"> further dissect</w:t>
      </w:r>
      <w:r w:rsidR="00E421EB">
        <w:rPr>
          <w:color w:val="000000"/>
          <w:lang w:val="en-CA"/>
        </w:rPr>
        <w:t>ed</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=0.024</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,0.01</m:t>
        </m:r>
        <m:r>
          <w:rPr>
            <w:rFonts w:ascii="Cambria Math" w:eastAsiaTheme="minorEastAsia" w:hAnsi="Cambria Math"/>
            <w:color w:val="000000"/>
            <w:lang w:val="en-CA"/>
          </w:rPr>
          <m:t>7</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m:t>
        </m:r>
        <m:r>
          <w:rPr>
            <w:rFonts w:ascii="Cambria Math" w:eastAsiaTheme="minorEastAsia" w:hAnsi="Cambria Math"/>
            <w:color w:val="000000"/>
            <w:lang w:val="en-CA"/>
          </w:rPr>
          <m:t>,</m:t>
        </m:r>
        <m:r>
          <w:rPr>
            <w:rFonts w:ascii="Cambria Math" w:eastAsiaTheme="minorEastAsia" w:hAnsi="Cambria Math"/>
            <w:color w:val="000000"/>
            <w:lang w:val="en-CA"/>
          </w:rPr>
          <m:t xml:space="preserve"> </m:t>
        </m:r>
        <m:r>
          <w:rPr>
            <w:rFonts w:ascii="Cambria Math" w:eastAsiaTheme="minorEastAsia" w:hAnsi="Cambria Math"/>
            <w:color w:val="000000"/>
            <w:lang w:val="en-CA"/>
          </w:rPr>
          <m:t>0.0</m:t>
        </m:r>
        <m:r>
          <w:rPr>
            <w:rFonts w:ascii="Cambria Math" w:eastAsiaTheme="minorEastAsia" w:hAnsi="Cambria Math"/>
            <w:color w:val="000000"/>
            <w:lang w:val="en-CA"/>
          </w:rPr>
          <m:t>0</m:t>
        </m:r>
        <m:r>
          <w:rPr>
            <w:rFonts w:ascii="Cambria Math" w:eastAsiaTheme="minorEastAsia" w:hAnsi="Cambria Math"/>
            <w:color w:val="000000"/>
            <w:lang w:val="en-CA"/>
          </w:rPr>
          <m:t>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752B0D96" w14:textId="357C8676" w:rsidR="006556AE" w:rsidRPr="006A4B8F" w:rsidRDefault="003648D2" w:rsidP="006A4B8F">
      <w:pPr>
        <w:spacing w:line="480" w:lineRule="auto"/>
        <w:ind w:firstLine="720"/>
        <w:jc w:val="both"/>
        <w:rPr>
          <w:bCs/>
          <w:iCs/>
          <w:color w:val="000000" w:themeColor="text1"/>
        </w:rPr>
      </w:pPr>
      <w:r>
        <w:rPr>
          <w:color w:val="000000"/>
        </w:rPr>
        <w:t>Given</w:t>
      </w:r>
      <w:r w:rsidR="00590ADC" w:rsidRPr="00233F15">
        <w:rPr>
          <w:color w:val="000000"/>
        </w:rPr>
        <w:t xml:space="preserve"> 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E27D1C">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"&lt;sup&gt;32&lt;/sup&gt;" }, "properties" : { "noteIndex" : 0 }, "schema" : "https://github.com/citation-style-language/schema/raw/master/csl-citation.json" }</w:instrText>
      </w:r>
      <w:r w:rsidR="00274BCD" w:rsidRPr="00233F15">
        <w:rPr>
          <w:color w:val="000000"/>
        </w:rPr>
        <w:fldChar w:fldCharType="separate"/>
      </w:r>
      <w:r w:rsidR="00E27D1C" w:rsidRPr="00E27D1C">
        <w:rPr>
          <w:noProof/>
          <w:color w:val="000000"/>
          <w:vertAlign w:val="superscript"/>
        </w:rPr>
        <w:t>31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6"/>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6"/>
      <w:r w:rsidR="00D1189A" w:rsidRPr="00233F15">
        <w:rPr>
          <w:rStyle w:val="CommentReference"/>
        </w:rPr>
        <w:commentReference w:id="6"/>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6A4B8F">
        <w:rPr>
          <w:color w:val="000000" w:themeColor="text1"/>
        </w:rPr>
        <w:t>, we tested the ability of m</w:t>
      </w:r>
      <w:r w:rsidR="009D20E4" w:rsidRPr="00CC4147">
        <w:rPr>
          <w:color w:val="000000" w:themeColor="text1"/>
        </w:rPr>
        <w:t>odels made 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(Fig. S8</w:t>
      </w:r>
      <w:r w:rsidR="006A4B8F">
        <w:rPr>
          <w:color w:val="000000" w:themeColor="text1"/>
        </w:rPr>
        <w:t>)</w:t>
      </w:r>
      <w:r w:rsidR="009D20E4" w:rsidRPr="00CC4147">
        <w:rPr>
          <w:color w:val="000000" w:themeColor="text1"/>
        </w:rPr>
        <w:t>.</w:t>
      </w:r>
    </w:p>
    <w:p w14:paraId="3FE28860" w14:textId="336201EE" w:rsidR="00F06082" w:rsidRPr="000D2524" w:rsidRDefault="000D7B40" w:rsidP="000D2524">
      <w:pPr>
        <w:spacing w:line="480" w:lineRule="auto"/>
        <w:ind w:firstLine="720"/>
        <w:jc w:val="both"/>
        <w:rPr>
          <w:bCs/>
          <w:iCs/>
          <w:color w:val="000000" w:themeColor="text1"/>
        </w:rPr>
      </w:pPr>
      <w:r>
        <w:rPr>
          <w:bCs/>
          <w:iCs/>
          <w:color w:val="000000" w:themeColor="text1"/>
        </w:rPr>
        <w:lastRenderedPageBreak/>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This pattern of genetic interactions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0D2524">
        <w:rPr>
          <w:bCs/>
          <w:iCs/>
          <w:color w:val="000000" w:themeColor="text1"/>
        </w:rPr>
        <w:t xml:space="preserve"> (</w:t>
      </w:r>
      <w:r w:rsidR="005C66C9">
        <w:rPr>
          <w:bCs/>
          <w:iCs/>
          <w:color w:val="000000" w:themeColor="text1"/>
        </w:rPr>
        <w:t xml:space="preserve">Snq2 </w:t>
      </w:r>
      <w:r w:rsidR="000D2524">
        <w:rPr>
          <w:bCs/>
          <w:iCs/>
          <w:color w:val="000000" w:themeColor="text1"/>
        </w:rPr>
        <w:t>has the only single-knockout defect, so it may have the largest efflux potential)</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F06082">
      <w:pPr>
        <w:spacing w:line="480" w:lineRule="auto"/>
        <w:ind w:firstLine="720"/>
        <w:jc w:val="both"/>
        <w:rPr>
          <w:bCs/>
          <w:iCs/>
          <w:color w:val="000000" w:themeColor="text1"/>
        </w:rPr>
      </w:pPr>
    </w:p>
    <w:p w14:paraId="0DD932AE" w14:textId="79F2F210" w:rsidR="00962F43" w:rsidRPr="00962F43" w:rsidRDefault="00962F43" w:rsidP="00962F43">
      <w:pPr>
        <w:spacing w:line="480" w:lineRule="auto"/>
        <w:outlineLvl w:val="0"/>
        <w:rPr>
          <w:b/>
          <w:bCs/>
          <w:iCs/>
          <w:color w:val="000000" w:themeColor="text1"/>
        </w:rPr>
      </w:pPr>
      <w:commentRangeStart w:id="7"/>
      <w:r>
        <w:rPr>
          <w:b/>
          <w:bCs/>
          <w:iCs/>
          <w:color w:val="000000" w:themeColor="text1"/>
        </w:rPr>
        <w:t xml:space="preserve">Detailed </w:t>
      </w:r>
      <w:r w:rsidRPr="00233F15">
        <w:rPr>
          <w:b/>
          <w:bCs/>
          <w:iCs/>
          <w:color w:val="000000" w:themeColor="text1"/>
        </w:rPr>
        <w:t>Validation of Population-Based Genetic Interactions</w:t>
      </w:r>
      <w:r w:rsidRPr="00233F15">
        <w:rPr>
          <w:b/>
          <w:bCs/>
          <w:iCs/>
          <w:color w:val="000000" w:themeColor="text1"/>
        </w:rPr>
        <w:tab/>
      </w:r>
      <w:commentRangeEnd w:id="7"/>
      <w:r w:rsidRPr="00233F15">
        <w:rPr>
          <w:rStyle w:val="CommentReference"/>
        </w:rPr>
        <w:commentReference w:id="7"/>
      </w:r>
    </w:p>
    <w:p w14:paraId="067CB808" w14:textId="3A7E7587" w:rsidR="00D1531D" w:rsidRPr="000876BF" w:rsidRDefault="000270D6" w:rsidP="0023183A">
      <w:pPr>
        <w:spacing w:line="480" w:lineRule="auto"/>
        <w:ind w:firstLine="720"/>
        <w:jc w:val="both"/>
        <w:rPr>
          <w:color w:val="000000"/>
        </w:rPr>
      </w:pPr>
      <w:r>
        <w:rPr>
          <w:bCs/>
          <w:iCs/>
          <w:color w:val="000000" w:themeColor="text1"/>
        </w:rPr>
        <w:t>Using</w:t>
      </w:r>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 xml:space="preserve">parallel clearance of a drug by two or </w:t>
      </w:r>
      <w:r w:rsidR="002459BD" w:rsidRPr="00233F15">
        <w:rPr>
          <w:bCs/>
          <w:iCs/>
          <w:color w:val="000000" w:themeColor="text1"/>
        </w:rPr>
        <w:lastRenderedPageBreak/>
        <w:t>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3E7203">
        <w:rPr>
          <w:bCs/>
          <w:iCs/>
          <w:color w:val="000000" w:themeColor="text1"/>
        </w:rPr>
        <w:t xml:space="preserve"> previously</w:t>
      </w:r>
      <w:r w:rsidR="00C62089">
        <w:rPr>
          <w:bCs/>
          <w:iCs/>
          <w:color w:val="000000" w:themeColor="text1"/>
        </w:rPr>
        <w:t xml:space="preserve"> missed.</w:t>
      </w:r>
      <w:r w:rsidR="000876BF">
        <w:rPr>
          <w:bCs/>
          <w:iCs/>
          <w:color w:val="000000" w:themeColor="text1"/>
        </w:rPr>
        <w:t xml:space="preserve">  While </w:t>
      </w:r>
      <w:r w:rsidR="000876BF">
        <w:rPr>
          <w:bCs/>
          <w:i/>
          <w:iCs/>
          <w:color w:val="000000" w:themeColor="text1"/>
        </w:rPr>
        <w:t>BPT1</w:t>
      </w:r>
      <w:r w:rsidR="000876BF">
        <w:rPr>
          <w:bCs/>
          <w:iCs/>
          <w:color w:val="000000" w:themeColor="text1"/>
        </w:rPr>
        <w:t xml:space="preserve"> had roles in mediating resitance to some compounds, its phenotypic patterns were not consistent with antagonism of a</w:t>
      </w:r>
      <w:r w:rsidR="00DE3467">
        <w:rPr>
          <w:bCs/>
          <w:iCs/>
          <w:color w:val="000000" w:themeColor="text1"/>
        </w:rPr>
        <w:t>ny other ABC transporter, suggesting that it</w:t>
      </w:r>
      <w:r w:rsidR="000176CD">
        <w:rPr>
          <w:bCs/>
          <w:iCs/>
          <w:color w:val="000000" w:themeColor="text1"/>
        </w:rPr>
        <w:t xml:space="preserve"> may</w:t>
      </w:r>
      <w:r w:rsidR="00DE3467">
        <w:rPr>
          <w:bCs/>
          <w:iCs/>
          <w:color w:val="000000" w:themeColor="text1"/>
        </w:rPr>
        <w:t xml:space="preserve"> </w:t>
      </w:r>
      <w:r w:rsidR="000176CD">
        <w:rPr>
          <w:bCs/>
          <w:iCs/>
          <w:color w:val="000000" w:themeColor="text1"/>
        </w:rPr>
        <w:t>interact</w:t>
      </w:r>
      <w:r w:rsidR="00E27D1C">
        <w:rPr>
          <w:bCs/>
          <w:iCs/>
          <w:color w:val="000000" w:themeColor="text1"/>
        </w:rPr>
        <w:t xml:space="preserve"> with another system</w:t>
      </w:r>
      <w:r w:rsidR="00E27D1C">
        <w:rPr>
          <w:bCs/>
          <w:iCs/>
          <w:color w:val="000000" w:themeColor="text1"/>
        </w:rPr>
        <w:fldChar w:fldCharType="begin" w:fldLock="1"/>
      </w:r>
      <w:r w:rsidR="00E27D1C">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"&lt;sup&gt;32&lt;/sup&gt;", "plainTextFormattedCitation" : "32" }, "properties" : { "noteIndex" : 0 }, "schema" : "https://github.com/citation-style-language/schema/raw/master/csl-citation.json" }</w:instrText>
      </w:r>
      <w:r w:rsidR="00E27D1C">
        <w:rPr>
          <w:bCs/>
          <w:iCs/>
          <w:color w:val="000000" w:themeColor="text1"/>
        </w:rPr>
        <w:fldChar w:fldCharType="separate"/>
      </w:r>
      <w:r w:rsidR="00E27D1C" w:rsidRPr="00E27D1C">
        <w:rPr>
          <w:bCs/>
          <w:iCs/>
          <w:noProof/>
          <w:color w:val="000000" w:themeColor="text1"/>
          <w:vertAlign w:val="superscript"/>
        </w:rPr>
        <w:t>32</w:t>
      </w:r>
      <w:r w:rsidR="00E27D1C">
        <w:rPr>
          <w:bCs/>
          <w:iCs/>
          <w:color w:val="000000" w:themeColor="text1"/>
        </w:rPr>
        <w:fldChar w:fldCharType="end"/>
      </w:r>
      <w:r w:rsidR="00E27D1C">
        <w:rPr>
          <w:bCs/>
          <w:iCs/>
          <w:color w:val="000000" w:themeColor="text1"/>
        </w:rPr>
        <w:t>.</w:t>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8"/>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8"/>
      <w:r w:rsidR="0021194A" w:rsidRPr="00233F15">
        <w:rPr>
          <w:rStyle w:val="CommentReference"/>
          <w:color w:val="7F7F7F" w:themeColor="text1" w:themeTint="80"/>
        </w:rPr>
        <w:commentReference w:id="8"/>
      </w:r>
      <w:r w:rsidR="008F364B" w:rsidRPr="00233F15">
        <w:rPr>
          <w:bCs/>
          <w:iCs/>
          <w:color w:val="7F7F7F" w:themeColor="text1" w:themeTint="80"/>
        </w:rPr>
        <w:t xml:space="preserve">Fluconazole resistance of these individual strains correlated well with the pooled resistance (r=XX, Fig XX).  As predicted by the </w:t>
      </w:r>
      <w:commentRangeStart w:id="9"/>
      <w:r w:rsidR="008F364B" w:rsidRPr="00233F15">
        <w:rPr>
          <w:bCs/>
          <w:iCs/>
          <w:color w:val="7F7F7F" w:themeColor="text1" w:themeTint="80"/>
        </w:rPr>
        <w:t>pool</w:t>
      </w:r>
      <w:commentRangeEnd w:id="9"/>
      <w:r w:rsidR="008F364B" w:rsidRPr="00233F15">
        <w:rPr>
          <w:bCs/>
          <w:iCs/>
          <w:color w:val="7F7F7F" w:themeColor="text1" w:themeTint="80"/>
        </w:rPr>
        <w:t xml:space="preserve"> data</w:t>
      </w:r>
      <w:r w:rsidR="008F364B" w:rsidRPr="00233F15">
        <w:rPr>
          <w:rStyle w:val="CommentReference"/>
          <w:color w:val="7F7F7F" w:themeColor="text1" w:themeTint="80"/>
        </w:rPr>
        <w:commentReference w:id="9"/>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lastRenderedPageBreak/>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10"/>
      <w:r w:rsidRPr="00233F15">
        <w:rPr>
          <w:b/>
          <w:bCs/>
          <w:iCs/>
          <w:color w:val="000000" w:themeColor="text1"/>
        </w:rPr>
        <w:t xml:space="preserve">Pdr5 </w:t>
      </w:r>
      <w:r w:rsidR="00714ACE" w:rsidRPr="00233F15">
        <w:rPr>
          <w:b/>
          <w:bCs/>
          <w:iCs/>
          <w:color w:val="000000" w:themeColor="text1"/>
        </w:rPr>
        <w:t>is inhibited by XX through XX</w:t>
      </w:r>
      <w:commentRangeEnd w:id="10"/>
      <w:r w:rsidR="00D73C15" w:rsidRPr="00233F15">
        <w:rPr>
          <w:rStyle w:val="CommentReference"/>
        </w:rPr>
        <w:commentReference w:id="10"/>
      </w:r>
    </w:p>
    <w:p w14:paraId="24E00DB6" w14:textId="62839FDA"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8D6CDB" w:rsidRPr="00233F15">
        <w:rPr>
          <w:bCs/>
          <w:iCs/>
          <w:color w:val="7F7F7F" w:themeColor="text1" w:themeTint="80"/>
        </w:rPr>
        <w:fldChar w:fldCharType="separate"/>
      </w:r>
      <w:r w:rsidR="00E27D1C" w:rsidRPr="00E27D1C">
        <w:rPr>
          <w:bCs/>
          <w:iCs/>
          <w:noProof/>
          <w:color w:val="7F7F7F" w:themeColor="text1" w:themeTint="80"/>
          <w:vertAlign w:val="superscript"/>
        </w:rPr>
        <w:t>26</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t>
      </w:r>
      <w:r w:rsidR="001F5438" w:rsidRPr="00233F15">
        <w:rPr>
          <w:bCs/>
          <w:iCs/>
          <w:color w:val="7F7F7F" w:themeColor="text1" w:themeTint="80"/>
        </w:rPr>
        <w:lastRenderedPageBreak/>
        <w:t xml:space="preserve">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4D306AC2"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"&lt;sup&gt;28&lt;/sup&gt;" }, "properties" : { "noteIndex" : 0 }, "schema" : "https://github.com/citation-style-language/schema/raw/master/csl-citation.json" }</w:instrText>
      </w:r>
      <w:r w:rsidR="006C695F" w:rsidRPr="00233F15">
        <w:rPr>
          <w:bCs/>
          <w:iCs/>
          <w:color w:val="7F7F7F" w:themeColor="text1" w:themeTint="80"/>
        </w:rPr>
        <w:fldChar w:fldCharType="separate"/>
      </w:r>
      <w:r w:rsidR="00E27D1C" w:rsidRPr="00E27D1C">
        <w:rPr>
          <w:bCs/>
          <w:iCs/>
          <w:noProof/>
          <w:color w:val="7F7F7F" w:themeColor="text1" w:themeTint="80"/>
          <w:vertAlign w:val="superscript"/>
        </w:rPr>
        <w:t>27</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885C71">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"&lt;sup&gt;33,34&lt;/sup&gt;", "plainTextFormattedCitation" : "33,34", "previouslyFormattedCitation" : "&lt;sup&gt;33,34&lt;/sup&gt;" }, "properties" : { "noteIndex" : 0 }, "schema" : "https://github.com/citation-style-language/schema/raw/master/csl-citation.json" }</w:instrText>
      </w:r>
      <w:r w:rsidR="00E069F4" w:rsidRPr="00233F15">
        <w:rPr>
          <w:bCs/>
          <w:iCs/>
          <w:color w:val="7F7F7F" w:themeColor="text1" w:themeTint="80"/>
        </w:rPr>
        <w:fldChar w:fldCharType="separate"/>
      </w:r>
      <w:r w:rsidR="00716A81" w:rsidRPr="00716A81">
        <w:rPr>
          <w:bCs/>
          <w:iCs/>
          <w:noProof/>
          <w:color w:val="7F7F7F" w:themeColor="text1" w:themeTint="80"/>
          <w:vertAlign w:val="superscript"/>
        </w:rPr>
        <w:t>33,34</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"&lt;sup&gt;28&lt;/sup&gt;" }, "properties" : { "noteIndex" : 0 }, "schema" : "https://github.com/citation-style-language/schema/raw/master/csl-citation.json" }</w:instrText>
      </w:r>
      <w:r w:rsidR="00E069F4" w:rsidRPr="00233F15">
        <w:rPr>
          <w:bCs/>
          <w:iCs/>
          <w:color w:val="7F7F7F" w:themeColor="text1" w:themeTint="80"/>
        </w:rPr>
        <w:fldChar w:fldCharType="separate"/>
      </w:r>
      <w:r w:rsidR="00E27D1C" w:rsidRPr="00E27D1C">
        <w:rPr>
          <w:bCs/>
          <w:iCs/>
          <w:noProof/>
          <w:color w:val="7F7F7F" w:themeColor="text1" w:themeTint="80"/>
          <w:vertAlign w:val="superscript"/>
        </w:rPr>
        <w:t>27</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"&lt;sup&gt;27,33&lt;/sup&gt;", "plainTextFormattedCitation" : "27,33", "previouslyFormattedCitation" : "&lt;sup&gt;28,33&lt;/sup&gt;" }, "properties" : { "noteIndex" : 0 }, "schema" : "https://github.com/citation-style-language/schema/raw/master/csl-citation.json" }</w:instrText>
      </w:r>
      <w:r w:rsidR="00E069F4" w:rsidRPr="00233F15">
        <w:rPr>
          <w:bCs/>
          <w:iCs/>
          <w:color w:val="7F7F7F" w:themeColor="text1" w:themeTint="80"/>
        </w:rPr>
        <w:fldChar w:fldCharType="separate"/>
      </w:r>
      <w:r w:rsidR="00E27D1C" w:rsidRPr="00E27D1C">
        <w:rPr>
          <w:bCs/>
          <w:iCs/>
          <w:noProof/>
          <w:color w:val="7F7F7F" w:themeColor="text1" w:themeTint="80"/>
          <w:vertAlign w:val="superscript"/>
        </w:rPr>
        <w:t>27,33</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7511EFDA"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2C5E03" w:rsidRPr="00233F15">
        <w:rPr>
          <w:bCs/>
          <w:iCs/>
          <w:color w:val="7F7F7F" w:themeColor="text1" w:themeTint="80"/>
        </w:rPr>
        <w:fldChar w:fldCharType="separate"/>
      </w:r>
      <w:r w:rsidR="00E27D1C" w:rsidRPr="00E27D1C">
        <w:rPr>
          <w:bCs/>
          <w:iCs/>
          <w:noProof/>
          <w:color w:val="7F7F7F" w:themeColor="text1" w:themeTint="80"/>
          <w:vertAlign w:val="superscript"/>
        </w:rPr>
        <w:t>26</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9EC19C1" w14:textId="61A4D5EE" w:rsidR="00660DAF" w:rsidRDefault="00904800" w:rsidP="00660DAF">
      <w:pPr>
        <w:spacing w:line="480" w:lineRule="auto"/>
        <w:outlineLvl w:val="0"/>
        <w:rPr>
          <w:b/>
          <w:bCs/>
          <w:iCs/>
          <w:color w:val="000000" w:themeColor="text1"/>
          <w:sz w:val="28"/>
        </w:rPr>
      </w:pPr>
      <w:r w:rsidRPr="00233F15">
        <w:rPr>
          <w:b/>
          <w:bCs/>
          <w:iCs/>
          <w:color w:val="000000" w:themeColor="text1"/>
          <w:sz w:val="28"/>
        </w:rPr>
        <w:t>Discussion</w:t>
      </w:r>
    </w:p>
    <w:p w14:paraId="34219FB9" w14:textId="6524A3D7" w:rsidR="00913CB6" w:rsidRDefault="00660DAF" w:rsidP="00913CB6">
      <w:pPr>
        <w:spacing w:line="480" w:lineRule="auto"/>
        <w:ind w:firstLine="720"/>
        <w:jc w:val="both"/>
        <w:outlineLvl w:val="0"/>
        <w:rPr>
          <w:bCs/>
          <w:iCs/>
          <w:color w:val="000000" w:themeColor="text1"/>
        </w:rPr>
      </w:pPr>
      <w:r>
        <w:rPr>
          <w:bCs/>
          <w:iCs/>
          <w:color w:val="000000" w:themeColor="text1"/>
        </w:rPr>
        <w:t xml:space="preserve">Because of combinatorial complexity and lack of suitable molecular tools, </w:t>
      </w:r>
      <w:r w:rsidR="003006A3">
        <w:rPr>
          <w:bCs/>
          <w:iCs/>
          <w:color w:val="000000" w:themeColor="text1"/>
        </w:rPr>
        <w:t xml:space="preserve">understanding </w:t>
      </w:r>
      <w:r w:rsidR="003F493C">
        <w:rPr>
          <w:bCs/>
          <w:iCs/>
          <w:color w:val="000000" w:themeColor="text1"/>
        </w:rPr>
        <w:t xml:space="preserve">the impact </w:t>
      </w:r>
      <w:r w:rsidR="00642C4F">
        <w:rPr>
          <w:bCs/>
          <w:iCs/>
          <w:color w:val="000000" w:themeColor="text1"/>
        </w:rPr>
        <w:t>of high-order</w:t>
      </w:r>
      <w:r>
        <w:rPr>
          <w:bCs/>
          <w:iCs/>
          <w:color w:val="000000" w:themeColor="text1"/>
        </w:rPr>
        <w:t xml:space="preserve"> multi-mutants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3B7282">
        <w:rPr>
          <w:bCs/>
          <w:iCs/>
          <w:color w:val="000000" w:themeColor="text1"/>
        </w:rPr>
        <w:t>W</w:t>
      </w:r>
      <w:r w:rsidR="00A046CC" w:rsidRPr="00233F15">
        <w:rPr>
          <w:bCs/>
          <w:iCs/>
          <w:color w:val="000000" w:themeColor="text1"/>
        </w:rPr>
        <w:t xml:space="preserve">e </w:t>
      </w:r>
      <w:r>
        <w:rPr>
          <w:bCs/>
          <w:iCs/>
          <w:color w:val="000000" w:themeColor="text1"/>
        </w:rPr>
        <w:t>develop</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and demonstrate its ability to unco</w:t>
      </w:r>
      <w:r w:rsidR="003B7282">
        <w:rPr>
          <w:bCs/>
          <w:iCs/>
          <w:color w:val="000000" w:themeColor="text1"/>
        </w:rPr>
        <w:t xml:space="preserve">ver many unexpected </w:t>
      </w:r>
      <w:r w:rsidR="00223A81">
        <w:rPr>
          <w:bCs/>
          <w:iCs/>
          <w:color w:val="000000" w:themeColor="text1"/>
        </w:rPr>
        <w:t>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3A566D">
        <w:rPr>
          <w:bCs/>
          <w:iCs/>
          <w:color w:val="000000" w:themeColor="text1"/>
        </w:rPr>
        <w:t>with</w:t>
      </w:r>
      <w:r w:rsidR="00CD0C9C">
        <w:rPr>
          <w:bCs/>
          <w:iCs/>
          <w:color w:val="000000" w:themeColor="text1"/>
        </w:rPr>
        <w:t>in</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5E4C1A6A" w:rsidR="009D30A6" w:rsidRPr="00233F15" w:rsidRDefault="003B7282" w:rsidP="000D2F48">
      <w:pPr>
        <w:spacing w:line="480" w:lineRule="auto"/>
        <w:ind w:firstLine="720"/>
        <w:jc w:val="both"/>
        <w:outlineLvl w:val="0"/>
        <w:rPr>
          <w:bCs/>
          <w:iCs/>
          <w:color w:val="000000" w:themeColor="text1"/>
        </w:rPr>
      </w:pPr>
      <w:r>
        <w:rPr>
          <w:bCs/>
          <w:iCs/>
          <w:color w:val="000000" w:themeColor="text1"/>
        </w:rPr>
        <w:t>P</w:t>
      </w:r>
      <w:r w:rsidR="00022370">
        <w:rPr>
          <w:bCs/>
          <w:iCs/>
          <w:color w:val="000000" w:themeColor="text1"/>
        </w:rPr>
        <w:t>rior knowledge allowed functional interpretation and construction of clear follow-up experiments and models</w:t>
      </w:r>
      <w:r w:rsidR="00C33A48">
        <w:rPr>
          <w:bCs/>
          <w:iCs/>
          <w:color w:val="000000" w:themeColor="text1"/>
        </w:rPr>
        <w:t xml:space="preserve"> from the complex multi-knockout phenotypes</w:t>
      </w:r>
      <w:r w:rsidR="00022370">
        <w:rPr>
          <w:bCs/>
          <w:iCs/>
          <w:color w:val="000000" w:themeColor="text1"/>
        </w:rPr>
        <w:t>.</w:t>
      </w:r>
      <w:r w:rsidR="00913CB6">
        <w:rPr>
          <w:bCs/>
          <w:iCs/>
          <w:color w:val="000000" w:themeColor="text1"/>
        </w:rPr>
        <w:t xml:space="preserve"> </w:t>
      </w:r>
      <w:r w:rsidR="00C33A48">
        <w:rPr>
          <w:bCs/>
          <w:iCs/>
          <w:color w:val="000000" w:themeColor="text1"/>
        </w:rPr>
        <w:t>Observed</w:t>
      </w:r>
      <w:r w:rsidR="00850B8A">
        <w:rPr>
          <w:bCs/>
          <w:iCs/>
          <w:color w:val="000000" w:themeColor="text1"/>
        </w:rPr>
        <w:t xml:space="preserve"> resistances</w:t>
      </w:r>
      <w:r w:rsidR="00060530" w:rsidRPr="00233F15">
        <w:rPr>
          <w:bCs/>
          <w:iCs/>
          <w:color w:val="000000" w:themeColor="text1"/>
        </w:rPr>
        <w:t xml:space="preserve"> </w:t>
      </w:r>
      <w:r w:rsidR="00BC3713">
        <w:rPr>
          <w:bCs/>
          <w:iCs/>
          <w:color w:val="000000" w:themeColor="text1"/>
        </w:rPr>
        <w:t>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arallel clearance and feedback</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850B8A">
        <w:rPr>
          <w:bCs/>
          <w:iCs/>
          <w:color w:val="000000" w:themeColor="text1"/>
        </w:rPr>
        <w:t>D</w:t>
      </w:r>
      <w:r w:rsidR="00850B8A">
        <w:rPr>
          <w:bCs/>
          <w:iCs/>
          <w:color w:val="000000" w:themeColor="text1"/>
        </w:rPr>
        <w:t>espite their subtle or absent single-knockout effects in a wild-type background</w:t>
      </w:r>
      <w:r w:rsidR="002D3307" w:rsidRPr="00233F15">
        <w:rPr>
          <w:bCs/>
          <w:iCs/>
          <w:color w:val="000000" w:themeColor="text1"/>
        </w:rPr>
        <w:t xml:space="preserve">, novel </w:t>
      </w:r>
      <w:r w:rsidR="008A20E9">
        <w:rPr>
          <w:bCs/>
          <w:iCs/>
          <w:color w:val="000000" w:themeColor="text1"/>
        </w:rPr>
        <w:t xml:space="preserve">context-dependent </w:t>
      </w:r>
      <w:r w:rsidR="002D3307" w:rsidRPr="00233F15">
        <w:rPr>
          <w:bCs/>
          <w:iCs/>
          <w:color w:val="000000" w:themeColor="text1"/>
        </w:rPr>
        <w:t xml:space="preserve">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913CB6">
        <w:rPr>
          <w:bCs/>
          <w:iCs/>
          <w:color w:val="000000" w:themeColor="text1"/>
        </w:rPr>
        <w:t>.</w:t>
      </w:r>
      <w:r w:rsidR="00FC4DC3">
        <w:rPr>
          <w:bCs/>
          <w:iCs/>
          <w:color w:val="000000" w:themeColor="text1"/>
        </w:rPr>
        <w:t xml:space="preserve"> In an illustrative</w:t>
      </w:r>
      <w:r w:rsidR="00913CB6">
        <w:rPr>
          <w:bCs/>
          <w:iCs/>
          <w:color w:val="000000" w:themeColor="text1"/>
        </w:rPr>
        <w:t xml:space="preserve"> case</w:t>
      </w:r>
      <w:r w:rsidR="00850B8A">
        <w:rPr>
          <w:bCs/>
          <w:iCs/>
          <w:color w:val="000000" w:themeColor="text1"/>
        </w:rPr>
        <w:t>,</w:t>
      </w:r>
      <w:r w:rsidR="00B95E08" w:rsidRPr="00233F15">
        <w:rPr>
          <w:bCs/>
          <w:iCs/>
          <w:color w:val="000000" w:themeColor="text1"/>
        </w:rPr>
        <w:t xml:space="preserve"> com</w:t>
      </w:r>
      <w:r w:rsidR="00850B8A">
        <w:rPr>
          <w:bCs/>
          <w:iCs/>
          <w:color w:val="000000" w:themeColor="text1"/>
        </w:rPr>
        <w:t xml:space="preserve">plex drug resistance </w:t>
      </w:r>
      <w:r w:rsidR="00B95E08" w:rsidRPr="00233F15">
        <w:rPr>
          <w:bCs/>
          <w:iCs/>
          <w:color w:val="000000" w:themeColor="text1"/>
        </w:rPr>
        <w:t>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E27D1C">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"&lt;sup&gt;27,28&lt;/sup&gt;" }, "properties" : { "noteIndex" : 0 }, "schema" : "https://github.com/citation-style-language/schema/raw/master/csl-citation.json" }</w:instrText>
      </w:r>
      <w:r w:rsidR="008D2935" w:rsidRPr="00233F15">
        <w:rPr>
          <w:bCs/>
          <w:iCs/>
          <w:color w:val="000000" w:themeColor="text1"/>
        </w:rPr>
        <w:fldChar w:fldCharType="separate"/>
      </w:r>
      <w:r w:rsidR="00E27D1C" w:rsidRPr="00E27D1C">
        <w:rPr>
          <w:bCs/>
          <w:iCs/>
          <w:noProof/>
          <w:color w:val="000000" w:themeColor="text1"/>
          <w:vertAlign w:val="superscript"/>
        </w:rPr>
        <w:t>26,27</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w:t>
      </w:r>
      <w:r w:rsidR="00FC4DC3">
        <w:rPr>
          <w:bCs/>
          <w:iCs/>
          <w:color w:val="000000" w:themeColor="text1"/>
        </w:rPr>
        <w:lastRenderedPageBreak/>
        <w:t>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this method in studying ABC-transporter mediated clearance of other drugs over single-knockout approaches. </w:t>
      </w:r>
      <w:r w:rsidR="007E3D16">
        <w:rPr>
          <w:bCs/>
          <w:iCs/>
          <w:color w:val="000000" w:themeColor="text1"/>
        </w:rPr>
        <w:t>Overall, this method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60D24E1E" w:rsidR="001415C8" w:rsidRPr="00233F15" w:rsidRDefault="002537E0" w:rsidP="00C54402">
      <w:pPr>
        <w:spacing w:line="480" w:lineRule="auto"/>
        <w:jc w:val="both"/>
        <w:rPr>
          <w:bCs/>
          <w:iCs/>
          <w:color w:val="000000" w:themeColor="text1"/>
        </w:rPr>
      </w:pPr>
      <w:r>
        <w:rPr>
          <w:bCs/>
          <w:iCs/>
          <w:color w:val="000000" w:themeColor="text1"/>
        </w:rPr>
        <w:tab/>
        <w:t>The</w:t>
      </w:r>
      <w:r w:rsidR="00850B8A">
        <w:rPr>
          <w:bCs/>
          <w:iCs/>
          <w:color w:val="000000" w:themeColor="text1"/>
        </w:rPr>
        <w:t xml:space="preserve"> development</w:t>
      </w:r>
      <w:r>
        <w:rPr>
          <w:bCs/>
          <w:iCs/>
          <w:color w:val="000000" w:themeColor="text1"/>
        </w:rPr>
        <w:t xml:space="preserve">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straightforward adaptation of this method</w:t>
      </w:r>
      <w:r w:rsidR="003C7DB2">
        <w:rPr>
          <w:bCs/>
          <w:iCs/>
          <w:color w:val="000000" w:themeColor="text1"/>
        </w:rPr>
        <w:t xml:space="preserve"> for </w:t>
      </w:r>
      <w:r>
        <w:rPr>
          <w:bCs/>
          <w:iCs/>
          <w:color w:val="000000" w:themeColor="text1"/>
        </w:rPr>
        <w:t>use with other multi-gene deletion strains in yeast.</w:t>
      </w:r>
      <w:r w:rsidR="00850B8A">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885C71">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"&lt;sup&gt;38&lt;/sup&gt;", "plainTextFormattedCitation" : "38", "previouslyFormattedCitation" : "&lt;sup&gt;38&lt;/sup&gt;" }, "properties" : { "noteIndex" : 0 }, "schema" : "https://github.com/citation-style-language/schema/raw/master/csl-citation.json" }</w:instrText>
      </w:r>
      <w:r w:rsidR="00415D5B" w:rsidRPr="00233F15">
        <w:rPr>
          <w:bCs/>
          <w:iCs/>
          <w:color w:val="000000" w:themeColor="text1"/>
        </w:rPr>
        <w:fldChar w:fldCharType="separate"/>
      </w:r>
      <w:r w:rsidR="00716A81" w:rsidRPr="00716A81">
        <w:rPr>
          <w:bCs/>
          <w:iCs/>
          <w:noProof/>
          <w:color w:val="000000" w:themeColor="text1"/>
          <w:vertAlign w:val="superscript"/>
        </w:rPr>
        <w:t>38</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885C71">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"&lt;sup&gt;39&lt;/sup&gt;", "plainTextFormattedCitation" : "39", "previouslyFormattedCitation" : "&lt;sup&gt;39&lt;/sup&gt;" }, "properties" : { "noteIndex" : 0 }, "schema" : "https://github.com/citation-style-language/schema/raw/master/csl-citation.json" }</w:instrText>
      </w:r>
      <w:r w:rsidR="00415D5B" w:rsidRPr="00233F15">
        <w:rPr>
          <w:bCs/>
          <w:iCs/>
          <w:color w:val="000000" w:themeColor="text1"/>
        </w:rPr>
        <w:fldChar w:fldCharType="separate"/>
      </w:r>
      <w:r w:rsidR="00716A81" w:rsidRPr="00716A81">
        <w:rPr>
          <w:bCs/>
          <w:iCs/>
          <w:noProof/>
          <w:color w:val="000000" w:themeColor="text1"/>
          <w:vertAlign w:val="superscript"/>
        </w:rPr>
        <w:t>39</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1C70B566"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B213B9">
        <w:rPr>
          <w:bCs/>
          <w:iCs/>
          <w:color w:val="000000" w:themeColor="text1"/>
        </w:rPr>
        <w:t>T</w:t>
      </w:r>
      <w:r w:rsidR="004E5B58" w:rsidRPr="00233F15">
        <w:rPr>
          <w:bCs/>
          <w:iCs/>
          <w:color w:val="000000" w:themeColor="text1"/>
        </w:rPr>
        <w:t xml:space="preserve">his </w:t>
      </w:r>
      <w:r w:rsidR="00B213B9">
        <w:rPr>
          <w:bCs/>
          <w:iCs/>
          <w:color w:val="000000" w:themeColor="text1"/>
        </w:rPr>
        <w:t>extension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intermediate frequency is a major are</w:t>
      </w:r>
      <w:r w:rsidR="002A63BE">
        <w:rPr>
          <w:bCs/>
          <w:iCs/>
          <w:color w:val="000000" w:themeColor="text1"/>
        </w:rPr>
        <w:t>a</w:t>
      </w:r>
      <w:r w:rsidR="00F1578B" w:rsidRPr="00233F15">
        <w:rPr>
          <w:bCs/>
          <w:iCs/>
          <w:color w:val="000000" w:themeColor="text1"/>
        </w:rPr>
        <w:t xml:space="preserve"> of future development.</w:t>
      </w:r>
    </w:p>
    <w:p w14:paraId="0B0AE20E" w14:textId="2A0D46EE" w:rsidR="00B15268" w:rsidRPr="00233F15" w:rsidRDefault="002061FD" w:rsidP="000C7311">
      <w:pPr>
        <w:spacing w:line="480" w:lineRule="auto"/>
        <w:ind w:firstLine="720"/>
        <w:jc w:val="both"/>
        <w:rPr>
          <w:bCs/>
          <w:iCs/>
          <w:color w:val="000000" w:themeColor="text1"/>
        </w:rPr>
      </w:pPr>
      <w:r w:rsidRPr="00233F15">
        <w:rPr>
          <w:bCs/>
          <w:iCs/>
          <w:color w:val="000000" w:themeColor="text1"/>
        </w:rPr>
        <w:t>A greater ability to genotype many strains wou</w:t>
      </w:r>
      <w:r w:rsidR="003D4D82">
        <w:rPr>
          <w:bCs/>
          <w:iCs/>
          <w:color w:val="000000" w:themeColor="text1"/>
        </w:rPr>
        <w:t>ld considerably improve</w:t>
      </w:r>
      <w:r w:rsidRPr="00233F15">
        <w:rPr>
          <w:bCs/>
          <w:iCs/>
          <w:color w:val="000000" w:themeColor="text1"/>
        </w:rPr>
        <w:t xml:space="preserve"> future engineered population profiling methods.  </w:t>
      </w:r>
      <w:r w:rsidR="004A78B4" w:rsidRPr="00233F15">
        <w:rPr>
          <w:bCs/>
          <w:iCs/>
          <w:color w:val="000000" w:themeColor="text1"/>
        </w:rPr>
        <w:t>T</w:t>
      </w:r>
      <w:r w:rsidR="004549F6" w:rsidRPr="00233F15">
        <w:rPr>
          <w:bCs/>
          <w:iCs/>
          <w:color w:val="000000" w:themeColor="text1"/>
        </w:rPr>
        <w:t>he</w:t>
      </w:r>
      <w:r w:rsidR="004B59E5">
        <w:rPr>
          <w:bCs/>
          <w:iCs/>
          <w:color w:val="000000" w:themeColor="text1"/>
        </w:rPr>
        <w:t xml:space="preserv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5F5B66">
        <w:rPr>
          <w:bCs/>
          <w:iCs/>
          <w:color w:val="000000" w:themeColor="text1"/>
        </w:rPr>
        <w:t xml:space="preserve">large-scale </w:t>
      </w:r>
      <w:r w:rsidR="005F5B66">
        <w:rPr>
          <w:bCs/>
          <w:iCs/>
          <w:color w:val="000000" w:themeColor="text1"/>
        </w:rPr>
        <w:lastRenderedPageBreak/>
        <w:t>genotyping</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profiling </w:t>
      </w:r>
      <w:r w:rsidR="004B59E5">
        <w:rPr>
          <w:bCs/>
          <w:iCs/>
          <w:color w:val="000000" w:themeColor="text1"/>
        </w:rPr>
        <w:t>at a substantially larger scale</w:t>
      </w:r>
      <w:r w:rsidR="007C0418" w:rsidRPr="00233F15">
        <w:rPr>
          <w:bCs/>
          <w:iCs/>
          <w:color w:val="000000" w:themeColor="text1"/>
        </w:rPr>
        <w:t xml:space="preserve">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 xml:space="preserve">We note that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D4D82">
        <w:rPr>
          <w:bCs/>
          <w:iCs/>
          <w:color w:val="000000" w:themeColor="text1"/>
        </w:rPr>
        <w:t xml:space="preserve">still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D4D82">
        <w:rPr>
          <w:bCs/>
          <w:iCs/>
          <w:color w:val="000000" w:themeColor="text1"/>
        </w:rPr>
        <w:t>targeted</w:t>
      </w:r>
      <w:r w:rsidR="00394B36" w:rsidRPr="00233F15">
        <w:rPr>
          <w:bCs/>
          <w:iCs/>
          <w:color w:val="000000" w:themeColor="text1"/>
        </w:rPr>
        <w:t xml:space="preserve"> </w:t>
      </w:r>
      <w:r w:rsidR="00D6777F" w:rsidRPr="00233F15">
        <w:rPr>
          <w:bCs/>
          <w:iCs/>
          <w:color w:val="000000" w:themeColor="text1"/>
        </w:rPr>
        <w:t xml:space="preserve">genetic maps which </w:t>
      </w:r>
      <w:r w:rsidR="003D4D82">
        <w:rPr>
          <w:bCs/>
          <w:iCs/>
          <w:color w:val="000000" w:themeColor="text1"/>
        </w:rPr>
        <w:t xml:space="preserve">can </w:t>
      </w:r>
      <w:r w:rsidR="00D6777F" w:rsidRPr="00233F15">
        <w:rPr>
          <w:bCs/>
          <w:iCs/>
          <w:color w:val="000000" w:themeColor="text1"/>
        </w:rPr>
        <w:t xml:space="preserve">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6FA2D78E" w:rsidR="00472561" w:rsidRDefault="00621376" w:rsidP="00472561">
      <w:pPr>
        <w:spacing w:line="480" w:lineRule="auto"/>
        <w:ind w:firstLine="720"/>
        <w:jc w:val="both"/>
        <w:rPr>
          <w:bCs/>
          <w:iCs/>
          <w:color w:val="000000" w:themeColor="text1"/>
        </w:rPr>
      </w:pPr>
      <w:r w:rsidRPr="00233F15">
        <w:rPr>
          <w:bCs/>
          <w:iCs/>
          <w:color w:val="000000" w:themeColor="text1"/>
        </w:rPr>
        <w:t>I</w:t>
      </w:r>
      <w:r w:rsidR="003D4D82">
        <w:rPr>
          <w:bCs/>
          <w:iCs/>
          <w:color w:val="000000" w:themeColor="text1"/>
        </w:rPr>
        <w:t>n addition to the drug</w:t>
      </w:r>
      <w:r w:rsidR="004C5F36" w:rsidRPr="00233F15">
        <w:rPr>
          <w:bCs/>
          <w:iCs/>
          <w:color w:val="000000" w:themeColor="text1"/>
        </w:rPr>
        <w: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B43238">
        <w:rPr>
          <w:bCs/>
          <w:iCs/>
          <w:color w:val="000000" w:themeColor="text1"/>
        </w:rPr>
        <w:t>using a barcode-based strategy</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E27D1C">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"&lt;sup&gt;41&lt;/sup&gt;", "plainTextFormattedCitation" : "41", "previouslyFormattedCitation" : "&lt;sup&gt;22&lt;/sup&gt;" }, "properties" : { "noteIndex" : 0 }, "schema" : "https://github.com/citation-style-language/schema/raw/master/csl-citation.json" }</w:instrText>
      </w:r>
      <w:r w:rsidR="005B00D6" w:rsidRPr="00233F15">
        <w:rPr>
          <w:bCs/>
          <w:iCs/>
          <w:color w:val="000000" w:themeColor="text1"/>
        </w:rPr>
        <w:fldChar w:fldCharType="separate"/>
      </w:r>
      <w:r w:rsidR="00E27D1C" w:rsidRPr="00E27D1C">
        <w:rPr>
          <w:bCs/>
          <w:iCs/>
          <w:noProof/>
          <w:color w:val="000000" w:themeColor="text1"/>
          <w:vertAlign w:val="superscript"/>
        </w:rPr>
        <w:t>41</w:t>
      </w:r>
      <w:r w:rsidR="005B00D6" w:rsidRPr="00233F15">
        <w:rPr>
          <w:bCs/>
          <w:iCs/>
          <w:color w:val="000000" w:themeColor="text1"/>
        </w:rPr>
        <w:fldChar w:fldCharType="end"/>
      </w:r>
      <w:r w:rsidR="00511F73" w:rsidRPr="00233F15">
        <w:rPr>
          <w:bCs/>
          <w:iCs/>
          <w:color w:val="000000" w:themeColor="text1"/>
        </w:rPr>
        <w:t xml:space="preserve">.  </w:t>
      </w:r>
      <w:r w:rsidR="0052213F">
        <w:rPr>
          <w:bCs/>
          <w:iCs/>
          <w:color w:val="000000" w:themeColor="text1"/>
        </w:rPr>
        <w:t>To extend</w:t>
      </w:r>
      <w:r w:rsidR="00A53042">
        <w:rPr>
          <w:bCs/>
          <w:iCs/>
          <w:color w:val="000000" w:themeColor="text1"/>
        </w:rPr>
        <w:t xml:space="preserve"> </w:t>
      </w:r>
      <w:r w:rsidR="0074774D">
        <w:rPr>
          <w:bCs/>
          <w:iCs/>
          <w:color w:val="000000" w:themeColor="text1"/>
        </w:rPr>
        <w:t>DNA</w:t>
      </w:r>
      <w:r w:rsidR="00A53042">
        <w:rPr>
          <w:bCs/>
          <w:iCs/>
          <w:color w:val="000000" w:themeColor="text1"/>
        </w:rPr>
        <w:t xml:space="preserve"> barcode approaches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27D1C">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"&lt;sup&gt;42&lt;/sup&gt;", "plainTextFormattedCitation" : "42", "previouslyFormattedCitation" : "&lt;sup&gt;41&lt;/sup&gt;" }, "properties" : { "noteIndex" : 0 }, "schema" : "https://github.com/citation-style-language/schema/raw/master/csl-citation.json" }</w:instrText>
      </w:r>
      <w:r w:rsidR="00877258" w:rsidRPr="00233F15">
        <w:rPr>
          <w:bCs/>
          <w:iCs/>
          <w:color w:val="000000" w:themeColor="text1"/>
        </w:rPr>
        <w:fldChar w:fldCharType="separate"/>
      </w:r>
      <w:r w:rsidR="00E27D1C" w:rsidRPr="00E27D1C">
        <w:rPr>
          <w:bCs/>
          <w:iCs/>
          <w:noProof/>
          <w:color w:val="000000" w:themeColor="text1"/>
          <w:vertAlign w:val="superscript"/>
        </w:rPr>
        <w:t>42</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6BAFC41F" w:rsidR="003611F6" w:rsidRDefault="00895D27" w:rsidP="00613659">
      <w:pPr>
        <w:spacing w:line="480" w:lineRule="auto"/>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Pr>
          <w:bCs/>
          <w:iCs/>
          <w:color w:val="000000" w:themeColor="text1"/>
        </w:rPr>
        <w:t xml:space="preserve">the broad </w:t>
      </w:r>
      <w:r w:rsidR="001F40B2" w:rsidRPr="00233F15">
        <w:rPr>
          <w:bCs/>
          <w:iCs/>
          <w:color w:val="000000" w:themeColor="text1"/>
        </w:rPr>
        <w:t xml:space="preserve">use of </w:t>
      </w:r>
      <w:r>
        <w:rPr>
          <w:bCs/>
          <w:iCs/>
          <w:color w:val="000000" w:themeColor="text1"/>
        </w:rPr>
        <w:t>engineered population profiling</w:t>
      </w:r>
      <w:r w:rsidR="001F40B2" w:rsidRPr="00233F15">
        <w:rPr>
          <w:bCs/>
          <w:iCs/>
          <w:color w:val="000000" w:themeColor="text1"/>
        </w:rPr>
        <w:t xml:space="preserve"> as </w:t>
      </w:r>
      <w:r>
        <w:rPr>
          <w:bCs/>
          <w:iCs/>
          <w:color w:val="000000" w:themeColor="text1"/>
        </w:rPr>
        <w:t>an</w:t>
      </w:r>
      <w:r w:rsidR="001F40B2" w:rsidRPr="00233F15">
        <w:rPr>
          <w:bCs/>
          <w:iCs/>
          <w:color w:val="000000" w:themeColor="text1"/>
        </w:rPr>
        <w:t xml:space="preserve"> </w:t>
      </w:r>
      <w:r w:rsidR="00285D97" w:rsidRPr="00233F15">
        <w:rPr>
          <w:bCs/>
          <w:iCs/>
          <w:color w:val="000000" w:themeColor="text1"/>
        </w:rPr>
        <w:t>approach</w:t>
      </w:r>
      <w:r w:rsidR="001F40B2"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001F40B2" w:rsidRPr="00233F15">
        <w:rPr>
          <w:bCs/>
          <w:iCs/>
          <w:color w:val="000000" w:themeColor="text1"/>
        </w:rPr>
        <w:t xml:space="preserve"> systems</w:t>
      </w:r>
      <w:r w:rsidR="00A0746D" w:rsidRPr="00233F15">
        <w:rPr>
          <w:bCs/>
          <w:iCs/>
          <w:color w:val="000000" w:themeColor="text1"/>
        </w:rPr>
        <w:t xml:space="preserve"> in multiple organisms</w:t>
      </w:r>
      <w:r>
        <w:rPr>
          <w:bCs/>
          <w:iCs/>
          <w:color w:val="000000" w:themeColor="text1"/>
        </w:rPr>
        <w:t xml:space="preserve">.  The expansion of this approach will be aided by </w:t>
      </w:r>
      <w:r>
        <w:rPr>
          <w:bCs/>
          <w:iCs/>
          <w:color w:val="000000" w:themeColor="text1"/>
        </w:rPr>
        <w:lastRenderedPageBreak/>
        <w:t xml:space="preserve">improvements </w:t>
      </w:r>
      <w:r w:rsidRPr="00233F15">
        <w:rPr>
          <w:bCs/>
          <w:iCs/>
          <w:color w:val="000000" w:themeColor="text1"/>
        </w:rPr>
        <w:t>in scale, allelic variety, and complexity of phenotypic characterization</w:t>
      </w:r>
      <w:r>
        <w:rPr>
          <w:bCs/>
          <w:iCs/>
          <w:color w:val="000000" w:themeColor="text1"/>
        </w:rPr>
        <w:t xml:space="preserve"> of </w:t>
      </w:r>
      <w:r w:rsidR="00613659">
        <w:rPr>
          <w:bCs/>
          <w:iCs/>
          <w:color w:val="000000" w:themeColor="text1"/>
        </w:rPr>
        <w:t>large scale genetic engineering.</w:t>
      </w:r>
      <w:r w:rsidR="00C2646D" w:rsidRPr="00233F15">
        <w:rPr>
          <w:bCs/>
          <w:iCs/>
          <w:color w:val="000000" w:themeColor="text1"/>
        </w:rPr>
        <w:t xml:space="preserve"> </w:t>
      </w:r>
      <w:r w:rsidR="002A79B3" w:rsidRPr="00233F15">
        <w:rPr>
          <w:bCs/>
          <w:iCs/>
          <w:color w:val="000000" w:themeColor="text1"/>
        </w:rPr>
        <w:t>G</w:t>
      </w:r>
      <w:r w:rsidR="00DE2AB6">
        <w:rPr>
          <w:bCs/>
          <w:iCs/>
          <w:color w:val="000000" w:themeColor="text1"/>
        </w:rPr>
        <w:t>iven current estimated</w:t>
      </w:r>
      <w:r w:rsidR="004B7F24" w:rsidRPr="00233F15">
        <w:rPr>
          <w:bCs/>
          <w:iCs/>
          <w:color w:val="000000" w:themeColor="text1"/>
        </w:rPr>
        <w:t xml:space="preserv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11"/>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1"/>
      <w:r w:rsidR="006A3CE7" w:rsidRPr="00233F15">
        <w:rPr>
          <w:rStyle w:val="CommentReference"/>
        </w:rPr>
        <w:commentReference w:id="11"/>
      </w:r>
    </w:p>
    <w:p w14:paraId="3D59FAEC" w14:textId="698D8EAF"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bookmarkStart w:id="12" w:name="_GoBack"/>
      <w:bookmarkEnd w:id="12"/>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3"/>
      <w:r w:rsidRPr="00233F15">
        <w:rPr>
          <w:b/>
          <w:bCs/>
          <w:iCs/>
          <w:color w:val="A6A6A6" w:themeColor="background1" w:themeShade="A6"/>
        </w:rPr>
        <w:t>Media</w:t>
      </w:r>
      <w:commentRangeEnd w:id="13"/>
      <w:r w:rsidR="00CB2329" w:rsidRPr="00233F15">
        <w:rPr>
          <w:rStyle w:val="CommentReference"/>
          <w:color w:val="A6A6A6" w:themeColor="background1" w:themeShade="A6"/>
        </w:rPr>
        <w:commentReference w:id="13"/>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06DB09C0" w:rsidR="003E75FC" w:rsidRDefault="00FA4839" w:rsidP="00FA4839">
      <w:pPr>
        <w:spacing w:line="480" w:lineRule="auto"/>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1496C65B" w:rsidR="001165B0" w:rsidRDefault="00671DE7" w:rsidP="00573C16">
      <w:pPr>
        <w:spacing w:line="480" w:lineRule="auto"/>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 xml:space="preserve">R primers containing HphMX4 homology and US2/DS1 overhangs.  </w:t>
      </w:r>
      <w:commentRangeStart w:id="1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4"/>
      <w:r w:rsidR="00D20F9C">
        <w:rPr>
          <w:rStyle w:val="CommentReference"/>
          <w:rFonts w:asciiTheme="minorHAnsi" w:hAnsiTheme="minorHAnsi" w:cstheme="minorBidi"/>
        </w:rPr>
        <w:commentReference w:id="1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15"/>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 xml:space="preserve">SacI Reamp F/US2 primer </w:t>
      </w:r>
      <w:r w:rsidR="001E7376" w:rsidRPr="001E7376">
        <w:rPr>
          <w:bCs/>
        </w:rPr>
        <w:lastRenderedPageBreak/>
        <w:t>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PCR reactions above were performed using </w:t>
      </w:r>
      <w:r w:rsidR="001E7376" w:rsidRPr="001E7376">
        <w:rPr>
          <w:color w:val="000000" w:themeColor="text1"/>
        </w:rPr>
        <w:t>High Fidelity Phusion Master Mix (NEB)</w:t>
      </w:r>
      <w:r w:rsidR="001E7376">
        <w:rPr>
          <w:color w:val="000000" w:themeColor="text1"/>
        </w:rPr>
        <w:t>.</w:t>
      </w:r>
    </w:p>
    <w:p w14:paraId="09A7764A" w14:textId="7C1D8C28" w:rsidR="00AF4AB5" w:rsidRDefault="00422103" w:rsidP="001A4394">
      <w:pPr>
        <w:spacing w:line="480" w:lineRule="auto"/>
        <w:ind w:firstLine="720"/>
      </w:pPr>
      <w:r w:rsidRPr="00422103">
        <w:t>This barcoder locus was then cloned into pSH47. pSH47 w</w:t>
      </w:r>
      <w:r>
        <w:t>as digested with SacI using 100μl 250ng/μ</w:t>
      </w:r>
      <w:r w:rsidRPr="00422103">
        <w:t>l pSH47, 100</w:t>
      </w:r>
      <w:r w:rsidR="005D6BE2">
        <w:t xml:space="preserve">μl </w:t>
      </w:r>
      <w:r w:rsidRPr="00422103">
        <w:t>NEB Buffer 4, 10</w:t>
      </w:r>
      <w:r w:rsidR="005D6BE2">
        <w:t xml:space="preserve">μl </w:t>
      </w:r>
      <w:r w:rsidRPr="00422103">
        <w:t>BSA, 10</w:t>
      </w:r>
      <w:r w:rsidR="005D6BE2">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rsidR="00953608">
        <w:t xml:space="preserve">0.8% </w:t>
      </w:r>
      <w:r w:rsidRPr="00422103">
        <w:t>gel electrophoresis.</w:t>
      </w:r>
      <w:r w:rsidR="00BF4D95">
        <w:t xml:space="preserve"> </w:t>
      </w:r>
    </w:p>
    <w:p w14:paraId="4CBB0518" w14:textId="77777777" w:rsidR="001A4394" w:rsidRPr="00233F15" w:rsidRDefault="001A4394" w:rsidP="001A4394">
      <w:pPr>
        <w:spacing w:line="480" w:lineRule="auto"/>
        <w:ind w:firstLine="720"/>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3D6D297E" w14:textId="1E27942A" w:rsidR="001E6AEE" w:rsidRDefault="00844EC8" w:rsidP="00B93C8D">
      <w:pPr>
        <w:spacing w:line="480" w:lineRule="auto"/>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6"/>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 xml:space="preserve">High Fidelity Phusion </w:t>
      </w:r>
      <w:r w:rsidR="001A4394" w:rsidRPr="00AD3ECF">
        <w:rPr>
          <w:bCs/>
          <w:iCs/>
          <w:color w:val="000000" w:themeColor="text1"/>
        </w:rPr>
        <w:lastRenderedPageBreak/>
        <w:t>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7"/>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0A47E142" w:rsidR="000928E2" w:rsidRDefault="001229B3" w:rsidP="00845A1A">
      <w:pPr>
        <w:spacing w:line="480" w:lineRule="auto"/>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27D1C">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"&lt;sup&gt;43&lt;/sup&gt;", "plainTextFormattedCitation" : "43", "previouslyFormattedCitation" : "&lt;sup&gt;42&lt;/sup&gt;" }, "properties" : { "noteIndex" : 0 }, "schema" : "https://github.com/citation-style-language/schema/raw/master/csl-citation.json" }</w:instrText>
      </w:r>
      <w:r w:rsidR="001A4394" w:rsidRPr="00233F15">
        <w:rPr>
          <w:bCs/>
          <w:iCs/>
          <w:color w:val="000000" w:themeColor="text1"/>
        </w:rPr>
        <w:fldChar w:fldCharType="separate"/>
      </w:r>
      <w:r w:rsidR="00E27D1C" w:rsidRPr="00E27D1C">
        <w:rPr>
          <w:bCs/>
          <w:iCs/>
          <w:noProof/>
          <w:color w:val="000000" w:themeColor="text1"/>
          <w:vertAlign w:val="superscript"/>
        </w:rPr>
        <w:t>43</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27D1C">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"&lt;sup&gt;44&lt;/sup&gt;", "plainTextFormattedCitation" : "44", "previouslyFormattedCitation" : "&lt;sup&gt;43&lt;/sup&gt;" }, "properties" : { "noteIndex" : 0 }, "schema" : "https://github.com/citation-style-language/schema/raw/master/csl-citation.json" }</w:instrText>
      </w:r>
      <w:r w:rsidR="00096F44">
        <w:rPr>
          <w:color w:val="000000" w:themeColor="text1"/>
        </w:rPr>
        <w:fldChar w:fldCharType="separate"/>
      </w:r>
      <w:r w:rsidR="00E27D1C" w:rsidRPr="00E27D1C">
        <w:rPr>
          <w:noProof/>
          <w:color w:val="000000" w:themeColor="text1"/>
          <w:vertAlign w:val="superscript"/>
        </w:rPr>
        <w:t>44</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845A1A">
      <w:pPr>
        <w:spacing w:line="480" w:lineRule="auto"/>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w:t>
      </w:r>
      <w:r w:rsidR="0062257A">
        <w:lastRenderedPageBreak/>
        <w:t xml:space="preserve">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8"/>
      <w:r w:rsidR="006471EB">
        <w:rPr>
          <w:rStyle w:val="CommentReference"/>
          <w:rFonts w:asciiTheme="minorHAnsi" w:hAnsiTheme="minorHAnsi" w:cstheme="minorBidi"/>
        </w:rPr>
        <w:commentReference w:id="18"/>
      </w:r>
    </w:p>
    <w:p w14:paraId="6941AE24" w14:textId="77777777" w:rsidR="00C44509" w:rsidRPr="00233F15" w:rsidRDefault="00C44509" w:rsidP="00525F1B">
      <w:pPr>
        <w:spacing w:line="480" w:lineRule="auto"/>
        <w:jc w:val="both"/>
        <w:rPr>
          <w:b/>
          <w:bCs/>
          <w:iCs/>
          <w:color w:val="000000" w:themeColor="text1"/>
        </w:rPr>
      </w:pPr>
    </w:p>
    <w:p w14:paraId="1EAB2939" w14:textId="77777777" w:rsidR="00D33A2A" w:rsidRPr="00233F15" w:rsidRDefault="00D33A2A" w:rsidP="00D33A2A">
      <w:pPr>
        <w:spacing w:line="480" w:lineRule="auto"/>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976E03">
      <w:pPr>
        <w:spacing w:line="480" w:lineRule="auto"/>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672130A1" w:rsidR="00730BB7" w:rsidRPr="00730BB7" w:rsidRDefault="00730BB7" w:rsidP="00976E03">
      <w:pPr>
        <w:spacing w:line="480" w:lineRule="auto"/>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525F1B">
      <w:pPr>
        <w:spacing w:line="480" w:lineRule="auto"/>
        <w:jc w:val="both"/>
        <w:outlineLvl w:val="0"/>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r w:rsidRPr="00233F15">
        <w:rPr>
          <w:b/>
          <w:bCs/>
          <w:iCs/>
          <w:color w:val="000000" w:themeColor="text1"/>
        </w:rPr>
        <w:t>Generating Barcoded Random Knockout Progeny</w:t>
      </w:r>
    </w:p>
    <w:p w14:paraId="46D1AD40" w14:textId="40A06C78" w:rsidR="00AD023A" w:rsidRDefault="005D647C" w:rsidP="00AD023A">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9"/>
      <w:r w:rsidR="000274E9" w:rsidRPr="00233F15">
        <w:rPr>
          <w:rFonts w:eastAsia="Times New Roman"/>
          <w:color w:val="333333"/>
          <w:shd w:val="clear" w:color="auto" w:fill="FFFFFF"/>
        </w:rPr>
        <w:t>previously described</w:t>
      </w:r>
      <w:commentRangeEnd w:id="19"/>
      <w:r w:rsidR="000274E9" w:rsidRPr="00233F15">
        <w:rPr>
          <w:rStyle w:val="CommentReference"/>
        </w:rPr>
        <w:commentReference w:id="19"/>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 xml:space="preserve">Using colony plating, sporulation efficiency was </w:t>
      </w:r>
      <w:r w:rsidR="007235C1" w:rsidRPr="00EB769F">
        <w:rPr>
          <w:rFonts w:eastAsia="Times New Roman"/>
          <w:color w:val="D9D9D9" w:themeColor="background1" w:themeShade="D9"/>
          <w:shd w:val="clear" w:color="auto" w:fill="FFFFFF"/>
        </w:rPr>
        <w:lastRenderedPageBreak/>
        <w:t>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20"/>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20"/>
      <w:r w:rsidR="001C31A3">
        <w:rPr>
          <w:rStyle w:val="CommentReference"/>
          <w:rFonts w:asciiTheme="minorHAnsi" w:hAnsiTheme="minorHAnsi" w:cstheme="minorBidi"/>
        </w:rPr>
        <w:commentReference w:id="20"/>
      </w:r>
      <w:r w:rsidR="00A975C4">
        <w:rPr>
          <w:rFonts w:eastAsia="Calibri"/>
          <w:color w:val="333333"/>
          <w:shd w:val="clear" w:color="auto" w:fill="FFFFFF"/>
        </w:rPr>
        <w:t xml:space="preserve"> </w:t>
      </w:r>
      <w:commentRangeStart w:id="21"/>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21"/>
      <w:r w:rsidR="00D47711">
        <w:rPr>
          <w:rStyle w:val="CommentReference"/>
          <w:rFonts w:asciiTheme="minorHAnsi" w:hAnsiTheme="minorHAnsi" w:cstheme="minorBidi"/>
        </w:rPr>
        <w:commentReference w:id="21"/>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04CE4FFA" w:rsidR="00C00FC2"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E27D1C" w:rsidRPr="00E27D1C">
        <w:rPr>
          <w:bCs/>
          <w:iCs/>
          <w:noProof/>
          <w:color w:val="000000" w:themeColor="text1"/>
          <w:vertAlign w:val="superscript"/>
        </w:rPr>
        <w:t>30</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E27D1C" w:rsidRPr="00E27D1C">
        <w:rPr>
          <w:bCs/>
          <w:iCs/>
          <w:noProof/>
          <w:color w:val="000000" w:themeColor="text1"/>
          <w:vertAlign w:val="superscript"/>
        </w:rPr>
        <w:t>30</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2E4CF251" w14:textId="397E3B7E" w:rsidR="00E7190A" w:rsidRDefault="00A24456" w:rsidP="0043244A">
      <w:pPr>
        <w:spacing w:line="480" w:lineRule="auto"/>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58F8D475" w14:textId="77777777" w:rsidR="00E7190A" w:rsidRPr="00E7190A" w:rsidRDefault="00E7190A" w:rsidP="00E7190A"/>
    <w:p w14:paraId="78F099E3" w14:textId="31618A4C" w:rsidR="00143BDF" w:rsidRDefault="00C00FC2" w:rsidP="00143BDF">
      <w:pPr>
        <w:spacing w:line="480" w:lineRule="auto"/>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 xml:space="preserve">for </w:t>
      </w:r>
      <w:r w:rsidR="003E701C" w:rsidRPr="00FC1F96">
        <w:rPr>
          <w:bCs/>
          <w:iCs/>
          <w:color w:val="000000" w:themeColor="text1"/>
        </w:rPr>
        <w:lastRenderedPageBreak/>
        <w:t>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E27D1C" w:rsidRPr="00E27D1C">
        <w:rPr>
          <w:bCs/>
          <w:iCs/>
          <w:noProof/>
          <w:color w:val="000000" w:themeColor="text1"/>
          <w:vertAlign w:val="superscript"/>
        </w:rPr>
        <w:t>30</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6B25C45B" w:rsidR="00A855E5" w:rsidRPr="00143BDF" w:rsidRDefault="00AC58AD" w:rsidP="00143BDF">
      <w:pPr>
        <w:spacing w:line="480" w:lineRule="auto"/>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8023AB">
        <w:rPr>
          <w:color w:val="000000" w:themeColor="text1"/>
        </w:rPr>
        <w:t xml:space="preserve">of this multiplexed sample was run on multiple lane of a 4% gel.  </w:t>
      </w:r>
      <w:commentRangeStart w:id="22"/>
      <w:r w:rsidR="008023AB">
        <w:rPr>
          <w:color w:val="000000" w:themeColor="text1"/>
        </w:rPr>
        <w:t>The desired size (260-290bp) was purified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2"/>
      <w:r w:rsidR="008F412B">
        <w:rPr>
          <w:rStyle w:val="CommentReference"/>
          <w:rFonts w:asciiTheme="minorHAnsi" w:hAnsiTheme="minorHAnsi" w:cstheme="minorBidi"/>
        </w:rPr>
        <w:commentReference w:id="22"/>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23"/>
      <w:r w:rsidRPr="00233F15">
        <w:rPr>
          <w:b/>
          <w:bCs/>
          <w:iCs/>
          <w:color w:val="000000" w:themeColor="text1"/>
        </w:rPr>
        <w:t>Strain Genotyping</w:t>
      </w:r>
      <w:commentRangeEnd w:id="23"/>
      <w:r w:rsidRPr="00233F15">
        <w:rPr>
          <w:rStyle w:val="CommentReference"/>
        </w:rPr>
        <w:commentReference w:id="23"/>
      </w:r>
      <w:r w:rsidRPr="00233F15">
        <w:rPr>
          <w:b/>
          <w:bCs/>
          <w:iCs/>
          <w:color w:val="000000" w:themeColor="text1"/>
        </w:rPr>
        <w:t xml:space="preserve"> Data</w:t>
      </w:r>
    </w:p>
    <w:p w14:paraId="6351F95B" w14:textId="77777777" w:rsidR="002906BE" w:rsidRDefault="002906BE" w:rsidP="003F6326">
      <w:pPr>
        <w:spacing w:line="480" w:lineRule="auto"/>
        <w:ind w:firstLine="720"/>
        <w:jc w:val="both"/>
        <w:rPr>
          <w:bCs/>
          <w:iCs/>
          <w:color w:val="000000" w:themeColor="text1"/>
        </w:rPr>
      </w:pPr>
      <w:r>
        <w:rPr>
          <w:bCs/>
          <w:iCs/>
          <w:color w:val="000000" w:themeColor="text1"/>
        </w:rPr>
        <w:lastRenderedPageBreak/>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006E93FC" w:rsidR="002906BE" w:rsidRDefault="00EC5F55" w:rsidP="007412D9">
      <w:pPr>
        <w:spacing w:line="480" w:lineRule="auto"/>
        <w:ind w:firstLine="720"/>
        <w:jc w:val="both"/>
        <w:rPr>
          <w:bCs/>
          <w:iCs/>
          <w:color w:val="000000" w:themeColor="text1"/>
        </w:rPr>
      </w:pPr>
      <w:r w:rsidRPr="00233F15">
        <w:rPr>
          <w:bCs/>
          <w:iCs/>
          <w:color w:val="000000" w:themeColor="text1"/>
        </w:rPr>
        <w:t>For each sample</w:t>
      </w:r>
      <w:commentRangeStart w:id="24"/>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4"/>
      <w:r w:rsidR="00086A4B" w:rsidRPr="00233F15">
        <w:rPr>
          <w:rStyle w:val="CommentReference"/>
        </w:rPr>
        <w:commentReference w:id="24"/>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1F383397" w14:textId="00600CD7" w:rsidR="00EC5F55" w:rsidRPr="002906BE" w:rsidRDefault="005C3523" w:rsidP="007412D9">
      <w:pPr>
        <w:spacing w:line="480" w:lineRule="auto"/>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1E8B112C"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25"/>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5"/>
      <w:r w:rsidRPr="00233F15">
        <w:rPr>
          <w:rStyle w:val="CommentReference"/>
          <w:sz w:val="24"/>
          <w:szCs w:val="24"/>
        </w:rPr>
        <w:commentReference w:id="25"/>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6"/>
      <w:r w:rsidRPr="00233F15">
        <w:rPr>
          <w:rFonts w:eastAsia="Calibri"/>
          <w:color w:val="333333"/>
          <w:shd w:val="clear" w:color="auto" w:fill="FFFFFF"/>
        </w:rPr>
        <w:t>74 exhibited no detectable growth</w:t>
      </w:r>
      <w:commentRangeEnd w:id="26"/>
      <w:r w:rsidRPr="00233F15">
        <w:rPr>
          <w:rStyle w:val="CommentReference"/>
          <w:sz w:val="24"/>
          <w:szCs w:val="24"/>
        </w:rPr>
        <w:commentReference w:id="26"/>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t>
      </w:r>
      <w:r w:rsidRPr="00233F15">
        <w:rPr>
          <w:bCs/>
          <w:iCs/>
          <w:color w:val="000000" w:themeColor="text1"/>
        </w:rPr>
        <w:lastRenderedPageBreak/>
        <w:t>were discarded from analysis.  When calculating linkage and distribution of gene knockouts</w:t>
      </w:r>
      <w:r w:rsidR="00F23897">
        <w:rPr>
          <w:bCs/>
          <w:iCs/>
          <w:color w:val="000000" w:themeColor="text1"/>
        </w:rPr>
        <w:t xml:space="preserve"> (Fig. S1)</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41998670" w:rsidR="00AF64B1" w:rsidRPr="00233F15" w:rsidRDefault="00AF64B1" w:rsidP="00AF64B1">
      <w:pPr>
        <w:spacing w:line="480" w:lineRule="auto"/>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7"/>
      <w:r w:rsidRPr="00233F15">
        <w:t xml:space="preserve">cases where a wild-type is called as a mutant </w:t>
      </w:r>
      <w:r w:rsidR="00955782" w:rsidRPr="00233F15">
        <w:t>are expected to</w:t>
      </w:r>
      <w:r w:rsidRPr="00233F15">
        <w:t xml:space="preserve"> be comparably negligible</w:t>
      </w:r>
      <w:commentRangeEnd w:id="27"/>
      <w:r w:rsidRPr="00233F15">
        <w:rPr>
          <w:rStyle w:val="CommentReference"/>
        </w:rPr>
        <w:commentReference w:id="27"/>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6D315E65"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8"/>
      <w:r w:rsidRPr="00233F15">
        <w:rPr>
          <w:bCs/>
          <w:iCs/>
          <w:color w:val="000000" w:themeColor="text1"/>
        </w:rPr>
        <w:t xml:space="preserve">wild type </w:t>
      </w:r>
      <w:commentRangeEnd w:id="28"/>
      <w:r w:rsidR="00537EAF">
        <w:rPr>
          <w:rStyle w:val="CommentReference"/>
          <w:rFonts w:asciiTheme="minorHAnsi" w:hAnsiTheme="minorHAnsi" w:cstheme="minorBidi"/>
        </w:rPr>
        <w:commentReference w:id="2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w:t>
      </w:r>
      <w:r w:rsidRPr="00233F15">
        <w:rPr>
          <w:bCs/>
          <w:iCs/>
          <w:color w:val="000000" w:themeColor="text1"/>
        </w:rPr>
        <w:lastRenderedPageBreak/>
        <w:t xml:space="preserve">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27D1C">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"&lt;sup&gt;45&lt;/sup&gt;", "plainTextFormattedCitation" : "45", "previouslyFormattedCitation" : "&lt;sup&gt;44&lt;/sup&gt;" }, "properties" : { "noteIndex" : 0 }, "schema" : "https://github.com/citation-style-language/schema/raw/master/csl-citation.json" }</w:instrText>
      </w:r>
      <w:r w:rsidR="00202DC4" w:rsidRPr="00233F15">
        <w:rPr>
          <w:bCs/>
          <w:iCs/>
          <w:color w:val="000000" w:themeColor="text1"/>
        </w:rPr>
        <w:fldChar w:fldCharType="separate"/>
      </w:r>
      <w:r w:rsidR="00E27D1C" w:rsidRPr="00E27D1C">
        <w:rPr>
          <w:bCs/>
          <w:iCs/>
          <w:noProof/>
          <w:color w:val="000000" w:themeColor="text1"/>
          <w:vertAlign w:val="superscript"/>
        </w:rPr>
        <w:t>45</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29"/>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9"/>
      <w:r w:rsidR="00DD0B46" w:rsidRPr="00233F15">
        <w:rPr>
          <w:rStyle w:val="CommentReference"/>
        </w:rPr>
        <w:commentReference w:id="29"/>
      </w:r>
    </w:p>
    <w:p w14:paraId="3A3949F4" w14:textId="64481F73" w:rsidR="004568E1" w:rsidRDefault="0003324C" w:rsidP="00517C37">
      <w:pPr>
        <w:spacing w:line="480" w:lineRule="auto"/>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0"/>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0"/>
      <w:r w:rsidR="00DD0B46" w:rsidRPr="00233F15">
        <w:rPr>
          <w:rStyle w:val="CommentReference"/>
        </w:rPr>
        <w:commentReference w:id="30"/>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1"/>
      <w:r w:rsidR="001F4672" w:rsidRPr="00233F15">
        <w:rPr>
          <w:rFonts w:eastAsia="Times New Roman"/>
          <w:color w:val="333333"/>
          <w:shd w:val="clear" w:color="auto" w:fill="FFFFFF"/>
        </w:rPr>
        <w:t xml:space="preserve">a sample </w:t>
      </w:r>
      <w:commentRangeEnd w:id="31"/>
      <w:r w:rsidR="008065E3" w:rsidRPr="00233F15">
        <w:rPr>
          <w:rStyle w:val="CommentReference"/>
        </w:rPr>
        <w:commentReference w:id="31"/>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2"/>
      <w:r w:rsidR="000919D1" w:rsidRPr="00233F15">
        <w:rPr>
          <w:bCs/>
          <w:iCs/>
          <w:color w:val="000000" w:themeColor="text1"/>
        </w:rPr>
        <w:t>genomic DNA extraction</w:t>
      </w:r>
      <w:commentRangeEnd w:id="32"/>
      <w:r w:rsidR="00355817" w:rsidRPr="00233F15">
        <w:rPr>
          <w:rStyle w:val="CommentReference"/>
        </w:rPr>
        <w:commentReference w:id="32"/>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4568E1">
      <w:pPr>
        <w:spacing w:line="480" w:lineRule="auto"/>
        <w:jc w:val="both"/>
        <w:rPr>
          <w:bCs/>
          <w:iCs/>
          <w:color w:val="000000" w:themeColor="text1"/>
        </w:rPr>
      </w:pPr>
      <w:r w:rsidRPr="00233F15">
        <w:rPr>
          <w:bCs/>
          <w:iCs/>
          <w:color w:val="000000" w:themeColor="text1"/>
          <w:lang w:val="en-CA"/>
        </w:rPr>
        <w:lastRenderedPageBreak/>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07BA5F81" w14:textId="77777777" w:rsidR="00E007EF" w:rsidRDefault="00F031CA" w:rsidP="00E007EF">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E007EF">
      <w:pPr>
        <w:spacing w:line="480" w:lineRule="auto"/>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3"/>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3"/>
      <w:r w:rsidR="00FD360B" w:rsidRPr="00233F15">
        <w:rPr>
          <w:rStyle w:val="CommentReference"/>
        </w:rPr>
        <w:commentReference w:id="33"/>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lastRenderedPageBreak/>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545FEB33" w:rsidR="00C05930"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C00FC2"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0F614AB0"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E27D1C">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"&lt;sup&gt;32&lt;/sup&gt;" }, "properties" : { "noteIndex" : 0 }, "schema" : "https://github.com/citation-style-language/schema/raw/master/csl-citation.json" }</w:instrText>
      </w:r>
      <w:r w:rsidR="00131C80" w:rsidRPr="00233F15">
        <w:rPr>
          <w:bCs/>
          <w:iCs/>
          <w:color w:val="000000" w:themeColor="text1"/>
        </w:rPr>
        <w:fldChar w:fldCharType="separate"/>
      </w:r>
      <w:r w:rsidR="00E27D1C" w:rsidRPr="00E27D1C">
        <w:rPr>
          <w:bCs/>
          <w:iCs/>
          <w:noProof/>
          <w:color w:val="000000" w:themeColor="text1"/>
          <w:vertAlign w:val="superscript"/>
        </w:rPr>
        <w:t>31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633834">
      <w:pPr>
        <w:spacing w:line="480" w:lineRule="auto"/>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lastRenderedPageBreak/>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lastRenderedPageBreak/>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80300BD"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34"/>
      <w:r w:rsidRPr="00565DF9">
        <w:rPr>
          <w:b/>
          <w:bCs/>
          <w:iCs/>
          <w:color w:val="808080" w:themeColor="background1" w:themeShade="80"/>
        </w:rPr>
        <w:t>Analysis of Liquid Growth Data</w:t>
      </w:r>
      <w:commentRangeEnd w:id="34"/>
      <w:r w:rsidR="00883356" w:rsidRPr="00565DF9">
        <w:rPr>
          <w:rStyle w:val="CommentReference"/>
          <w:color w:val="808080" w:themeColor="background1" w:themeShade="80"/>
        </w:rPr>
        <w:commentReference w:id="34"/>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6D96BDC0"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w:t>
      </w:r>
      <w:r w:rsidR="007255F8" w:rsidRPr="00662D0E">
        <w:rPr>
          <w:bCs/>
          <w:iCs/>
          <w:color w:val="000000" w:themeColor="text1"/>
        </w:rPr>
        <w:lastRenderedPageBreak/>
        <w:t xml:space="preserve">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27D1C">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"&lt;sup&gt;46&lt;/sup&gt;", "plainTextFormattedCitation" : "46", "previouslyFormattedCitation" : "&lt;sup&gt;45&lt;/sup&gt;" }, "properties" : { "noteIndex" : 0 }, "schema" : "https://github.com/citation-style-language/schema/raw/master/csl-citation.json" }</w:instrText>
      </w:r>
      <w:r w:rsidR="0042743A" w:rsidRPr="00662D0E">
        <w:rPr>
          <w:bCs/>
          <w:iCs/>
          <w:color w:val="000000" w:themeColor="text1"/>
        </w:rPr>
        <w:fldChar w:fldCharType="separate"/>
      </w:r>
      <w:r w:rsidR="00E27D1C" w:rsidRPr="00E27D1C">
        <w:rPr>
          <w:bCs/>
          <w:iCs/>
          <w:noProof/>
          <w:color w:val="000000" w:themeColor="text1"/>
          <w:vertAlign w:val="superscript"/>
        </w:rPr>
        <w:t>46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5"/>
      <w:r w:rsidR="00662D0E">
        <w:rPr>
          <w:rStyle w:val="CommentReference"/>
          <w:rFonts w:asciiTheme="minorHAnsi" w:hAnsiTheme="minorHAnsi" w:cstheme="minorBidi"/>
        </w:rPr>
        <w:commentReference w:id="35"/>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36"/>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6"/>
      <w:r w:rsidR="00DF4CE6">
        <w:rPr>
          <w:rStyle w:val="CommentReference"/>
          <w:rFonts w:asciiTheme="minorHAnsi" w:hAnsiTheme="minorHAnsi" w:cstheme="minorBidi"/>
        </w:rPr>
        <w:commentReference w:id="36"/>
      </w:r>
    </w:p>
    <w:p w14:paraId="522518DA" w14:textId="127A87F0"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885C71">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716A81" w:rsidRPr="00716A81">
        <w:rPr>
          <w:noProof/>
          <w:vertAlign w:val="superscript"/>
        </w:rPr>
        <w:t>33</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304D11">
        <w:t xml:space="preserve">  Diploid strains were grown</w:t>
      </w:r>
      <w:r w:rsidR="006D4498">
        <w:t xml:space="preserve">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37"/>
      <w:r w:rsidRPr="009B3D83">
        <w:rPr>
          <w:b/>
          <w:bCs/>
          <w:iCs/>
          <w:color w:val="000000" w:themeColor="text1"/>
        </w:rPr>
        <w:t>Quantitative RT-PCR</w:t>
      </w:r>
      <w:commentRangeEnd w:id="37"/>
      <w:r w:rsidR="00A028A9" w:rsidRPr="009B3D83">
        <w:rPr>
          <w:rStyle w:val="CommentReference"/>
          <w:color w:val="000000" w:themeColor="text1"/>
        </w:rPr>
        <w:commentReference w:id="37"/>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lastRenderedPageBreak/>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38"/>
      <w:r w:rsidRPr="00233F15">
        <w:rPr>
          <w:b/>
          <w:sz w:val="28"/>
        </w:rPr>
        <w:t>Additional Data Files</w:t>
      </w:r>
      <w:commentRangeEnd w:id="38"/>
      <w:r w:rsidR="00BD3C0C" w:rsidRPr="00233F15">
        <w:rPr>
          <w:rStyle w:val="CommentReference"/>
        </w:rPr>
        <w:commentReference w:id="38"/>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lastRenderedPageBreak/>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7D5181D8" w14:textId="0D11F395" w:rsidR="00E27D1C" w:rsidRPr="00E27D1C" w:rsidRDefault="00C1486D" w:rsidP="00E27D1C">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27D1C" w:rsidRPr="00E27D1C">
        <w:rPr>
          <w:rFonts w:eastAsia="Times New Roman"/>
          <w:noProof/>
        </w:rPr>
        <w:t>1.</w:t>
      </w:r>
      <w:r w:rsidR="00E27D1C" w:rsidRPr="00E27D1C">
        <w:rPr>
          <w:rFonts w:eastAsia="Times New Roman"/>
          <w:noProof/>
        </w:rPr>
        <w:tab/>
        <w:t xml:space="preserve">Benfey, P. N. &amp; Mitchell-Olds, T. From Genotype to Phenotype: Systems Biology Meets Natural Variation. </w:t>
      </w:r>
      <w:r w:rsidR="00E27D1C" w:rsidRPr="00E27D1C">
        <w:rPr>
          <w:rFonts w:eastAsia="Times New Roman"/>
          <w:i/>
          <w:iCs/>
          <w:noProof/>
        </w:rPr>
        <w:t>Science (80-. ).</w:t>
      </w:r>
      <w:r w:rsidR="00E27D1C" w:rsidRPr="00E27D1C">
        <w:rPr>
          <w:rFonts w:eastAsia="Times New Roman"/>
          <w:noProof/>
        </w:rPr>
        <w:t xml:space="preserve"> </w:t>
      </w:r>
      <w:r w:rsidR="00E27D1C" w:rsidRPr="00E27D1C">
        <w:rPr>
          <w:rFonts w:eastAsia="Times New Roman"/>
          <w:b/>
          <w:bCs/>
          <w:noProof/>
        </w:rPr>
        <w:t>320,</w:t>
      </w:r>
      <w:r w:rsidR="00E27D1C" w:rsidRPr="00E27D1C">
        <w:rPr>
          <w:rFonts w:eastAsia="Times New Roman"/>
          <w:noProof/>
        </w:rPr>
        <w:t xml:space="preserve"> (2008).</w:t>
      </w:r>
    </w:p>
    <w:p w14:paraId="3AEF484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w:t>
      </w:r>
      <w:r w:rsidRPr="00E27D1C">
        <w:rPr>
          <w:rFonts w:eastAsia="Times New Roman"/>
          <w:noProof/>
        </w:rPr>
        <w:tab/>
        <w:t xml:space="preserve">Hartwell, L. Robust Interactions.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303,</w:t>
      </w:r>
      <w:r w:rsidRPr="00E27D1C">
        <w:rPr>
          <w:rFonts w:eastAsia="Times New Roman"/>
          <w:noProof/>
        </w:rPr>
        <w:t xml:space="preserve"> (2004).</w:t>
      </w:r>
    </w:p>
    <w:p w14:paraId="08B3F18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w:t>
      </w:r>
      <w:r w:rsidRPr="00E27D1C">
        <w:rPr>
          <w:rFonts w:eastAsia="Times New Roman"/>
          <w:noProof/>
        </w:rPr>
        <w:tab/>
        <w:t xml:space="preserve">Hartman, J. L., Garvik, B. &amp; Hartwell, L. Principles for the Buffering of Genetic Variation.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291,</w:t>
      </w:r>
      <w:r w:rsidRPr="00E27D1C">
        <w:rPr>
          <w:rFonts w:eastAsia="Times New Roman"/>
          <w:noProof/>
        </w:rPr>
        <w:t xml:space="preserve"> (2001).</w:t>
      </w:r>
    </w:p>
    <w:p w14:paraId="7A44C06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w:t>
      </w:r>
      <w:r w:rsidRPr="00E27D1C">
        <w:rPr>
          <w:rFonts w:eastAsia="Times New Roman"/>
          <w:noProof/>
        </w:rPr>
        <w:tab/>
        <w:t xml:space="preserve">Civelek, M. &amp; Lusis, A. J. Systems genetics approaches to understand complex traits. </w:t>
      </w:r>
      <w:r w:rsidRPr="00E27D1C">
        <w:rPr>
          <w:rFonts w:eastAsia="Times New Roman"/>
          <w:i/>
          <w:iCs/>
          <w:noProof/>
        </w:rPr>
        <w:t>Nat. Rev. Genet.</w:t>
      </w:r>
      <w:r w:rsidRPr="00E27D1C">
        <w:rPr>
          <w:rFonts w:eastAsia="Times New Roman"/>
          <w:noProof/>
        </w:rPr>
        <w:t xml:space="preserve"> </w:t>
      </w:r>
      <w:r w:rsidRPr="00E27D1C">
        <w:rPr>
          <w:rFonts w:eastAsia="Times New Roman"/>
          <w:b/>
          <w:bCs/>
          <w:noProof/>
        </w:rPr>
        <w:t>15,</w:t>
      </w:r>
      <w:r w:rsidRPr="00E27D1C">
        <w:rPr>
          <w:rFonts w:eastAsia="Times New Roman"/>
          <w:noProof/>
        </w:rPr>
        <w:t xml:space="preserve"> 34–48 (2014).</w:t>
      </w:r>
    </w:p>
    <w:p w14:paraId="3A96D1E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5.</w:t>
      </w:r>
      <w:r w:rsidRPr="00E27D1C">
        <w:rPr>
          <w:rFonts w:eastAsia="Times New Roman"/>
          <w:noProof/>
        </w:rPr>
        <w:tab/>
        <w:t xml:space="preserve">Costanzo, M. </w:t>
      </w:r>
      <w:r w:rsidRPr="00E27D1C">
        <w:rPr>
          <w:rFonts w:eastAsia="Times New Roman"/>
          <w:i/>
          <w:iCs/>
          <w:noProof/>
        </w:rPr>
        <w:t>et al.</w:t>
      </w:r>
      <w:r w:rsidRPr="00E27D1C">
        <w:rPr>
          <w:rFonts w:eastAsia="Times New Roman"/>
          <w:noProof/>
        </w:rPr>
        <w:t xml:space="preserve"> A global genetic interaction network maps a wiring diagram of cellular function.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353,</w:t>
      </w:r>
      <w:r w:rsidRPr="00E27D1C">
        <w:rPr>
          <w:rFonts w:eastAsia="Times New Roman"/>
          <w:noProof/>
        </w:rPr>
        <w:t xml:space="preserve"> (2016).</w:t>
      </w:r>
    </w:p>
    <w:p w14:paraId="46FFE063"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6.</w:t>
      </w:r>
      <w:r w:rsidRPr="00E27D1C">
        <w:rPr>
          <w:rFonts w:eastAsia="Times New Roman"/>
          <w:noProof/>
        </w:rPr>
        <w:tab/>
        <w:t xml:space="preserve">Tong, A. H. Y. </w:t>
      </w:r>
      <w:r w:rsidRPr="00E27D1C">
        <w:rPr>
          <w:rFonts w:eastAsia="Times New Roman"/>
          <w:i/>
          <w:iCs/>
          <w:noProof/>
        </w:rPr>
        <w:t>et al.</w:t>
      </w:r>
      <w:r w:rsidRPr="00E27D1C">
        <w:rPr>
          <w:rFonts w:eastAsia="Times New Roman"/>
          <w:noProof/>
        </w:rPr>
        <w:t xml:space="preserve"> Global mapping of the yeast genetic interaction network.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303,</w:t>
      </w:r>
      <w:r w:rsidRPr="00E27D1C">
        <w:rPr>
          <w:rFonts w:eastAsia="Times New Roman"/>
          <w:noProof/>
        </w:rPr>
        <w:t xml:space="preserve"> 808–13 (2004).</w:t>
      </w:r>
    </w:p>
    <w:p w14:paraId="615022C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7.</w:t>
      </w:r>
      <w:r w:rsidRPr="00E27D1C">
        <w:rPr>
          <w:rFonts w:eastAsia="Times New Roman"/>
          <w:noProof/>
        </w:rPr>
        <w:tab/>
        <w:t xml:space="preserve">Braberg, H. </w:t>
      </w:r>
      <w:r w:rsidRPr="00E27D1C">
        <w:rPr>
          <w:rFonts w:eastAsia="Times New Roman"/>
          <w:i/>
          <w:iCs/>
          <w:noProof/>
        </w:rPr>
        <w:t>et al.</w:t>
      </w:r>
      <w:r w:rsidRPr="00E27D1C">
        <w:rPr>
          <w:rFonts w:eastAsia="Times New Roman"/>
          <w:noProof/>
        </w:rPr>
        <w:t xml:space="preserve"> Quantitative analysis of triple-mutant genetic interactions.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lastRenderedPageBreak/>
        <w:t>9,</w:t>
      </w:r>
      <w:r w:rsidRPr="00E27D1C">
        <w:rPr>
          <w:rFonts w:eastAsia="Times New Roman"/>
          <w:noProof/>
        </w:rPr>
        <w:t xml:space="preserve"> 1867–81 (2014).</w:t>
      </w:r>
    </w:p>
    <w:p w14:paraId="5A5262C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8.</w:t>
      </w:r>
      <w:r w:rsidRPr="00E27D1C">
        <w:rPr>
          <w:rFonts w:eastAsia="Times New Roman"/>
          <w:noProof/>
        </w:rPr>
        <w:tab/>
        <w:t xml:space="preserve">Taylor, M. B., Ehrenreich, I. M., Rothstein, R., Hu, T. &amp; Mast, J. Genetic Interactions Involving Five or More Genes Contribute to a Complex Trait in Yeast. </w:t>
      </w:r>
      <w:r w:rsidRPr="00E27D1C">
        <w:rPr>
          <w:rFonts w:eastAsia="Times New Roman"/>
          <w:i/>
          <w:iCs/>
          <w:noProof/>
        </w:rPr>
        <w:t>PLoS Genet.</w:t>
      </w:r>
      <w:r w:rsidRPr="00E27D1C">
        <w:rPr>
          <w:rFonts w:eastAsia="Times New Roman"/>
          <w:noProof/>
        </w:rPr>
        <w:t xml:space="preserve"> </w:t>
      </w:r>
      <w:r w:rsidRPr="00E27D1C">
        <w:rPr>
          <w:rFonts w:eastAsia="Times New Roman"/>
          <w:b/>
          <w:bCs/>
          <w:noProof/>
        </w:rPr>
        <w:t>10,</w:t>
      </w:r>
      <w:r w:rsidRPr="00E27D1C">
        <w:rPr>
          <w:rFonts w:eastAsia="Times New Roman"/>
          <w:noProof/>
        </w:rPr>
        <w:t xml:space="preserve"> e1004324 (2014).</w:t>
      </w:r>
    </w:p>
    <w:p w14:paraId="25A4B1F5"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9.</w:t>
      </w:r>
      <w:r w:rsidRPr="00E27D1C">
        <w:rPr>
          <w:rFonts w:eastAsia="Times New Roman"/>
          <w:noProof/>
        </w:rPr>
        <w:tab/>
        <w:t xml:space="preserve">Beh, C. T., Cool, L., Phillips, J. &amp; Rine, J. Overlapping functions of the yeast oxysterol-binding protein homologues. </w:t>
      </w:r>
      <w:r w:rsidRPr="00E27D1C">
        <w:rPr>
          <w:rFonts w:eastAsia="Times New Roman"/>
          <w:i/>
          <w:iCs/>
          <w:noProof/>
        </w:rPr>
        <w:t>Genetics</w:t>
      </w:r>
      <w:r w:rsidRPr="00E27D1C">
        <w:rPr>
          <w:rFonts w:eastAsia="Times New Roman"/>
          <w:noProof/>
        </w:rPr>
        <w:t xml:space="preserve"> </w:t>
      </w:r>
      <w:r w:rsidRPr="00E27D1C">
        <w:rPr>
          <w:rFonts w:eastAsia="Times New Roman"/>
          <w:b/>
          <w:bCs/>
          <w:noProof/>
        </w:rPr>
        <w:t>157,</w:t>
      </w:r>
      <w:r w:rsidRPr="00E27D1C">
        <w:rPr>
          <w:rFonts w:eastAsia="Times New Roman"/>
          <w:noProof/>
        </w:rPr>
        <w:t xml:space="preserve"> 1117–40 (2001).</w:t>
      </w:r>
    </w:p>
    <w:p w14:paraId="3A4BBDE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10.</w:t>
      </w:r>
      <w:r w:rsidRPr="00E27D1C">
        <w:rPr>
          <w:rFonts w:eastAsia="Times New Roman"/>
          <w:noProof/>
        </w:rPr>
        <w:tab/>
        <w:t xml:space="preserve">Wieczorke, R. </w:t>
      </w:r>
      <w:r w:rsidRPr="00E27D1C">
        <w:rPr>
          <w:rFonts w:eastAsia="Times New Roman"/>
          <w:i/>
          <w:iCs/>
          <w:noProof/>
        </w:rPr>
        <w:t>et al.</w:t>
      </w:r>
      <w:r w:rsidRPr="00E27D1C">
        <w:rPr>
          <w:rFonts w:eastAsia="Times New Roman"/>
          <w:noProof/>
        </w:rPr>
        <w:t xml:space="preserve"> Concurrent knock-out of at least 20 transporter genes is required to block uptake of hexoses in Saccharomyces cerevisiae.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464,</w:t>
      </w:r>
      <w:r w:rsidRPr="00E27D1C">
        <w:rPr>
          <w:rFonts w:eastAsia="Times New Roman"/>
          <w:noProof/>
        </w:rPr>
        <w:t xml:space="preserve"> 123–8 (1999).</w:t>
      </w:r>
    </w:p>
    <w:p w14:paraId="06C1F03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11.</w:t>
      </w:r>
      <w:r w:rsidRPr="00E27D1C">
        <w:rPr>
          <w:rFonts w:eastAsia="Times New Roman"/>
          <w:noProof/>
        </w:rPr>
        <w:tab/>
        <w:t xml:space="preserve">Weinreich, D. M., Lan, Y., Wylie, C. S. &amp; Heckendorn, R. B. Should evolutionary geneticists worry about higher-order epistasis? </w:t>
      </w:r>
      <w:r w:rsidRPr="00E27D1C">
        <w:rPr>
          <w:rFonts w:eastAsia="Times New Roman"/>
          <w:i/>
          <w:iCs/>
          <w:noProof/>
        </w:rPr>
        <w:t>Curr. Opin. Genet. Dev.</w:t>
      </w:r>
      <w:r w:rsidRPr="00E27D1C">
        <w:rPr>
          <w:rFonts w:eastAsia="Times New Roman"/>
          <w:noProof/>
        </w:rPr>
        <w:t xml:space="preserve"> </w:t>
      </w:r>
      <w:r w:rsidRPr="00E27D1C">
        <w:rPr>
          <w:rFonts w:eastAsia="Times New Roman"/>
          <w:b/>
          <w:bCs/>
          <w:noProof/>
        </w:rPr>
        <w:t>23,</w:t>
      </w:r>
      <w:r w:rsidRPr="00E27D1C">
        <w:rPr>
          <w:rFonts w:eastAsia="Times New Roman"/>
          <w:noProof/>
        </w:rPr>
        <w:t xml:space="preserve"> 700–707 (2013).</w:t>
      </w:r>
    </w:p>
    <w:p w14:paraId="5929FE0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12.</w:t>
      </w:r>
      <w:r w:rsidRPr="00E27D1C">
        <w:rPr>
          <w:rFonts w:eastAsia="Times New Roman"/>
          <w:noProof/>
        </w:rPr>
        <w:tab/>
        <w:t xml:space="preserve">Costanzo, M. </w:t>
      </w:r>
      <w:r w:rsidRPr="00E27D1C">
        <w:rPr>
          <w:rFonts w:eastAsia="Times New Roman"/>
          <w:i/>
          <w:iCs/>
          <w:noProof/>
        </w:rPr>
        <w:t>et al.</w:t>
      </w:r>
      <w:r w:rsidRPr="00E27D1C">
        <w:rPr>
          <w:rFonts w:eastAsia="Times New Roman"/>
          <w:noProof/>
        </w:rPr>
        <w:t xml:space="preserve"> The genetic landscape of a cell.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327,</w:t>
      </w:r>
      <w:r w:rsidRPr="00E27D1C">
        <w:rPr>
          <w:rFonts w:eastAsia="Times New Roman"/>
          <w:noProof/>
        </w:rPr>
        <w:t xml:space="preserve"> 425–31 (2010).</w:t>
      </w:r>
    </w:p>
    <w:p w14:paraId="3B03DA7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13.</w:t>
      </w:r>
      <w:r w:rsidRPr="00E27D1C">
        <w:rPr>
          <w:rFonts w:eastAsia="Times New Roman"/>
          <w:noProof/>
        </w:rPr>
        <w:tab/>
        <w:t xml:space="preserve">Bloom, J. S., Ehrenreich, I. M., Loo, W. T., Lite, T.-L. V. &amp; Kruglyak, L. Finding the sources of missing heritability in a yeast cross.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494,</w:t>
      </w:r>
      <w:r w:rsidRPr="00E27D1C">
        <w:rPr>
          <w:rFonts w:eastAsia="Times New Roman"/>
          <w:noProof/>
        </w:rPr>
        <w:t xml:space="preserve"> 234–7 (2013).</w:t>
      </w:r>
    </w:p>
    <w:p w14:paraId="1DDFF0D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14.</w:t>
      </w:r>
      <w:r w:rsidRPr="00E27D1C">
        <w:rPr>
          <w:rFonts w:eastAsia="Times New Roman"/>
          <w:noProof/>
        </w:rPr>
        <w:tab/>
        <w:t xml:space="preserve">St Onge, R. P. </w:t>
      </w:r>
      <w:r w:rsidRPr="00E27D1C">
        <w:rPr>
          <w:rFonts w:eastAsia="Times New Roman"/>
          <w:i/>
          <w:iCs/>
          <w:noProof/>
        </w:rPr>
        <w:t>et al.</w:t>
      </w:r>
      <w:r w:rsidRPr="00E27D1C">
        <w:rPr>
          <w:rFonts w:eastAsia="Times New Roman"/>
          <w:noProof/>
        </w:rPr>
        <w:t xml:space="preserve"> Systematic pathway analysis using high-resolution fitness profiling of combinatorial gene deletions. </w:t>
      </w:r>
      <w:r w:rsidRPr="00E27D1C">
        <w:rPr>
          <w:rFonts w:eastAsia="Times New Roman"/>
          <w:i/>
          <w:iCs/>
          <w:noProof/>
        </w:rPr>
        <w:t>Nat. Genet.</w:t>
      </w:r>
      <w:r w:rsidRPr="00E27D1C">
        <w:rPr>
          <w:rFonts w:eastAsia="Times New Roman"/>
          <w:noProof/>
        </w:rPr>
        <w:t xml:space="preserve"> </w:t>
      </w:r>
      <w:r w:rsidRPr="00E27D1C">
        <w:rPr>
          <w:rFonts w:eastAsia="Times New Roman"/>
          <w:b/>
          <w:bCs/>
          <w:noProof/>
        </w:rPr>
        <w:t>39,</w:t>
      </w:r>
      <w:r w:rsidRPr="00E27D1C">
        <w:rPr>
          <w:rFonts w:eastAsia="Times New Roman"/>
          <w:noProof/>
        </w:rPr>
        <w:t xml:space="preserve"> 199–206 (2007).</w:t>
      </w:r>
    </w:p>
    <w:p w14:paraId="33279FD5"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15.</w:t>
      </w:r>
      <w:r w:rsidRPr="00E27D1C">
        <w:rPr>
          <w:rFonts w:eastAsia="Times New Roman"/>
          <w:noProof/>
        </w:rPr>
        <w:tab/>
        <w:t xml:space="preserve">Suzuki, Y. </w:t>
      </w:r>
      <w:r w:rsidRPr="00E27D1C">
        <w:rPr>
          <w:rFonts w:eastAsia="Times New Roman"/>
          <w:i/>
          <w:iCs/>
          <w:noProof/>
        </w:rPr>
        <w:t>et al.</w:t>
      </w:r>
      <w:r w:rsidRPr="00E27D1C">
        <w:rPr>
          <w:rFonts w:eastAsia="Times New Roman"/>
          <w:noProof/>
        </w:rPr>
        <w:t xml:space="preserve"> Knocking out multigene redundancies via cycles of sexual assortment and fluorescence selection.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8,</w:t>
      </w:r>
      <w:r w:rsidRPr="00E27D1C">
        <w:rPr>
          <w:rFonts w:eastAsia="Times New Roman"/>
          <w:noProof/>
        </w:rPr>
        <w:t xml:space="preserve"> 159–64 (2011).</w:t>
      </w:r>
    </w:p>
    <w:p w14:paraId="122B708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16.</w:t>
      </w:r>
      <w:r w:rsidRPr="00E27D1C">
        <w:rPr>
          <w:rFonts w:eastAsia="Times New Roman"/>
          <w:noProof/>
        </w:rPr>
        <w:tab/>
        <w:t xml:space="preserve">Wang, H. H. </w:t>
      </w:r>
      <w:r w:rsidRPr="00E27D1C">
        <w:rPr>
          <w:rFonts w:eastAsia="Times New Roman"/>
          <w:i/>
          <w:iCs/>
          <w:noProof/>
        </w:rPr>
        <w:t>et al.</w:t>
      </w:r>
      <w:r w:rsidRPr="00E27D1C">
        <w:rPr>
          <w:rFonts w:eastAsia="Times New Roman"/>
          <w:noProof/>
        </w:rPr>
        <w:t xml:space="preserve"> Programming cells by multiplex genome engineering and accelerated evolution.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460,</w:t>
      </w:r>
      <w:r w:rsidRPr="00E27D1C">
        <w:rPr>
          <w:rFonts w:eastAsia="Times New Roman"/>
          <w:noProof/>
        </w:rPr>
        <w:t xml:space="preserve"> 894–8 (2009).</w:t>
      </w:r>
    </w:p>
    <w:p w14:paraId="278946E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17.</w:t>
      </w:r>
      <w:r w:rsidRPr="00E27D1C">
        <w:rPr>
          <w:rFonts w:eastAsia="Times New Roman"/>
          <w:noProof/>
        </w:rPr>
        <w:tab/>
        <w:t xml:space="preserve">DiCarlo, J. E. </w:t>
      </w:r>
      <w:r w:rsidRPr="00E27D1C">
        <w:rPr>
          <w:rFonts w:eastAsia="Times New Roman"/>
          <w:i/>
          <w:iCs/>
          <w:noProof/>
        </w:rPr>
        <w:t>et al.</w:t>
      </w:r>
      <w:r w:rsidRPr="00E27D1C">
        <w:rPr>
          <w:rFonts w:eastAsia="Times New Roman"/>
          <w:noProof/>
        </w:rPr>
        <w:t xml:space="preserve"> Yeast oligo-mediated genome engineering (YOGE). </w:t>
      </w:r>
      <w:r w:rsidRPr="00E27D1C">
        <w:rPr>
          <w:rFonts w:eastAsia="Times New Roman"/>
          <w:i/>
          <w:iCs/>
          <w:noProof/>
        </w:rPr>
        <w:t>ACS Synth. Biol.</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741–9 (2013).</w:t>
      </w:r>
    </w:p>
    <w:p w14:paraId="58712364"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18.</w:t>
      </w:r>
      <w:r w:rsidRPr="00E27D1C">
        <w:rPr>
          <w:rFonts w:eastAsia="Times New Roman"/>
          <w:noProof/>
        </w:rPr>
        <w:tab/>
        <w:t xml:space="preserve">Zeitoun, R. I. </w:t>
      </w:r>
      <w:r w:rsidRPr="00E27D1C">
        <w:rPr>
          <w:rFonts w:eastAsia="Times New Roman"/>
          <w:i/>
          <w:iCs/>
          <w:noProof/>
        </w:rPr>
        <w:t>et al.</w:t>
      </w:r>
      <w:r w:rsidRPr="00E27D1C">
        <w:rPr>
          <w:rFonts w:eastAsia="Times New Roman"/>
          <w:noProof/>
        </w:rPr>
        <w:t xml:space="preserve"> Multiplexed tracking of combinatorial genomic mutations in </w:t>
      </w:r>
      <w:r w:rsidRPr="00E27D1C">
        <w:rPr>
          <w:rFonts w:eastAsia="Times New Roman"/>
          <w:noProof/>
        </w:rPr>
        <w:lastRenderedPageBreak/>
        <w:t xml:space="preserve">engineered cell populations. </w:t>
      </w:r>
      <w:r w:rsidRPr="00E27D1C">
        <w:rPr>
          <w:rFonts w:eastAsia="Times New Roman"/>
          <w:i/>
          <w:iCs/>
          <w:noProof/>
        </w:rPr>
        <w:t>Nat. Biotechnol.</w:t>
      </w:r>
      <w:r w:rsidRPr="00E27D1C">
        <w:rPr>
          <w:rFonts w:eastAsia="Times New Roman"/>
          <w:noProof/>
        </w:rPr>
        <w:t xml:space="preserve"> </w:t>
      </w:r>
      <w:r w:rsidRPr="00E27D1C">
        <w:rPr>
          <w:rFonts w:eastAsia="Times New Roman"/>
          <w:b/>
          <w:bCs/>
          <w:noProof/>
        </w:rPr>
        <w:t>33,</w:t>
      </w:r>
      <w:r w:rsidRPr="00E27D1C">
        <w:rPr>
          <w:rFonts w:eastAsia="Times New Roman"/>
          <w:noProof/>
        </w:rPr>
        <w:t xml:space="preserve"> 631–637 (2015).</w:t>
      </w:r>
    </w:p>
    <w:p w14:paraId="0767A4A0"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19.</w:t>
      </w:r>
      <w:r w:rsidRPr="00E27D1C">
        <w:rPr>
          <w:rFonts w:eastAsia="Times New Roman"/>
          <w:noProof/>
        </w:rPr>
        <w:tab/>
        <w:t xml:space="preserve">Zeitoun, R. I., Pines, G., Grau, W. C. &amp; Gill, R. T. Quantitative Tracking of Combinatorially Engineered Populations with Multiplexed Binary Assemblies. </w:t>
      </w:r>
      <w:r w:rsidRPr="00E27D1C">
        <w:rPr>
          <w:rFonts w:eastAsia="Times New Roman"/>
          <w:i/>
          <w:iCs/>
          <w:noProof/>
        </w:rPr>
        <w:t>ACS Synth. Biol.</w:t>
      </w:r>
      <w:r w:rsidRPr="00E27D1C">
        <w:rPr>
          <w:rFonts w:eastAsia="Times New Roman"/>
          <w:noProof/>
        </w:rPr>
        <w:t xml:space="preserve"> </w:t>
      </w:r>
      <w:r w:rsidRPr="00E27D1C">
        <w:rPr>
          <w:rFonts w:eastAsia="Times New Roman"/>
          <w:b/>
          <w:bCs/>
          <w:noProof/>
        </w:rPr>
        <w:t>6,</w:t>
      </w:r>
      <w:r w:rsidRPr="00E27D1C">
        <w:rPr>
          <w:rFonts w:eastAsia="Times New Roman"/>
          <w:noProof/>
        </w:rPr>
        <w:t xml:space="preserve"> 619–627 (2017).</w:t>
      </w:r>
    </w:p>
    <w:p w14:paraId="2E2333D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20.</w:t>
      </w:r>
      <w:r w:rsidRPr="00E27D1C">
        <w:rPr>
          <w:rFonts w:eastAsia="Times New Roman"/>
          <w:noProof/>
        </w:rPr>
        <w:tab/>
        <w:t xml:space="preserve">Yan, Z. </w:t>
      </w:r>
      <w:r w:rsidRPr="00E27D1C">
        <w:rPr>
          <w:rFonts w:eastAsia="Times New Roman"/>
          <w:i/>
          <w:iCs/>
          <w:noProof/>
        </w:rPr>
        <w:t>et al.</w:t>
      </w:r>
      <w:r w:rsidRPr="00E27D1C">
        <w:rPr>
          <w:rFonts w:eastAsia="Times New Roman"/>
          <w:noProof/>
        </w:rPr>
        <w:t xml:space="preserve"> Yeast Barcoders: a chemogenomic application of a universal donor-strain collection carrying bar-code identifiers.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5,</w:t>
      </w:r>
      <w:r w:rsidRPr="00E27D1C">
        <w:rPr>
          <w:rFonts w:eastAsia="Times New Roman"/>
          <w:noProof/>
        </w:rPr>
        <w:t xml:space="preserve"> 719–725 (2008).</w:t>
      </w:r>
    </w:p>
    <w:p w14:paraId="17879A6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21.</w:t>
      </w:r>
      <w:r w:rsidRPr="00E27D1C">
        <w:rPr>
          <w:rFonts w:eastAsia="Times New Roman"/>
          <w:noProof/>
        </w:rPr>
        <w:tab/>
        <w:t xml:space="preserve">Smith, A. M. </w:t>
      </w:r>
      <w:r w:rsidRPr="00E27D1C">
        <w:rPr>
          <w:rFonts w:eastAsia="Times New Roman"/>
          <w:i/>
          <w:iCs/>
          <w:noProof/>
        </w:rPr>
        <w:t>et al.</w:t>
      </w:r>
      <w:r w:rsidRPr="00E27D1C">
        <w:rPr>
          <w:rFonts w:eastAsia="Times New Roman"/>
          <w:noProof/>
        </w:rPr>
        <w:t xml:space="preserve"> Quantitative phenotyping via deep barcode sequencing.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19,</w:t>
      </w:r>
      <w:r w:rsidRPr="00E27D1C">
        <w:rPr>
          <w:rFonts w:eastAsia="Times New Roman"/>
          <w:noProof/>
        </w:rPr>
        <w:t xml:space="preserve"> 1836–42 (2009).</w:t>
      </w:r>
    </w:p>
    <w:p w14:paraId="483BA4E8"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22.</w:t>
      </w:r>
      <w:r w:rsidRPr="00E27D1C">
        <w:rPr>
          <w:rFonts w:eastAsia="Times New Roman"/>
          <w:noProof/>
        </w:rPr>
        <w:tab/>
        <w:t xml:space="preserve">Kovalchuk, A. &amp; Driessen, A. J. M. Phylogenetic analysis of fungal ABC transporters. </w:t>
      </w:r>
      <w:r w:rsidRPr="00E27D1C">
        <w:rPr>
          <w:rFonts w:eastAsia="Times New Roman"/>
          <w:i/>
          <w:iCs/>
          <w:noProof/>
        </w:rPr>
        <w:t>BMC Genomics</w:t>
      </w:r>
      <w:r w:rsidRPr="00E27D1C">
        <w:rPr>
          <w:rFonts w:eastAsia="Times New Roman"/>
          <w:noProof/>
        </w:rPr>
        <w:t xml:space="preserve"> </w:t>
      </w:r>
      <w:r w:rsidRPr="00E27D1C">
        <w:rPr>
          <w:rFonts w:eastAsia="Times New Roman"/>
          <w:b/>
          <w:bCs/>
          <w:noProof/>
        </w:rPr>
        <w:t>11,</w:t>
      </w:r>
      <w:r w:rsidRPr="00E27D1C">
        <w:rPr>
          <w:rFonts w:eastAsia="Times New Roman"/>
          <w:noProof/>
        </w:rPr>
        <w:t xml:space="preserve"> 177 (2010).</w:t>
      </w:r>
    </w:p>
    <w:p w14:paraId="33322E4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23.</w:t>
      </w:r>
      <w:r w:rsidRPr="00E27D1C">
        <w:rPr>
          <w:rFonts w:eastAsia="Times New Roman"/>
          <w:noProof/>
        </w:rPr>
        <w:tab/>
        <w:t xml:space="preserve">Jungwirth, H. &amp; Kuchler, K. Yeast ABC transporters – a tale of sex, stress, drugs and aging.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580,</w:t>
      </w:r>
      <w:r w:rsidRPr="00E27D1C">
        <w:rPr>
          <w:rFonts w:eastAsia="Times New Roman"/>
          <w:noProof/>
        </w:rPr>
        <w:t xml:space="preserve"> 1131–8 (2006).</w:t>
      </w:r>
    </w:p>
    <w:p w14:paraId="27270788"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24.</w:t>
      </w:r>
      <w:r w:rsidRPr="00E27D1C">
        <w:rPr>
          <w:rFonts w:eastAsia="Times New Roman"/>
          <w:noProof/>
        </w:rPr>
        <w:tab/>
        <w:t xml:space="preserve">Dean, M., Rzhetsky, A. &amp; Allikmets, R. The human ATP-binding cassette (ABC) transporter superfamily.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11,</w:t>
      </w:r>
      <w:r w:rsidRPr="00E27D1C">
        <w:rPr>
          <w:rFonts w:eastAsia="Times New Roman"/>
          <w:noProof/>
        </w:rPr>
        <w:t xml:space="preserve"> 1156–66 (2001).</w:t>
      </w:r>
    </w:p>
    <w:p w14:paraId="1F58B1C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25.</w:t>
      </w:r>
      <w:r w:rsidRPr="00E27D1C">
        <w:rPr>
          <w:rFonts w:eastAsia="Times New Roman"/>
          <w:noProof/>
        </w:rPr>
        <w:tab/>
        <w:t xml:space="preserve">Nakamura, K. </w:t>
      </w:r>
      <w:r w:rsidRPr="00E27D1C">
        <w:rPr>
          <w:rFonts w:eastAsia="Times New Roman"/>
          <w:i/>
          <w:iCs/>
          <w:noProof/>
        </w:rPr>
        <w:t>et al.</w:t>
      </w:r>
      <w:r w:rsidRPr="00E27D1C">
        <w:rPr>
          <w:rFonts w:eastAsia="Times New Roman"/>
          <w:noProof/>
        </w:rPr>
        <w:t xml:space="preserve"> Functional Expression of Candida albicans Drug Efflux Pump Cdr1p in a Saccharomyces cerevisiae Strain Deficient in Membrane Transporters. </w:t>
      </w:r>
      <w:r w:rsidRPr="00E27D1C">
        <w:rPr>
          <w:rFonts w:eastAsia="Times New Roman"/>
          <w:i/>
          <w:iCs/>
          <w:noProof/>
        </w:rPr>
        <w:t>Antimicrob. Agents Chemother.</w:t>
      </w:r>
      <w:r w:rsidRPr="00E27D1C">
        <w:rPr>
          <w:rFonts w:eastAsia="Times New Roman"/>
          <w:noProof/>
        </w:rPr>
        <w:t xml:space="preserve"> </w:t>
      </w:r>
      <w:r w:rsidRPr="00E27D1C">
        <w:rPr>
          <w:rFonts w:eastAsia="Times New Roman"/>
          <w:b/>
          <w:bCs/>
          <w:noProof/>
        </w:rPr>
        <w:t>45,</w:t>
      </w:r>
      <w:r w:rsidRPr="00E27D1C">
        <w:rPr>
          <w:rFonts w:eastAsia="Times New Roman"/>
          <w:noProof/>
        </w:rPr>
        <w:t xml:space="preserve"> 3366–3374 (2001).</w:t>
      </w:r>
    </w:p>
    <w:p w14:paraId="28A973D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26.</w:t>
      </w:r>
      <w:r w:rsidRPr="00E27D1C">
        <w:rPr>
          <w:rFonts w:eastAsia="Times New Roman"/>
          <w:noProof/>
        </w:rPr>
        <w:tab/>
        <w:t xml:space="preserve">Kolaczkowska, A., Kolaczkowski, M., Goffeau, A. &amp; Moye-Rowley, W. S. Compensatory activation of the multidrug transporters Pdr5p, Snq2p, and Yor1p by Pdr1p in Saccharomyces cerevisiae.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582,</w:t>
      </w:r>
      <w:r w:rsidRPr="00E27D1C">
        <w:rPr>
          <w:rFonts w:eastAsia="Times New Roman"/>
          <w:noProof/>
        </w:rPr>
        <w:t xml:space="preserve"> 977–83 (2008).</w:t>
      </w:r>
    </w:p>
    <w:p w14:paraId="07CECB3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27.</w:t>
      </w:r>
      <w:r w:rsidRPr="00E27D1C">
        <w:rPr>
          <w:rFonts w:eastAsia="Times New Roman"/>
          <w:noProof/>
        </w:rPr>
        <w:tab/>
        <w:t xml:space="preserve">Snider, J. </w:t>
      </w:r>
      <w:r w:rsidRPr="00E27D1C">
        <w:rPr>
          <w:rFonts w:eastAsia="Times New Roman"/>
          <w:i/>
          <w:iCs/>
          <w:noProof/>
        </w:rPr>
        <w:t>et al.</w:t>
      </w:r>
      <w:r w:rsidRPr="00E27D1C">
        <w:rPr>
          <w:rFonts w:eastAsia="Times New Roman"/>
          <w:noProof/>
        </w:rPr>
        <w:t xml:space="preserve"> Mapping the functional yeast ABC transporter interactome. </w:t>
      </w:r>
      <w:r w:rsidRPr="00E27D1C">
        <w:rPr>
          <w:rFonts w:eastAsia="Times New Roman"/>
          <w:i/>
          <w:iCs/>
          <w:noProof/>
        </w:rPr>
        <w:t>Nat. Chem. Biol.</w:t>
      </w:r>
      <w:r w:rsidRPr="00E27D1C">
        <w:rPr>
          <w:rFonts w:eastAsia="Times New Roman"/>
          <w:noProof/>
        </w:rPr>
        <w:t xml:space="preserve"> </w:t>
      </w:r>
      <w:r w:rsidRPr="00E27D1C">
        <w:rPr>
          <w:rFonts w:eastAsia="Times New Roman"/>
          <w:b/>
          <w:bCs/>
          <w:noProof/>
        </w:rPr>
        <w:t>9,</w:t>
      </w:r>
      <w:r w:rsidRPr="00E27D1C">
        <w:rPr>
          <w:rFonts w:eastAsia="Times New Roman"/>
          <w:noProof/>
        </w:rPr>
        <w:t xml:space="preserve"> 565–72 (2013).</w:t>
      </w:r>
    </w:p>
    <w:p w14:paraId="2355CB7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28.</w:t>
      </w:r>
      <w:r w:rsidRPr="00E27D1C">
        <w:rPr>
          <w:rFonts w:eastAsia="Times New Roman"/>
          <w:noProof/>
        </w:rPr>
        <w:tab/>
        <w:t xml:space="preserve">Donner, M. &amp; Keppler, D. Up-regulation of basolateral multidrug resistance protein 3 </w:t>
      </w:r>
      <w:r w:rsidRPr="00E27D1C">
        <w:rPr>
          <w:rFonts w:eastAsia="Times New Roman"/>
          <w:noProof/>
        </w:rPr>
        <w:lastRenderedPageBreak/>
        <w:t xml:space="preserve">(Mrp3) in cholestatic rat liver. </w:t>
      </w:r>
      <w:r w:rsidRPr="00E27D1C">
        <w:rPr>
          <w:rFonts w:eastAsia="Times New Roman"/>
          <w:i/>
          <w:iCs/>
          <w:noProof/>
        </w:rPr>
        <w:t>Hepatology</w:t>
      </w:r>
      <w:r w:rsidRPr="00E27D1C">
        <w:rPr>
          <w:rFonts w:eastAsia="Times New Roman"/>
          <w:noProof/>
        </w:rPr>
        <w:t xml:space="preserve"> </w:t>
      </w:r>
      <w:r w:rsidRPr="00E27D1C">
        <w:rPr>
          <w:rFonts w:eastAsia="Times New Roman"/>
          <w:b/>
          <w:bCs/>
          <w:noProof/>
        </w:rPr>
        <w:t>34,</w:t>
      </w:r>
      <w:r w:rsidRPr="00E27D1C">
        <w:rPr>
          <w:rFonts w:eastAsia="Times New Roman"/>
          <w:noProof/>
        </w:rPr>
        <w:t xml:space="preserve"> 351–359 (2001).</w:t>
      </w:r>
    </w:p>
    <w:p w14:paraId="2D6BD566"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29.</w:t>
      </w:r>
      <w:r w:rsidRPr="00E27D1C">
        <w:rPr>
          <w:rFonts w:eastAsia="Times New Roman"/>
          <w:noProof/>
        </w:rPr>
        <w:tab/>
        <w:t xml:space="preserve">König, J., Rost, D., Cui, Y. &amp; Keppler, D. Characterization of the human multidrug resistance protein isoform MRP3 localized to the basolateral hepatocyte membrane. </w:t>
      </w:r>
      <w:r w:rsidRPr="00E27D1C">
        <w:rPr>
          <w:rFonts w:eastAsia="Times New Roman"/>
          <w:i/>
          <w:iCs/>
          <w:noProof/>
        </w:rPr>
        <w:t>Hepatology</w:t>
      </w:r>
      <w:r w:rsidRPr="00E27D1C">
        <w:rPr>
          <w:rFonts w:eastAsia="Times New Roman"/>
          <w:noProof/>
        </w:rPr>
        <w:t xml:space="preserve"> </w:t>
      </w:r>
      <w:r w:rsidRPr="00E27D1C">
        <w:rPr>
          <w:rFonts w:eastAsia="Times New Roman"/>
          <w:b/>
          <w:bCs/>
          <w:noProof/>
        </w:rPr>
        <w:t>29,</w:t>
      </w:r>
      <w:r w:rsidRPr="00E27D1C">
        <w:rPr>
          <w:rFonts w:eastAsia="Times New Roman"/>
          <w:noProof/>
        </w:rPr>
        <w:t xml:space="preserve"> 1156–1163 (1999).</w:t>
      </w:r>
    </w:p>
    <w:p w14:paraId="1CE667DF"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30.</w:t>
      </w:r>
      <w:r w:rsidRPr="00E27D1C">
        <w:rPr>
          <w:rFonts w:eastAsia="Times New Roman"/>
          <w:noProof/>
        </w:rPr>
        <w:tab/>
        <w:t xml:space="preserve">Yachie, N. </w:t>
      </w:r>
      <w:r w:rsidRPr="00E27D1C">
        <w:rPr>
          <w:rFonts w:eastAsia="Times New Roman"/>
          <w:i/>
          <w:iCs/>
          <w:noProof/>
        </w:rPr>
        <w:t>et al.</w:t>
      </w:r>
      <w:r w:rsidRPr="00E27D1C">
        <w:rPr>
          <w:rFonts w:eastAsia="Times New Roman"/>
          <w:noProof/>
        </w:rPr>
        <w:t xml:space="preserve"> Pooled-matrix protein interaction screens using Barcode Fusion Genetics. </w:t>
      </w:r>
      <w:r w:rsidRPr="00E27D1C">
        <w:rPr>
          <w:rFonts w:eastAsia="Times New Roman"/>
          <w:i/>
          <w:iCs/>
          <w:noProof/>
        </w:rPr>
        <w:t>Mol. Syst. Biol.</w:t>
      </w:r>
      <w:r w:rsidRPr="00E27D1C">
        <w:rPr>
          <w:rFonts w:eastAsia="Times New Roman"/>
          <w:noProof/>
        </w:rPr>
        <w:t xml:space="preserve"> </w:t>
      </w:r>
      <w:r w:rsidRPr="00E27D1C">
        <w:rPr>
          <w:rFonts w:eastAsia="Times New Roman"/>
          <w:b/>
          <w:bCs/>
          <w:noProof/>
        </w:rPr>
        <w:t>12,</w:t>
      </w:r>
      <w:r w:rsidRPr="00E27D1C">
        <w:rPr>
          <w:rFonts w:eastAsia="Times New Roman"/>
          <w:noProof/>
        </w:rPr>
        <w:t xml:space="preserve"> 863 (2016).</w:t>
      </w:r>
    </w:p>
    <w:p w14:paraId="4E2BAA3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31.</w:t>
      </w:r>
      <w:r w:rsidRPr="00E27D1C">
        <w:rPr>
          <w:rFonts w:eastAsia="Times New Roman"/>
          <w:noProof/>
        </w:rPr>
        <w:tab/>
        <w:t xml:space="preserve">Mani, R., St Onge, R. P., Hartman, J. L., Giaever, G. &amp; Roth, F. P. Defining genetic interaction.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105,</w:t>
      </w:r>
      <w:r w:rsidRPr="00E27D1C">
        <w:rPr>
          <w:rFonts w:eastAsia="Times New Roman"/>
          <w:noProof/>
        </w:rPr>
        <w:t xml:space="preserve"> 3461–6 (2008).</w:t>
      </w:r>
    </w:p>
    <w:p w14:paraId="7C2E7990"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32.</w:t>
      </w:r>
      <w:r w:rsidRPr="00E27D1C">
        <w:rPr>
          <w:rFonts w:eastAsia="Times New Roman"/>
          <w:noProof/>
        </w:rPr>
        <w:tab/>
        <w:t xml:space="preserve">Khakhina, S. </w:t>
      </w:r>
      <w:r w:rsidRPr="00E27D1C">
        <w:rPr>
          <w:rFonts w:eastAsia="Times New Roman"/>
          <w:i/>
          <w:iCs/>
          <w:noProof/>
        </w:rPr>
        <w:t>et al.</w:t>
      </w:r>
      <w:r w:rsidRPr="00E27D1C">
        <w:rPr>
          <w:rFonts w:eastAsia="Times New Roman"/>
          <w:noProof/>
        </w:rPr>
        <w:t xml:space="preserve"> Control of Plasma Membrane Permeability by ABC Transporters. </w:t>
      </w:r>
      <w:r w:rsidRPr="00E27D1C">
        <w:rPr>
          <w:rFonts w:eastAsia="Times New Roman"/>
          <w:i/>
          <w:iCs/>
          <w:noProof/>
        </w:rPr>
        <w:t>Eukaryot. Cell</w:t>
      </w:r>
      <w:r w:rsidRPr="00E27D1C">
        <w:rPr>
          <w:rFonts w:eastAsia="Times New Roman"/>
          <w:noProof/>
        </w:rPr>
        <w:t xml:space="preserve"> </w:t>
      </w:r>
      <w:r w:rsidRPr="00E27D1C">
        <w:rPr>
          <w:rFonts w:eastAsia="Times New Roman"/>
          <w:b/>
          <w:bCs/>
          <w:noProof/>
        </w:rPr>
        <w:t>14,</w:t>
      </w:r>
      <w:r w:rsidRPr="00E27D1C">
        <w:rPr>
          <w:rFonts w:eastAsia="Times New Roman"/>
          <w:noProof/>
        </w:rPr>
        <w:t xml:space="preserve"> 442–453 (2015).</w:t>
      </w:r>
    </w:p>
    <w:p w14:paraId="1DFA8B3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33.</w:t>
      </w:r>
      <w:r w:rsidRPr="00E27D1C">
        <w:rPr>
          <w:rFonts w:eastAsia="Times New Roman"/>
          <w:noProof/>
        </w:rPr>
        <w:tab/>
        <w:t xml:space="preserve">Tarassov, K. </w:t>
      </w:r>
      <w:r w:rsidRPr="00E27D1C">
        <w:rPr>
          <w:rFonts w:eastAsia="Times New Roman"/>
          <w:i/>
          <w:iCs/>
          <w:noProof/>
        </w:rPr>
        <w:t>et al.</w:t>
      </w:r>
      <w:r w:rsidRPr="00E27D1C">
        <w:rPr>
          <w:rFonts w:eastAsia="Times New Roman"/>
          <w:noProof/>
        </w:rPr>
        <w:t xml:space="preserve"> An in vivo map of the yeast protein interactome.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320,</w:t>
      </w:r>
      <w:r w:rsidRPr="00E27D1C">
        <w:rPr>
          <w:rFonts w:eastAsia="Times New Roman"/>
          <w:noProof/>
        </w:rPr>
        <w:t xml:space="preserve"> 1465–70 (2008).</w:t>
      </w:r>
    </w:p>
    <w:p w14:paraId="2FBC7BC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34.</w:t>
      </w:r>
      <w:r w:rsidRPr="00E27D1C">
        <w:rPr>
          <w:rFonts w:eastAsia="Times New Roman"/>
          <w:noProof/>
        </w:rPr>
        <w:tab/>
        <w:t xml:space="preserve">Schlecht, U. </w:t>
      </w:r>
      <w:r w:rsidRPr="00E27D1C">
        <w:rPr>
          <w:rFonts w:eastAsia="Times New Roman"/>
          <w:i/>
          <w:iCs/>
          <w:noProof/>
        </w:rPr>
        <w:t>et al.</w:t>
      </w:r>
      <w:r w:rsidRPr="00E27D1C">
        <w:rPr>
          <w:rFonts w:eastAsia="Times New Roman"/>
          <w:noProof/>
        </w:rPr>
        <w:t xml:space="preserve"> Multiplex assay for condition-dependent changes in protein-protein interactions.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109,</w:t>
      </w:r>
      <w:r w:rsidRPr="00E27D1C">
        <w:rPr>
          <w:rFonts w:eastAsia="Times New Roman"/>
          <w:noProof/>
        </w:rPr>
        <w:t xml:space="preserve"> 9213–8 (2012).</w:t>
      </w:r>
    </w:p>
    <w:p w14:paraId="6CE63CB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35.</w:t>
      </w:r>
      <w:r w:rsidRPr="00E27D1C">
        <w:rPr>
          <w:rFonts w:eastAsia="Times New Roman"/>
          <w:noProof/>
        </w:rPr>
        <w:tab/>
        <w:t xml:space="preserve">Brem, R. B. &amp; Kruglyak, L. The landscape of genetic complexity across 5,700 gene expression traits in yeast.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102,</w:t>
      </w:r>
      <w:r w:rsidRPr="00E27D1C">
        <w:rPr>
          <w:rFonts w:eastAsia="Times New Roman"/>
          <w:noProof/>
        </w:rPr>
        <w:t xml:space="preserve"> 1572–7 (2005).</w:t>
      </w:r>
    </w:p>
    <w:p w14:paraId="57B5139F"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36.</w:t>
      </w:r>
      <w:r w:rsidRPr="00E27D1C">
        <w:rPr>
          <w:rFonts w:eastAsia="Times New Roman"/>
          <w:noProof/>
        </w:rPr>
        <w:tab/>
        <w:t xml:space="preserve">Perlstein, E. O., Ruderfer, D. M., Roberts, D. C., Schreiber, S. L. &amp; Kruglyak, L. Genetic basis of individual differences in the response to small-molecule drugs in yeast. </w:t>
      </w:r>
      <w:r w:rsidRPr="00E27D1C">
        <w:rPr>
          <w:rFonts w:eastAsia="Times New Roman"/>
          <w:i/>
          <w:iCs/>
          <w:noProof/>
        </w:rPr>
        <w:t>Nat. Genet.</w:t>
      </w:r>
      <w:r w:rsidRPr="00E27D1C">
        <w:rPr>
          <w:rFonts w:eastAsia="Times New Roman"/>
          <w:noProof/>
        </w:rPr>
        <w:t xml:space="preserve"> </w:t>
      </w:r>
      <w:r w:rsidRPr="00E27D1C">
        <w:rPr>
          <w:rFonts w:eastAsia="Times New Roman"/>
          <w:b/>
          <w:bCs/>
          <w:noProof/>
        </w:rPr>
        <w:t>39,</w:t>
      </w:r>
      <w:r w:rsidRPr="00E27D1C">
        <w:rPr>
          <w:rFonts w:eastAsia="Times New Roman"/>
          <w:noProof/>
        </w:rPr>
        <w:t xml:space="preserve"> 496–502 (2007).</w:t>
      </w:r>
    </w:p>
    <w:p w14:paraId="58BEA96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37.</w:t>
      </w:r>
      <w:r w:rsidRPr="00E27D1C">
        <w:rPr>
          <w:rFonts w:eastAsia="Times New Roman"/>
          <w:noProof/>
        </w:rPr>
        <w:tab/>
        <w:t xml:space="preserve">Threadgill, D. W. &amp; Churchill, G. A. Ten Years of the Collaborative Cross. </w:t>
      </w:r>
      <w:r w:rsidRPr="00E27D1C">
        <w:rPr>
          <w:rFonts w:eastAsia="Times New Roman"/>
          <w:i/>
          <w:iCs/>
          <w:noProof/>
        </w:rPr>
        <w:t>Genetics</w:t>
      </w:r>
      <w:r w:rsidRPr="00E27D1C">
        <w:rPr>
          <w:rFonts w:eastAsia="Times New Roman"/>
          <w:noProof/>
        </w:rPr>
        <w:t xml:space="preserve"> </w:t>
      </w:r>
      <w:r w:rsidRPr="00E27D1C">
        <w:rPr>
          <w:rFonts w:eastAsia="Times New Roman"/>
          <w:b/>
          <w:bCs/>
          <w:noProof/>
        </w:rPr>
        <w:t>190,</w:t>
      </w:r>
      <w:r w:rsidRPr="00E27D1C">
        <w:rPr>
          <w:rFonts w:eastAsia="Times New Roman"/>
          <w:noProof/>
        </w:rPr>
        <w:t xml:space="preserve"> (2012).</w:t>
      </w:r>
    </w:p>
    <w:p w14:paraId="2576C5A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38.</w:t>
      </w:r>
      <w:r w:rsidRPr="00E27D1C">
        <w:rPr>
          <w:rFonts w:eastAsia="Times New Roman"/>
          <w:noProof/>
        </w:rPr>
        <w:tab/>
        <w:t xml:space="preserve">C. elegans Deletion Mutant Consortium. Large-Scale Screening for Targeted Knockouts in the Caenorhabditis elegans Genome. </w:t>
      </w:r>
      <w:r w:rsidRPr="00E27D1C">
        <w:rPr>
          <w:rFonts w:eastAsia="Times New Roman"/>
          <w:i/>
          <w:iCs/>
          <w:noProof/>
        </w:rPr>
        <w:t>G3 Genes,Genomes,Genetics</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1415–1425 </w:t>
      </w:r>
      <w:r w:rsidRPr="00E27D1C">
        <w:rPr>
          <w:rFonts w:eastAsia="Times New Roman"/>
          <w:noProof/>
        </w:rPr>
        <w:lastRenderedPageBreak/>
        <w:t>(2012).</w:t>
      </w:r>
    </w:p>
    <w:p w14:paraId="5889E964"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39.</w:t>
      </w:r>
      <w:r w:rsidRPr="00E27D1C">
        <w:rPr>
          <w:rFonts w:eastAsia="Times New Roman"/>
          <w:noProof/>
        </w:rPr>
        <w:tab/>
        <w:t xml:space="preserve">Thompson, O. </w:t>
      </w:r>
      <w:r w:rsidRPr="00E27D1C">
        <w:rPr>
          <w:rFonts w:eastAsia="Times New Roman"/>
          <w:i/>
          <w:iCs/>
          <w:noProof/>
        </w:rPr>
        <w:t>et al.</w:t>
      </w:r>
      <w:r w:rsidRPr="00E27D1C">
        <w:rPr>
          <w:rFonts w:eastAsia="Times New Roman"/>
          <w:noProof/>
        </w:rPr>
        <w:t xml:space="preserve"> The million mutation project: A new approach to genetics in Caenorhabditis elegans.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23,</w:t>
      </w:r>
      <w:r w:rsidRPr="00E27D1C">
        <w:rPr>
          <w:rFonts w:eastAsia="Times New Roman"/>
          <w:noProof/>
        </w:rPr>
        <w:t xml:space="preserve"> 1749–1762 (2013).</w:t>
      </w:r>
    </w:p>
    <w:p w14:paraId="3DCB8AF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40.</w:t>
      </w:r>
      <w:r w:rsidRPr="00E27D1C">
        <w:rPr>
          <w:rFonts w:eastAsia="Times New Roman"/>
          <w:noProof/>
        </w:rPr>
        <w:tab/>
        <w:t xml:space="preserve">Morawska, M. &amp; Ulrich, H. D. An expanded tool kit for the auxin-inducible degron system in budding yeast. </w:t>
      </w:r>
      <w:r w:rsidRPr="00E27D1C">
        <w:rPr>
          <w:rFonts w:eastAsia="Times New Roman"/>
          <w:i/>
          <w:iCs/>
          <w:noProof/>
        </w:rPr>
        <w:t>Yeast</w:t>
      </w:r>
      <w:r w:rsidRPr="00E27D1C">
        <w:rPr>
          <w:rFonts w:eastAsia="Times New Roman"/>
          <w:noProof/>
        </w:rPr>
        <w:t xml:space="preserve"> </w:t>
      </w:r>
      <w:r w:rsidRPr="00E27D1C">
        <w:rPr>
          <w:rFonts w:eastAsia="Times New Roman"/>
          <w:b/>
          <w:bCs/>
          <w:noProof/>
        </w:rPr>
        <w:t>30,</w:t>
      </w:r>
      <w:r w:rsidRPr="00E27D1C">
        <w:rPr>
          <w:rFonts w:eastAsia="Times New Roman"/>
          <w:noProof/>
        </w:rPr>
        <w:t xml:space="preserve"> 341–51 (2013).</w:t>
      </w:r>
    </w:p>
    <w:p w14:paraId="449F770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41.</w:t>
      </w:r>
      <w:r w:rsidRPr="00E27D1C">
        <w:rPr>
          <w:rFonts w:eastAsia="Times New Roman"/>
          <w:noProof/>
        </w:rPr>
        <w:tab/>
        <w:t xml:space="preserve">Brockmann, M. </w:t>
      </w:r>
      <w:r w:rsidRPr="00E27D1C">
        <w:rPr>
          <w:rFonts w:eastAsia="Times New Roman"/>
          <w:i/>
          <w:iCs/>
          <w:noProof/>
        </w:rPr>
        <w:t>et al.</w:t>
      </w:r>
      <w:r w:rsidRPr="00E27D1C">
        <w:rPr>
          <w:rFonts w:eastAsia="Times New Roman"/>
          <w:noProof/>
        </w:rPr>
        <w:t xml:space="preserve"> Genetic wiring maps of single-cell protein states reveal an off-switch for GPCR signalling.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546,</w:t>
      </w:r>
      <w:r w:rsidRPr="00E27D1C">
        <w:rPr>
          <w:rFonts w:eastAsia="Times New Roman"/>
          <w:noProof/>
        </w:rPr>
        <w:t xml:space="preserve"> 307–311 (2017).</w:t>
      </w:r>
    </w:p>
    <w:p w14:paraId="34A5479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42.</w:t>
      </w:r>
      <w:r w:rsidRPr="00E27D1C">
        <w:rPr>
          <w:rFonts w:eastAsia="Times New Roman"/>
          <w:noProof/>
        </w:rPr>
        <w:tab/>
        <w:t xml:space="preserve">Emanuel, G., Moffitt, J. R. &amp; Zhuang, X. High-throughput, image-based screening of genetic variant libraries. </w:t>
      </w:r>
      <w:r w:rsidRPr="00E27D1C">
        <w:rPr>
          <w:rFonts w:eastAsia="Times New Roman"/>
          <w:i/>
          <w:iCs/>
          <w:noProof/>
        </w:rPr>
        <w:t>bioRxiv</w:t>
      </w:r>
      <w:r w:rsidRPr="00E27D1C">
        <w:rPr>
          <w:rFonts w:eastAsia="Times New Roman"/>
          <w:noProof/>
        </w:rPr>
        <w:t xml:space="preserve"> (2017).</w:t>
      </w:r>
    </w:p>
    <w:p w14:paraId="43B7563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43.</w:t>
      </w:r>
      <w:r w:rsidRPr="00E27D1C">
        <w:rPr>
          <w:rFonts w:eastAsia="Times New Roman"/>
          <w:noProof/>
        </w:rPr>
        <w:tab/>
        <w:t xml:space="preserve">Gibson, D. G. </w:t>
      </w:r>
      <w:r w:rsidRPr="00E27D1C">
        <w:rPr>
          <w:rFonts w:eastAsia="Times New Roman"/>
          <w:i/>
          <w:iCs/>
          <w:noProof/>
        </w:rPr>
        <w:t>et al.</w:t>
      </w:r>
      <w:r w:rsidRPr="00E27D1C">
        <w:rPr>
          <w:rFonts w:eastAsia="Times New Roman"/>
          <w:noProof/>
        </w:rPr>
        <w:t xml:space="preserve"> Enzymatic assembly of DNA molecules up to several hundred kilobases.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6,</w:t>
      </w:r>
      <w:r w:rsidRPr="00E27D1C">
        <w:rPr>
          <w:rFonts w:eastAsia="Times New Roman"/>
          <w:noProof/>
        </w:rPr>
        <w:t xml:space="preserve"> 343–5 (2009).</w:t>
      </w:r>
    </w:p>
    <w:p w14:paraId="6B73ACA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44.</w:t>
      </w:r>
      <w:r w:rsidRPr="00E27D1C">
        <w:rPr>
          <w:rFonts w:eastAsia="Times New Roman"/>
          <w:noProof/>
        </w:rPr>
        <w:tab/>
        <w:t xml:space="preserve">Gietz, R. D. &amp; Schiestl, R. H. High-efficiency yeast transformation using the LiAc/SS carrier DNA/PEG method.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31–34 (2007).</w:t>
      </w:r>
    </w:p>
    <w:p w14:paraId="4FB3B51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45.</w:t>
      </w:r>
      <w:r w:rsidRPr="00E27D1C">
        <w:rPr>
          <w:rFonts w:eastAsia="Times New Roman"/>
          <w:noProof/>
        </w:rPr>
        <w:tab/>
        <w:t xml:space="preserve">Proctor, M. </w:t>
      </w:r>
      <w:r w:rsidRPr="00E27D1C">
        <w:rPr>
          <w:rFonts w:eastAsia="Times New Roman"/>
          <w:i/>
          <w:iCs/>
          <w:noProof/>
        </w:rPr>
        <w:t>et al.</w:t>
      </w:r>
      <w:r w:rsidRPr="00E27D1C">
        <w:rPr>
          <w:rFonts w:eastAsia="Times New Roman"/>
          <w:noProof/>
        </w:rPr>
        <w:t xml:space="preserve"> in 239–269 (Humana Press, 2011). doi:10.1007/978-1-61779-173-4_15</w:t>
      </w:r>
    </w:p>
    <w:p w14:paraId="3C36601C" w14:textId="77777777" w:rsidR="00E27D1C" w:rsidRPr="00E27D1C" w:rsidRDefault="00E27D1C" w:rsidP="00E27D1C">
      <w:pPr>
        <w:widowControl w:val="0"/>
        <w:autoSpaceDE w:val="0"/>
        <w:autoSpaceDN w:val="0"/>
        <w:adjustRightInd w:val="0"/>
        <w:spacing w:line="480" w:lineRule="auto"/>
        <w:ind w:left="640" w:hanging="640"/>
        <w:rPr>
          <w:noProof/>
        </w:rPr>
      </w:pPr>
      <w:r w:rsidRPr="00E27D1C">
        <w:rPr>
          <w:rFonts w:eastAsia="Times New Roman"/>
          <w:noProof/>
        </w:rPr>
        <w:t>46.</w:t>
      </w:r>
      <w:r w:rsidRPr="00E27D1C">
        <w:rPr>
          <w:rFonts w:eastAsia="Times New Roman"/>
          <w:noProof/>
        </w:rPr>
        <w:tab/>
        <w:t xml:space="preserve">Snider, J. </w:t>
      </w:r>
      <w:r w:rsidRPr="00E27D1C">
        <w:rPr>
          <w:rFonts w:eastAsia="Times New Roman"/>
          <w:i/>
          <w:iCs/>
          <w:noProof/>
        </w:rPr>
        <w:t>et al.</w:t>
      </w:r>
      <w:r w:rsidRPr="00E27D1C">
        <w:rPr>
          <w:rFonts w:eastAsia="Times New Roman"/>
          <w:noProof/>
        </w:rPr>
        <w:t xml:space="preserve"> Detecting interactions with membrane proteins using a membrane two-hybrid assay in yeast.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t>5,</w:t>
      </w:r>
      <w:r w:rsidRPr="00E27D1C">
        <w:rPr>
          <w:rFonts w:eastAsia="Times New Roman"/>
          <w:noProof/>
        </w:rPr>
        <w:t xml:space="preserve"> 1281–1293 (2010).</w:t>
      </w:r>
    </w:p>
    <w:p w14:paraId="5E7D0454" w14:textId="4AFA6908" w:rsidR="001F052C" w:rsidRPr="00233F15" w:rsidRDefault="00C1486D" w:rsidP="00E27D1C">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9E28BCF"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w:t>
      </w:r>
      <w:r w:rsidRPr="00233F15">
        <w:lastRenderedPageBreak/>
        <w:t xml:space="preserve">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E27D1C">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323193" w:rsidRPr="00233F15">
        <w:fldChar w:fldCharType="separate"/>
      </w:r>
      <w:r w:rsidR="00E27D1C" w:rsidRPr="00E27D1C">
        <w:rPr>
          <w:noProof/>
          <w:vertAlign w:val="superscript"/>
        </w:rPr>
        <w:t>30</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40001D3C" w14:textId="274AA78A" w:rsidR="006219B8" w:rsidRPr="00B96C58" w:rsidRDefault="00E41888" w:rsidP="00C87A4E">
      <w:pPr>
        <w:spacing w:line="480" w:lineRule="auto"/>
        <w:jc w:val="both"/>
        <w:rPr>
          <w:lang w:val="en-CA"/>
        </w:rPr>
      </w:pPr>
      <w:r>
        <w:rPr>
          <w:b/>
        </w:rPr>
        <w:t>A</w:t>
      </w:r>
      <w:r>
        <w:rPr>
          <w:b/>
        </w:rPr>
        <w:tab/>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rsidR="00FA15FC">
        <w:t xml:space="preserve">. </w:t>
      </w:r>
      <w:r w:rsidR="00FA15FC" w:rsidRPr="00233F15">
        <w:t>Each poi</w:t>
      </w:r>
      <w:r w:rsidR="00FA15FC">
        <w:t xml:space="preserve">nt represents a group of strains containing the 6-locus genotype </w:t>
      </w:r>
      <w:r w:rsidR="00FA15FC" w:rsidRPr="00233F15">
        <w:t xml:space="preserve">indicated by the </w:t>
      </w:r>
      <w:r w:rsidR="00FA15FC">
        <w:t xml:space="preserve">legend.  </w:t>
      </w:r>
      <w:r w:rsidR="00147E6F">
        <w:t>Strains in each group vary</w:t>
      </w:r>
      <w:r w:rsidR="00147E6F" w:rsidRPr="00233F15">
        <w:t xml:space="preserve"> at the </w:t>
      </w:r>
      <w:r w:rsidR="00147E6F">
        <w:t xml:space="preserve">remaining 10 loci.  </w:t>
      </w:r>
      <w:r>
        <w:t>Each point represent</w:t>
      </w:r>
      <w:r w:rsidR="00B96C58">
        <w:t>s the median log</w:t>
      </w:r>
      <w:r w:rsidR="00B96C58" w:rsidRPr="00B96C58">
        <w:rPr>
          <w:vertAlign w:val="subscript"/>
        </w:rPr>
        <w:t>2</w:t>
      </w:r>
      <w:r w:rsidR="00B96C58">
        <w:t>(resistance) of each group in the MAT</w:t>
      </w:r>
      <w:r w:rsidR="00B96C58" w:rsidRPr="00B96C58">
        <w:rPr>
          <w:b/>
        </w:rPr>
        <w:t>a</w:t>
      </w:r>
      <w:r w:rsidR="00B96C58">
        <w:rPr>
          <w:b/>
        </w:rPr>
        <w:t xml:space="preserve"> </w:t>
      </w:r>
      <w:r w:rsidR="00B96C58">
        <w:t>(x-axis) and MAT</w:t>
      </w:r>
      <w:r w:rsidR="00B96C58" w:rsidRPr="00B96C58">
        <w:rPr>
          <w:b/>
          <w:lang w:val="el-GR"/>
        </w:rPr>
        <w:t>α</w:t>
      </w:r>
      <w:r w:rsidR="00B96C58" w:rsidRPr="00B96C58">
        <w:rPr>
          <w:b/>
        </w:rPr>
        <w:t xml:space="preserve"> </w:t>
      </w:r>
      <w:r w:rsidR="00B96C58">
        <w:t>(y-</w:t>
      </w:r>
      <w:r w:rsidR="00B96C58" w:rsidRPr="00B96C58">
        <w:t>axis) pools.</w:t>
      </w:r>
    </w:p>
    <w:p w14:paraId="5E3AB690" w14:textId="000C28A3" w:rsidR="003A529C" w:rsidRPr="00B96C58" w:rsidRDefault="003A529C" w:rsidP="00C87A4E">
      <w:pPr>
        <w:spacing w:line="480" w:lineRule="auto"/>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(resistance) profiles in A) amongst all drugs tested.</w:t>
      </w:r>
    </w:p>
    <w:p w14:paraId="6C9495A0" w14:textId="2CFDCBDB" w:rsidR="006C19FF" w:rsidRPr="00233F15" w:rsidRDefault="00E41888" w:rsidP="00C87A4E">
      <w:pPr>
        <w:spacing w:line="480" w:lineRule="auto"/>
        <w:jc w:val="both"/>
      </w:pPr>
      <w:r>
        <w:rPr>
          <w:b/>
        </w:rPr>
        <w:t>C</w:t>
      </w:r>
      <w:r w:rsidR="003545B6" w:rsidRPr="00233F15">
        <w:rPr>
          <w:b/>
        </w:rPr>
        <w:tab/>
      </w:r>
      <w:r w:rsidR="00114987" w:rsidRPr="00233F15">
        <w:t xml:space="preserve">A radial fitness landscape in </w:t>
      </w:r>
      <w:r w:rsidR="006219B8">
        <w:t>benomyl</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w:t>
      </w:r>
      <w:r w:rsidR="002169AC">
        <w:t>is coloured by the mean resistance of the indicated</w:t>
      </w:r>
      <w:r w:rsidR="00E465E2">
        <w:t xml:space="preserve">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w:t>
      </w:r>
      <w:r w:rsidR="00432709">
        <w:t>multi-</w:t>
      </w:r>
      <w:r w:rsidR="00642C14" w:rsidRPr="00233F15">
        <w:t xml:space="preserve">knockouts do not result in significant changes in drug resistance (Bonferroni-adjusted </w:t>
      </w:r>
      <w:r w:rsidR="00AC7F48" w:rsidRPr="00AC7F48">
        <w:rPr>
          <w:i/>
        </w:rPr>
        <w:t>p</w:t>
      </w:r>
      <w:r w:rsidR="00642C14" w:rsidRPr="00233F15">
        <w:t xml:space="preserve"> &lt; 0.05, Ma</w:t>
      </w:r>
      <w:r w:rsidR="00EC0588">
        <w:t>nn-Whitney U test) are pruned.</w:t>
      </w:r>
    </w:p>
    <w:p w14:paraId="063CE020" w14:textId="5CF0B262" w:rsidR="00CB62BD" w:rsidRPr="00233F15" w:rsidRDefault="00E41888" w:rsidP="00C87A4E">
      <w:pPr>
        <w:spacing w:line="480" w:lineRule="auto"/>
        <w:jc w:val="both"/>
      </w:pPr>
      <w:r>
        <w:rPr>
          <w:b/>
        </w:rPr>
        <w:t>D</w:t>
      </w:r>
      <w:r w:rsidR="00F10D4E" w:rsidRPr="00233F15">
        <w:rPr>
          <w:b/>
        </w:rPr>
        <w:tab/>
      </w:r>
      <w:r w:rsidR="00F10D4E" w:rsidRPr="00233F15">
        <w:t>As in B, showing radial fitness landscapes for 10 additional drugs.</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52B179D" w14:textId="5AC41757" w:rsidR="00FD042D" w:rsidRPr="00803577" w:rsidRDefault="00FD042D" w:rsidP="00C87A4E">
      <w:pPr>
        <w:spacing w:line="480" w:lineRule="auto"/>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Pr="00233F15">
        <w:t xml:space="preserve"> pools.  Each poi</w:t>
      </w:r>
      <w:r>
        <w:t xml:space="preserve">nt represents a group of strains containing the 6-locus genotype </w:t>
      </w:r>
      <w:r w:rsidRPr="00233F15">
        <w:t xml:space="preserve">indicated by the </w:t>
      </w:r>
      <w:r w:rsidR="00147E6F">
        <w:t>legend</w:t>
      </w:r>
      <w:r>
        <w:t>.  Strains in each group vary</w:t>
      </w:r>
      <w:r w:rsidRPr="00233F15">
        <w:t xml:space="preserve"> at the </w:t>
      </w:r>
      <w:r>
        <w:t>remaining 10 loci.  Groups are arranged horizontally by the number of knockouts (with jitter added for visual clarity), and vertically by me</w:t>
      </w:r>
      <w:r w:rsidR="006219B8">
        <w:t>di</w:t>
      </w:r>
      <w:r>
        <w:t xml:space="preserve">an drug resistance.  Groups separated by single knockouts are connected – those with significant differences in resistance </w:t>
      </w:r>
      <w:r w:rsidRPr="00233F15">
        <w:t xml:space="preserve">(Bonferroni-adjusted </w:t>
      </w:r>
      <w:r w:rsidRPr="00AC7F48">
        <w:rPr>
          <w:i/>
        </w:rPr>
        <w:t>p</w:t>
      </w:r>
      <w:r w:rsidRPr="00233F15">
        <w:t xml:space="preserve"> &lt; 0.05, Mann-Whitney U test)</w:t>
      </w:r>
      <w:r>
        <w:t xml:space="preserve"> by solid lines, and otherwise by dashed lines.  Representations for all pools are available in Fig. S7.</w:t>
      </w:r>
    </w:p>
    <w:p w14:paraId="57588EBA" w14:textId="6BAA0197" w:rsidR="006219B8" w:rsidRPr="00233F15" w:rsidRDefault="006219B8" w:rsidP="006219B8">
      <w:pPr>
        <w:spacing w:line="480" w:lineRule="auto"/>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MATa pool.  Group genot</w:t>
      </w:r>
      <w:r>
        <w:t>ype is indicated on the sides using the same representation as</w:t>
      </w:r>
      <w:r w:rsidRPr="00233F15">
        <w:t xml:space="preserve"> in A</w:t>
      </w:r>
      <w:r>
        <w:t>)</w:t>
      </w:r>
      <w:r w:rsidRPr="00233F15">
        <w:t xml:space="preserve">, and </w:t>
      </w:r>
      <w:r w:rsidRPr="00233F15">
        <w:rPr>
          <w:i/>
        </w:rPr>
        <w:t xml:space="preserve">pdr5∆ </w:t>
      </w:r>
      <w:r w:rsidRPr="00233F15">
        <w:t xml:space="preserve">groups are paired with their corresponding </w:t>
      </w:r>
      <w:r w:rsidRPr="00233F15">
        <w:rPr>
          <w:i/>
        </w:rPr>
        <w:t>PDR5</w:t>
      </w:r>
      <w:r w:rsidRPr="00233F15">
        <w:t xml:space="preserve"> equivalent in each line.  </w:t>
      </w:r>
      <w:r>
        <w:t>The density of the resistance distribution in each group is drawn on each line.</w:t>
      </w:r>
    </w:p>
    <w:p w14:paraId="30761DBF" w14:textId="0901EF83" w:rsidR="00EA1649" w:rsidRPr="00233F15" w:rsidRDefault="006219B8" w:rsidP="00C87A4E">
      <w:pPr>
        <w:spacing w:line="480" w:lineRule="auto"/>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Default="00F0546A" w:rsidP="000F4179">
      <w:pPr>
        <w:spacing w:line="480" w:lineRule="auto"/>
        <w:rPr>
          <w:color w:val="7F7F7F" w:themeColor="text1" w:themeTint="80"/>
        </w:rPr>
      </w:pPr>
      <w:r w:rsidRPr="00E975B0">
        <w:rPr>
          <w:b/>
          <w:color w:val="7F7F7F" w:themeColor="text1" w:themeTint="80"/>
        </w:rPr>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762B52AA" w14:textId="1D0004F3" w:rsidR="006219B8" w:rsidRDefault="006219B8" w:rsidP="006219B8">
      <w:pPr>
        <w:spacing w:line="480" w:lineRule="auto"/>
        <w:jc w:val="both"/>
      </w:pPr>
      <w:r>
        <w:rPr>
          <w:b/>
        </w:rPr>
        <w:t>A</w:t>
      </w:r>
      <w:r w:rsidRPr="00233F15">
        <w:rPr>
          <w:b/>
        </w:rPr>
        <w:tab/>
      </w:r>
      <w:r>
        <w:t xml:space="preserve">Linear models and multi-knockout fitness landscapes were interpreted into a drug-dependent model of transporter-transporter relationships.  Antagonism indicates evidence that </w:t>
      </w:r>
      <w:r>
        <w:lastRenderedPageBreak/>
        <w:t>the presence of one transporter negatively affects the ability of another to mediate drug resistance, and parallel clearance indicates evidence that multiple transporters are responsible for resistance to a drug.   Data S8 lists the genetic evidence for each relationship.</w:t>
      </w:r>
    </w:p>
    <w:p w14:paraId="15804D8A" w14:textId="77777777" w:rsidR="006219B8" w:rsidRPr="00E975B0" w:rsidRDefault="006219B8" w:rsidP="000F4179">
      <w:pPr>
        <w:spacing w:line="480" w:lineRule="auto"/>
        <w:rPr>
          <w:color w:val="7F7F7F" w:themeColor="text1" w:themeTint="80"/>
        </w:rPr>
      </w:pP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1D73EEB2"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lastRenderedPageBreak/>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0F4179">
      <w:pPr>
        <w:spacing w:line="480" w:lineRule="auto"/>
      </w:pPr>
    </w:p>
    <w:p w14:paraId="5BFDD0CE" w14:textId="6A989B45" w:rsidR="00F0546A" w:rsidRPr="00233F15" w:rsidRDefault="00E6797C" w:rsidP="000F4179">
      <w:pPr>
        <w:spacing w:line="480" w:lineRule="auto"/>
      </w:pPr>
      <w:r>
        <w:rPr>
          <w:b/>
        </w:rPr>
        <w:t>Figure S4</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0F4179">
      <w:pPr>
        <w:spacing w:line="480" w:lineRule="auto"/>
      </w:pPr>
    </w:p>
    <w:p w14:paraId="516A4AA7" w14:textId="15B77233" w:rsidR="00E6797C" w:rsidRPr="00233F15" w:rsidRDefault="00E6797C" w:rsidP="00E6797C">
      <w:pPr>
        <w:spacing w:line="480" w:lineRule="auto"/>
      </w:pPr>
      <w:r>
        <w:rPr>
          <w:b/>
        </w:rPr>
        <w:t>Figure S5</w:t>
      </w:r>
      <w:r w:rsidRPr="00233F15">
        <w:rPr>
          <w:b/>
        </w:rPr>
        <w:t xml:space="preserve">.  </w:t>
      </w:r>
      <w:r>
        <w:t>Reproducibility</w:t>
      </w:r>
      <w:r w:rsidRPr="00233F15">
        <w:t xml:space="preserve"> of grouped genotype </w:t>
      </w:r>
      <w:r>
        <w:t>resistance</w:t>
      </w:r>
      <w:r w:rsidRPr="00233F15">
        <w:t>.</w:t>
      </w:r>
    </w:p>
    <w:p w14:paraId="2F79D98B" w14:textId="77777777" w:rsidR="00E6797C" w:rsidRPr="00B96C58" w:rsidRDefault="00E6797C" w:rsidP="00E6797C">
      <w:pPr>
        <w:spacing w:line="480" w:lineRule="auto"/>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t>(resistance)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E6797C">
      <w:pPr>
        <w:spacing w:line="480" w:lineRule="auto"/>
      </w:pPr>
    </w:p>
    <w:p w14:paraId="3A2F5BCC" w14:textId="4B88C72A" w:rsidR="00E6797C" w:rsidRPr="00233F15" w:rsidRDefault="00E6797C" w:rsidP="00E6797C">
      <w:pPr>
        <w:spacing w:line="480" w:lineRule="auto"/>
        <w:jc w:val="both"/>
      </w:pPr>
      <w:r>
        <w:rPr>
          <w:b/>
        </w:rPr>
        <w:t>Figure S6</w:t>
      </w:r>
      <w:r w:rsidRPr="00233F15">
        <w:rPr>
          <w:b/>
        </w:rPr>
        <w:t xml:space="preserve">.  </w:t>
      </w:r>
      <w:r>
        <w:t>A radial fitness landscape in six</w:t>
      </w:r>
      <w:r w:rsidRPr="00233F15">
        <w:t xml:space="preserve"> additional drugs.</w:t>
      </w:r>
    </w:p>
    <w:p w14:paraId="2DFBAE19" w14:textId="45E173C1" w:rsidR="00E6797C" w:rsidRPr="00E6797C" w:rsidRDefault="00E6797C" w:rsidP="00E6797C">
      <w:pPr>
        <w:spacing w:line="480" w:lineRule="auto"/>
        <w:rPr>
          <w:lang w:val="en-CA"/>
        </w:rPr>
      </w:pPr>
      <w:r w:rsidRPr="00233F15">
        <w:lastRenderedPageBreak/>
        <w:t xml:space="preserve">A radial </w:t>
      </w:r>
      <w:r>
        <w:t>fitness landscape in six drugs showing all multi-knockout paths</w:t>
      </w:r>
      <w:r w:rsidRPr="00233F15">
        <w:t>.</w:t>
      </w:r>
      <w:r>
        <w:t xml:space="preserve"> 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w:t>
      </w:r>
    </w:p>
    <w:p w14:paraId="2B52CBDA" w14:textId="77777777" w:rsidR="00E6797C" w:rsidRPr="00233F15" w:rsidRDefault="00E6797C" w:rsidP="000F4179">
      <w:pPr>
        <w:spacing w:line="480" w:lineRule="auto"/>
      </w:pPr>
    </w:p>
    <w:p w14:paraId="5DCBEFC0" w14:textId="5090B7D8" w:rsidR="003B20FE" w:rsidRPr="00233F15" w:rsidRDefault="00806F9F" w:rsidP="000F4179">
      <w:pPr>
        <w:spacing w:line="480" w:lineRule="auto"/>
      </w:pPr>
      <w:r>
        <w:rPr>
          <w:b/>
        </w:rPr>
        <w:t>Figure S7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2CB63A6F" w14:textId="3C96F7CC" w:rsidR="00F0546A" w:rsidRDefault="005675BB" w:rsidP="00261D14">
      <w:pPr>
        <w:spacing w:line="480" w:lineRule="auto"/>
        <w:jc w:val="both"/>
      </w:pPr>
      <w:r>
        <w:t xml:space="preserve">direction). All </w:t>
      </w:r>
      <w:r w:rsidRPr="00233F15">
        <w:t xml:space="preserve">paths where any further knockouts do not result in significant changes in drug resistance (Bonferroni-adjusted </w:t>
      </w:r>
      <w:r w:rsidR="00AC7F48" w:rsidRPr="00AC7F48">
        <w:rPr>
          <w:i/>
        </w:rPr>
        <w:t>p</w:t>
      </w:r>
      <w:r w:rsidRPr="00233F15">
        <w:t xml:space="preserve"> &lt; 0.05, Mann-Whitney U test) are pruned.</w:t>
      </w:r>
    </w:p>
    <w:p w14:paraId="7B89866C" w14:textId="77777777" w:rsidR="00E6797C" w:rsidRDefault="00E6797C" w:rsidP="00261D14">
      <w:pPr>
        <w:spacing w:line="480" w:lineRule="auto"/>
        <w:jc w:val="both"/>
      </w:pPr>
    </w:p>
    <w:p w14:paraId="483E3E98" w14:textId="2F1F477D" w:rsidR="00E6797C" w:rsidRPr="00233F15" w:rsidRDefault="00234EF6" w:rsidP="00E6797C">
      <w:pPr>
        <w:spacing w:line="480" w:lineRule="auto"/>
      </w:pPr>
      <w:r>
        <w:rPr>
          <w:b/>
        </w:rPr>
        <w:t>Figure S8</w:t>
      </w:r>
      <w:r w:rsidR="00E6797C" w:rsidRPr="00233F15">
        <w:rPr>
          <w:b/>
        </w:rPr>
        <w:t xml:space="preserve">.  </w:t>
      </w:r>
      <w:r w:rsidR="00E6797C" w:rsidRPr="00233F15">
        <w:t>Reproducibility of linear models.</w:t>
      </w:r>
    </w:p>
    <w:p w14:paraId="16F41CA5" w14:textId="77777777" w:rsidR="00E6797C" w:rsidRPr="00233F15" w:rsidRDefault="00E6797C" w:rsidP="00E6797C">
      <w:pPr>
        <w:spacing w:line="480" w:lineRule="auto"/>
      </w:pPr>
      <w:r w:rsidRPr="00233F15">
        <w:lastRenderedPageBreak/>
        <w:t xml:space="preserve">For each drug, linear model predictions of drug resistance are indicated on the y-axis and observed values are indicated on the x-axis.  </w:t>
      </w:r>
      <w:r>
        <w:t>The axis in each plot is</w:t>
      </w:r>
      <w:r w:rsidRPr="00233F15">
        <w:t xml:space="preserve"> labelled by the pool mating type which was used to train the linear model (x-axis) or validate its predictions (y-axis).</w:t>
      </w:r>
    </w:p>
    <w:p w14:paraId="65F6CDB3" w14:textId="77777777" w:rsidR="00E6797C" w:rsidRPr="001E6AEE" w:rsidRDefault="00E6797C" w:rsidP="00261D14">
      <w:pPr>
        <w:spacing w:line="480" w:lineRule="auto"/>
        <w:jc w:val="both"/>
        <w:rPr>
          <w:lang w:val="en-CA"/>
        </w:rPr>
      </w:pPr>
    </w:p>
    <w:sectPr w:rsidR="00E6797C" w:rsidRPr="001E6AEE"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9-07T13:57:00Z" w:initials="AC">
    <w:p w14:paraId="5A68995C" w14:textId="3B88FE98" w:rsidR="00B04AB1" w:rsidRDefault="00B04AB1">
      <w:pPr>
        <w:pStyle w:val="CommentText"/>
      </w:pPr>
      <w:r>
        <w:rPr>
          <w:rStyle w:val="CommentReference"/>
        </w:rPr>
        <w:annotationRef/>
      </w:r>
      <w:r>
        <w:rPr>
          <w:rStyle w:val="CommentReference"/>
        </w:rPr>
        <w:t>Is outbred the right word here?</w:t>
      </w:r>
    </w:p>
  </w:comment>
  <w:comment w:id="1" w:author="Albi Celaj" w:date="2017-09-13T13:40:00Z" w:initials="AC">
    <w:p w14:paraId="6E24186E" w14:textId="77777777" w:rsidR="00E4685F" w:rsidRDefault="00E4685F" w:rsidP="00E4685F">
      <w:pPr>
        <w:pStyle w:val="CommentText"/>
      </w:pPr>
      <w:r>
        <w:rPr>
          <w:rStyle w:val="CommentReference"/>
        </w:rPr>
        <w:annotationRef/>
      </w:r>
      <w:r>
        <w:t>Would be better to find more than one example here</w:t>
      </w:r>
    </w:p>
  </w:comment>
  <w:comment w:id="2" w:author="Albi Celaj" w:date="2017-09-13T13:44:00Z" w:initials="AC">
    <w:p w14:paraId="09852A7E" w14:textId="47068F5C" w:rsidR="00B04AB1" w:rsidRDefault="00B04AB1">
      <w:pPr>
        <w:pStyle w:val="CommentText"/>
      </w:pPr>
      <w:r>
        <w:rPr>
          <w:rStyle w:val="CommentReference"/>
        </w:rPr>
        <w:annotationRef/>
      </w:r>
      <w:r>
        <w:t>Make a scatterplot</w:t>
      </w:r>
    </w:p>
  </w:comment>
  <w:comment w:id="3" w:author="Albi Celaj" w:date="2017-08-24T14:59:00Z" w:initials="AC">
    <w:p w14:paraId="3C13ECB0" w14:textId="2E9C920E" w:rsidR="00B04AB1" w:rsidRDefault="00B04AB1">
      <w:pPr>
        <w:pStyle w:val="CommentText"/>
      </w:pPr>
      <w:r>
        <w:rPr>
          <w:rStyle w:val="CommentReference"/>
        </w:rPr>
        <w:annotationRef/>
      </w:r>
      <w:r>
        <w:rPr>
          <w:rStyle w:val="CommentReference"/>
        </w:rPr>
        <w:t>I am still questioning whether to remove some of these from the analysis altogether</w:t>
      </w:r>
    </w:p>
  </w:comment>
  <w:comment w:id="4" w:author="Albi Celaj" w:date="2017-09-13T13:45:00Z" w:initials="AC">
    <w:p w14:paraId="4AE86E84" w14:textId="4A46D0EB" w:rsidR="00B04AB1" w:rsidRDefault="00B04AB1">
      <w:pPr>
        <w:pStyle w:val="CommentText"/>
      </w:pPr>
      <w:r>
        <w:rPr>
          <w:rStyle w:val="CommentReference"/>
        </w:rPr>
        <w:annotationRef/>
      </w:r>
      <w:r>
        <w:t>Maybe use the contextual test method here instead</w:t>
      </w:r>
    </w:p>
  </w:comment>
  <w:comment w:id="5" w:author="Albi Celaj" w:date="2017-09-13T13:46:00Z" w:initials="AC">
    <w:p w14:paraId="15A24E60" w14:textId="7AA51117" w:rsidR="00B04AB1" w:rsidRDefault="00B04AB1">
      <w:pPr>
        <w:pStyle w:val="CommentText"/>
      </w:pPr>
      <w:r>
        <w:rPr>
          <w:rStyle w:val="CommentReference"/>
        </w:rPr>
        <w:annotationRef/>
      </w:r>
      <w:r>
        <w:t>Add a figure looking at MATa-MATalpha reproducibility with 3-7 gene</w:t>
      </w:r>
    </w:p>
  </w:comment>
  <w:comment w:id="6" w:author="Albi Celaj" w:date="2017-08-24T14:59:00Z" w:initials="AC">
    <w:p w14:paraId="4B35AC99" w14:textId="45735E24" w:rsidR="00B04AB1" w:rsidRDefault="00B04AB1">
      <w:pPr>
        <w:pStyle w:val="CommentText"/>
      </w:pPr>
      <w:r>
        <w:rPr>
          <w:rStyle w:val="CommentReference"/>
        </w:rPr>
        <w:annotationRef/>
      </w:r>
      <w:r>
        <w:t>Numbers subject to change</w:t>
      </w:r>
    </w:p>
  </w:comment>
  <w:comment w:id="7" w:author="Albi Celaj" w:date="2017-08-24T14:59:00Z" w:initials="AC">
    <w:p w14:paraId="7FD06D02" w14:textId="77777777" w:rsidR="00B04AB1" w:rsidRDefault="00B04AB1" w:rsidP="00962F43">
      <w:pPr>
        <w:pStyle w:val="CommentText"/>
      </w:pPr>
      <w:r>
        <w:rPr>
          <w:rStyle w:val="CommentReference"/>
        </w:rPr>
        <w:annotationRef/>
      </w:r>
      <w:r>
        <w:t>Section under construction</w:t>
      </w:r>
    </w:p>
  </w:comment>
  <w:comment w:id="8" w:author="Albi Celaj" w:date="2017-08-24T14:59:00Z" w:initials="AC">
    <w:p w14:paraId="5F9D412A" w14:textId="75EC08BD" w:rsidR="00B04AB1" w:rsidRDefault="00B04AB1">
      <w:pPr>
        <w:pStyle w:val="CommentText"/>
      </w:pPr>
      <w:r>
        <w:rPr>
          <w:rStyle w:val="CommentReference"/>
        </w:rPr>
        <w:annotationRef/>
      </w:r>
      <w:r>
        <w:t>Placeholder for results not in fluconazole</w:t>
      </w:r>
    </w:p>
  </w:comment>
  <w:comment w:id="9" w:author="Albi Celaj" w:date="2017-08-24T14:59:00Z" w:initials="AC">
    <w:p w14:paraId="7A7006D9" w14:textId="77777777" w:rsidR="00B04AB1" w:rsidRDefault="00B04AB1" w:rsidP="008F364B">
      <w:pPr>
        <w:pStyle w:val="CommentText"/>
      </w:pPr>
      <w:r>
        <w:rPr>
          <w:rStyle w:val="CommentReference"/>
        </w:rPr>
        <w:annotationRef/>
      </w:r>
      <w:r>
        <w:t>Is it predicted by the genetic interaction or just the grouped population profile?</w:t>
      </w:r>
    </w:p>
  </w:comment>
  <w:comment w:id="10" w:author="Albi Celaj" w:date="2017-08-24T14:59:00Z" w:initials="AC">
    <w:p w14:paraId="497E469D" w14:textId="057DF8CB" w:rsidR="00B04AB1" w:rsidRDefault="00B04AB1">
      <w:pPr>
        <w:pStyle w:val="CommentText"/>
      </w:pPr>
      <w:r>
        <w:rPr>
          <w:rStyle w:val="CommentReference"/>
        </w:rPr>
        <w:annotationRef/>
      </w:r>
      <w:r>
        <w:t>Section under construction</w:t>
      </w:r>
    </w:p>
  </w:comment>
  <w:comment w:id="11" w:author="Albi Celaj" w:date="2017-08-24T14:59:00Z" w:initials="AC">
    <w:p w14:paraId="3B2D48F4" w14:textId="5C26732A" w:rsidR="00B04AB1" w:rsidRDefault="00B04AB1">
      <w:pPr>
        <w:pStyle w:val="CommentText"/>
      </w:pPr>
      <w:r>
        <w:t xml:space="preserve">Nozomu: </w:t>
      </w:r>
      <w:r>
        <w:rPr>
          <w:rStyle w:val="CommentReference"/>
        </w:rPr>
        <w:annotationRef/>
      </w:r>
      <w:r>
        <w:t>Are there any differences between these strains?</w:t>
      </w:r>
    </w:p>
  </w:comment>
  <w:comment w:id="13" w:author="Albi Celaj" w:date="2017-08-24T14:59:00Z" w:initials="AC">
    <w:p w14:paraId="476F4712" w14:textId="7F4B8F2F" w:rsidR="00B04AB1" w:rsidRDefault="00B04AB1">
      <w:pPr>
        <w:pStyle w:val="CommentText"/>
      </w:pPr>
      <w:r>
        <w:t>-May need details of growth selection media used</w:t>
      </w:r>
    </w:p>
    <w:p w14:paraId="60AC4973" w14:textId="10C0F849" w:rsidR="00B04AB1" w:rsidRDefault="00B04AB1">
      <w:pPr>
        <w:pStyle w:val="CommentText"/>
      </w:pPr>
      <w:r>
        <w:t>-May require source of all chemicals and concentrations used for selection (will ask lab for this)</w:t>
      </w:r>
    </w:p>
    <w:p w14:paraId="0B0708BE" w14:textId="77777777" w:rsidR="00B04AB1" w:rsidRDefault="00B04AB1">
      <w:pPr>
        <w:pStyle w:val="CommentText"/>
      </w:pPr>
    </w:p>
  </w:comment>
  <w:comment w:id="14" w:author="Albi Celaj" w:date="2017-09-05T17:04:00Z" w:initials="AC">
    <w:p w14:paraId="31C0EB38" w14:textId="2C39A26C" w:rsidR="00B04AB1" w:rsidRDefault="00B04AB1">
      <w:pPr>
        <w:pStyle w:val="CommentText"/>
      </w:pPr>
      <w:r>
        <w:rPr>
          <w:rStyle w:val="CommentReference"/>
        </w:rPr>
        <w:annotationRef/>
      </w:r>
      <w:r>
        <w:t>Latest mention in Louai’s notebook used these conditions</w:t>
      </w:r>
    </w:p>
  </w:comment>
  <w:comment w:id="15" w:author="Albi Celaj" w:date="2017-09-05T17:04:00Z" w:initials="AC">
    <w:p w14:paraId="017B1301" w14:textId="77777777" w:rsidR="00B04AB1" w:rsidRDefault="00B04AB1" w:rsidP="00AD3ECF">
      <w:pPr>
        <w:pStyle w:val="CommentText"/>
      </w:pPr>
      <w:r>
        <w:rPr>
          <w:rStyle w:val="CommentReference"/>
        </w:rPr>
        <w:annotationRef/>
      </w:r>
      <w:r>
        <w:t>Latest mention in Louai’s notebook</w:t>
      </w:r>
    </w:p>
  </w:comment>
  <w:comment w:id="16" w:author="Albi Celaj" w:date="2017-09-05T17:04:00Z" w:initials="AC">
    <w:p w14:paraId="3107980F" w14:textId="4EEC4869" w:rsidR="00B04AB1" w:rsidRDefault="00B04AB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7" w:author="Albi Celaj" w:date="2017-09-05T17:04:00Z" w:initials="AC">
    <w:p w14:paraId="6CD34C85" w14:textId="77777777" w:rsidR="00B04AB1" w:rsidRDefault="00B04AB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8" w:author="Albi Celaj" w:date="2017-09-11T18:31:00Z" w:initials="AC">
    <w:p w14:paraId="1FDF1C98" w14:textId="79341EBA" w:rsidR="00B04AB1" w:rsidRDefault="00B04AB1">
      <w:pPr>
        <w:pStyle w:val="CommentText"/>
      </w:pPr>
      <w:r>
        <w:rPr>
          <w:rStyle w:val="CommentReference"/>
        </w:rPr>
        <w:annotationRef/>
      </w:r>
      <w:r>
        <w:t>I am going to omit the MiSeq step to verify complexity, let me know if it is worth mentioning here + the results</w:t>
      </w:r>
    </w:p>
  </w:comment>
  <w:comment w:id="19" w:author="Albi Celaj" w:date="2017-08-24T14:59:00Z" w:initials="AC">
    <w:p w14:paraId="1B0FAD23" w14:textId="08971DBE" w:rsidR="00B04AB1" w:rsidRDefault="00B04AB1">
      <w:pPr>
        <w:pStyle w:val="CommentText"/>
      </w:pPr>
      <w:r>
        <w:rPr>
          <w:rStyle w:val="CommentReference"/>
        </w:rPr>
        <w:annotationRef/>
      </w:r>
      <w:r>
        <w:rPr>
          <w:rStyle w:val="CommentReference"/>
        </w:rPr>
        <w:t>Seems from Louai’s notes that the same protocol was used, so no need to copypasta</w:t>
      </w:r>
    </w:p>
  </w:comment>
  <w:comment w:id="20" w:author="Albi Celaj" w:date="2017-09-08T11:26:00Z" w:initials="AC">
    <w:p w14:paraId="72154B5F" w14:textId="7ABD745D" w:rsidR="00B04AB1" w:rsidRDefault="00B04AB1">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21" w:author="Albi Celaj" w:date="2017-09-12T12:06:00Z" w:initials="AC">
    <w:p w14:paraId="26356F30" w14:textId="2F28B611" w:rsidR="00B04AB1" w:rsidRDefault="00B04AB1">
      <w:pPr>
        <w:pStyle w:val="CommentText"/>
      </w:pPr>
      <w:r>
        <w:t xml:space="preserve">Nozomu: </w:t>
      </w:r>
      <w:r>
        <w:rPr>
          <w:rStyle w:val="CommentReference"/>
        </w:rPr>
        <w:annotationRef/>
      </w:r>
      <w:r>
        <w:t>The positions of these strains stated don’t correspond to the data.  I can either leave them out or double check</w:t>
      </w:r>
    </w:p>
  </w:comment>
  <w:comment w:id="22" w:author="Albi Celaj" w:date="2017-09-12T11:37:00Z" w:initials="AC">
    <w:p w14:paraId="60F8A169" w14:textId="64BB308A" w:rsidR="00B04AB1" w:rsidRDefault="00B04AB1">
      <w:pPr>
        <w:pStyle w:val="CommentText"/>
      </w:pPr>
      <w:r>
        <w:t xml:space="preserve">Nozomu: </w:t>
      </w:r>
      <w:r>
        <w:rPr>
          <w:rStyle w:val="CommentReference"/>
        </w:rPr>
        <w:annotationRef/>
      </w:r>
      <w:r>
        <w:t>There was a bead enrichment strategy mentioned in Louai’s notes.  Was it used?</w:t>
      </w:r>
    </w:p>
  </w:comment>
  <w:comment w:id="23" w:author="Albi Celaj" w:date="2017-08-24T14:59:00Z" w:initials="AC">
    <w:p w14:paraId="59015036" w14:textId="350C508F" w:rsidR="00B04AB1" w:rsidRDefault="00B04AB1" w:rsidP="00D76DA1">
      <w:pPr>
        <w:pStyle w:val="CommentText"/>
      </w:pPr>
      <w:r>
        <w:rPr>
          <w:rStyle w:val="CommentReference"/>
        </w:rPr>
        <w:annotationRef/>
      </w:r>
      <w:r>
        <w:t>Nozomu: I have no idea about sequencing performed and how the script works</w:t>
      </w:r>
    </w:p>
  </w:comment>
  <w:comment w:id="24" w:author="Albi Celaj" w:date="2017-08-24T14:59:00Z" w:initials="AC">
    <w:p w14:paraId="4CABDCD5" w14:textId="27306C9F" w:rsidR="00B04AB1" w:rsidRDefault="00B04AB1">
      <w:pPr>
        <w:pStyle w:val="CommentText"/>
      </w:pPr>
      <w:r>
        <w:rPr>
          <w:rStyle w:val="CommentReference"/>
        </w:rPr>
        <w:annotationRef/>
      </w:r>
      <w:r>
        <w:rPr>
          <w:rStyle w:val="CommentReference"/>
        </w:rPr>
        <w:t>Nozomu: I will need your help</w:t>
      </w:r>
      <w:r>
        <w:t xml:space="preserve"> to describe the pipeline briefly here. </w:t>
      </w:r>
    </w:p>
  </w:comment>
  <w:comment w:id="25" w:author="Albi Celaj" w:date="2017-08-24T14:59:00Z" w:initials="AC">
    <w:p w14:paraId="2B1613A2" w14:textId="347B3F10" w:rsidR="00B04AB1" w:rsidRDefault="00B04AB1" w:rsidP="00384F51">
      <w:pPr>
        <w:pStyle w:val="CommentText"/>
      </w:pPr>
      <w:r>
        <w:rPr>
          <w:rStyle w:val="CommentReference"/>
        </w:rPr>
        <w:annotationRef/>
      </w:r>
      <w:r>
        <w:t>Note to self: Double check these numbers</w:t>
      </w:r>
    </w:p>
  </w:comment>
  <w:comment w:id="26" w:author="Albi Celaj" w:date="2017-08-24T14:59:00Z" w:initials="AC">
    <w:p w14:paraId="08FBF2F0" w14:textId="71B15834" w:rsidR="00B04AB1" w:rsidRDefault="00B04AB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7" w:author="Albi Celaj" w:date="2017-08-24T14:59:00Z" w:initials="AC">
    <w:p w14:paraId="632F96D8" w14:textId="46403B9B" w:rsidR="00B04AB1" w:rsidRDefault="00B04AB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8" w:author="Albi Celaj" w:date="2017-08-24T14:59:00Z" w:initials="AC">
    <w:p w14:paraId="490BB875" w14:textId="4B5723FB" w:rsidR="00B04AB1" w:rsidRDefault="00B04AB1">
      <w:pPr>
        <w:pStyle w:val="CommentText"/>
      </w:pPr>
      <w:r>
        <w:rPr>
          <w:rStyle w:val="CommentReference"/>
        </w:rPr>
        <w:annotationRef/>
      </w:r>
      <w:r>
        <w:t>Marinella: Which strain was wild type?</w:t>
      </w:r>
    </w:p>
  </w:comment>
  <w:comment w:id="29" w:author="Albi Celaj" w:date="2017-08-24T14:59:00Z" w:initials="AC">
    <w:p w14:paraId="37BF75C7" w14:textId="1A1D5D08" w:rsidR="00B04AB1" w:rsidRDefault="00B04AB1">
      <w:pPr>
        <w:pStyle w:val="CommentText"/>
      </w:pPr>
      <w:r>
        <w:rPr>
          <w:rStyle w:val="CommentReference"/>
        </w:rPr>
        <w:annotationRef/>
      </w:r>
      <w:r>
        <w:t>Marinella may have to review this part, ask for her protocol</w:t>
      </w:r>
    </w:p>
  </w:comment>
  <w:comment w:id="30" w:author="Albi Celaj" w:date="2017-08-24T14:59:00Z" w:initials="AC">
    <w:p w14:paraId="31B34785" w14:textId="7DF4DD16" w:rsidR="00B04AB1" w:rsidRDefault="00B04AB1">
      <w:pPr>
        <w:pStyle w:val="CommentText"/>
      </w:pPr>
      <w:r>
        <w:rPr>
          <w:rStyle w:val="CommentReference"/>
        </w:rPr>
        <w:annotationRef/>
      </w:r>
      <w:r>
        <w:t>Were there any strains excluded when making these? (e.g. those for which the barcode could not be determined)</w:t>
      </w:r>
    </w:p>
    <w:p w14:paraId="4A90A5F8" w14:textId="77777777" w:rsidR="00B04AB1" w:rsidRDefault="00B04AB1">
      <w:pPr>
        <w:pStyle w:val="CommentText"/>
      </w:pPr>
    </w:p>
    <w:p w14:paraId="1AA9C4F0" w14:textId="74BB6EEB" w:rsidR="00B04AB1" w:rsidRDefault="00B04AB1">
      <w:pPr>
        <w:pStyle w:val="CommentText"/>
      </w:pPr>
      <w:r>
        <w:t>I could also test this computationally</w:t>
      </w:r>
    </w:p>
  </w:comment>
  <w:comment w:id="31" w:author="Albi Celaj" w:date="2017-08-24T14:59:00Z" w:initials="AC">
    <w:p w14:paraId="2824D19D" w14:textId="7E1FBB76" w:rsidR="00B04AB1" w:rsidRDefault="00B04AB1">
      <w:pPr>
        <w:pStyle w:val="CommentText"/>
      </w:pPr>
      <w:r>
        <w:rPr>
          <w:rStyle w:val="CommentReference"/>
        </w:rPr>
        <w:annotationRef/>
      </w:r>
      <w:r>
        <w:t>Marinella: how much was taken?</w:t>
      </w:r>
    </w:p>
  </w:comment>
  <w:comment w:id="32" w:author="Albi Celaj" w:date="2017-08-24T14:59:00Z" w:initials="AC">
    <w:p w14:paraId="205209DE" w14:textId="1609E536" w:rsidR="00B04AB1" w:rsidRDefault="00B04AB1">
      <w:pPr>
        <w:pStyle w:val="CommentText"/>
      </w:pPr>
      <w:r>
        <w:rPr>
          <w:rStyle w:val="CommentReference"/>
        </w:rPr>
        <w:annotationRef/>
      </w:r>
      <w:r>
        <w:rPr>
          <w:rStyle w:val="CommentReference"/>
        </w:rPr>
        <w:t>Marinella: What is the genomic DNA extraction protocol used?</w:t>
      </w:r>
    </w:p>
  </w:comment>
  <w:comment w:id="33" w:author="Albi Celaj" w:date="2017-08-24T14:59:00Z" w:initials="AC">
    <w:p w14:paraId="668EF928" w14:textId="5CCDAFFC" w:rsidR="00B04AB1" w:rsidRDefault="00B04AB1">
      <w:pPr>
        <w:pStyle w:val="CommentText"/>
      </w:pPr>
      <w:r>
        <w:rPr>
          <w:rStyle w:val="CommentReference"/>
        </w:rPr>
        <w:annotationRef/>
      </w:r>
      <w:r>
        <w:t>I may just not do this…</w:t>
      </w:r>
    </w:p>
  </w:comment>
  <w:comment w:id="34" w:author="Albi Celaj" w:date="2017-08-24T14:59:00Z" w:initials="AC">
    <w:p w14:paraId="3798F73B" w14:textId="068D13D5" w:rsidR="00B04AB1" w:rsidRDefault="00B04AB1">
      <w:pPr>
        <w:pStyle w:val="CommentText"/>
      </w:pPr>
      <w:r>
        <w:rPr>
          <w:rStyle w:val="CommentReference"/>
        </w:rPr>
        <w:annotationRef/>
      </w:r>
      <w:r>
        <w:t>Under construction, experiments ongoing</w:t>
      </w:r>
    </w:p>
  </w:comment>
  <w:comment w:id="35" w:author="Albi Celaj" w:date="2017-08-29T13:35:00Z" w:initials="AC">
    <w:p w14:paraId="1D09427C" w14:textId="47A7C76C" w:rsidR="00B04AB1" w:rsidRDefault="00B04AB1">
      <w:pPr>
        <w:pStyle w:val="CommentText"/>
      </w:pPr>
      <w:r>
        <w:rPr>
          <w:rStyle w:val="CommentReference"/>
        </w:rPr>
        <w:annotationRef/>
      </w:r>
      <w:r>
        <w:rPr>
          <w:rStyle w:val="CommentReference"/>
        </w:rPr>
        <w:t>Jamie: Need confirmation that it was indeed 2%</w:t>
      </w:r>
    </w:p>
  </w:comment>
  <w:comment w:id="36" w:author="Albi Celaj" w:date="2017-08-30T09:29:00Z" w:initials="AC">
    <w:p w14:paraId="2176F66A" w14:textId="77777777" w:rsidR="00B04AB1" w:rsidRDefault="00B04AB1">
      <w:pPr>
        <w:pStyle w:val="CommentText"/>
      </w:pPr>
      <w:r>
        <w:rPr>
          <w:rStyle w:val="CommentReference"/>
        </w:rPr>
        <w:annotationRef/>
      </w:r>
      <w:r>
        <w:t>-Had to recreate one of these strains, need Marinella for details about this.</w:t>
      </w:r>
    </w:p>
    <w:p w14:paraId="07D8619E" w14:textId="6BD7FA46" w:rsidR="00B04AB1" w:rsidRDefault="00B04AB1">
      <w:pPr>
        <w:pStyle w:val="CommentText"/>
      </w:pPr>
      <w:r>
        <w:t>- Also need to verify growth conditions, took from Tarassov et al paper</w:t>
      </w:r>
    </w:p>
    <w:p w14:paraId="57A9515B" w14:textId="62E3386E" w:rsidR="00B04AB1" w:rsidRDefault="00B04AB1">
      <w:pPr>
        <w:pStyle w:val="CommentText"/>
      </w:pPr>
      <w:r>
        <w:t>-Need fluconazole concentrations</w:t>
      </w:r>
    </w:p>
  </w:comment>
  <w:comment w:id="37" w:author="Albi Celaj" w:date="2017-08-24T14:59:00Z" w:initials="AC">
    <w:p w14:paraId="7BB2BB8A" w14:textId="0ABC6894" w:rsidR="00B04AB1" w:rsidRDefault="00B04AB1">
      <w:pPr>
        <w:pStyle w:val="CommentText"/>
      </w:pPr>
      <w:r>
        <w:rPr>
          <w:rStyle w:val="CommentReference"/>
        </w:rPr>
        <w:annotationRef/>
      </w:r>
      <w:r>
        <w:t>This part has to be revised later, these experiments are still in progress</w:t>
      </w:r>
    </w:p>
  </w:comment>
  <w:comment w:id="38" w:author="Albi Celaj" w:date="2017-08-24T14:59:00Z" w:initials="AC">
    <w:p w14:paraId="46C81E42" w14:textId="04F643C9" w:rsidR="00B04AB1" w:rsidRDefault="00B04AB1">
      <w:pPr>
        <w:pStyle w:val="CommentText"/>
      </w:pPr>
      <w:r>
        <w:rPr>
          <w:rStyle w:val="CommentReference"/>
        </w:rPr>
        <w:annotationRef/>
      </w:r>
      <w:r>
        <w:t>Under construction, these are being made</w:t>
      </w:r>
    </w:p>
    <w:p w14:paraId="58D6EA9F" w14:textId="77777777" w:rsidR="00B04AB1" w:rsidRDefault="00B04AB1">
      <w:pPr>
        <w:pStyle w:val="CommentText"/>
      </w:pPr>
    </w:p>
    <w:p w14:paraId="47F3AC14" w14:textId="03C6ADEE" w:rsidR="00B04AB1" w:rsidRDefault="00B04AB1">
      <w:pPr>
        <w:pStyle w:val="CommentText"/>
      </w:pPr>
      <w:r>
        <w:t>To add:</w:t>
      </w:r>
    </w:p>
    <w:p w14:paraId="6A1D5EB1" w14:textId="780B4013" w:rsidR="00B04AB1" w:rsidRDefault="00B04AB1">
      <w:pPr>
        <w:pStyle w:val="CommentText"/>
      </w:pPr>
      <w:r>
        <w:t>-Individual growth profiling data</w:t>
      </w:r>
    </w:p>
    <w:p w14:paraId="7421F886" w14:textId="0B4BD99C" w:rsidR="00B04AB1" w:rsidRDefault="00B04AB1">
      <w:pPr>
        <w:pStyle w:val="CommentText"/>
      </w:pPr>
      <w:r>
        <w:t>-qPCR data</w:t>
      </w:r>
    </w:p>
    <w:p w14:paraId="292854D9" w14:textId="77E7E1CD" w:rsidR="00B04AB1" w:rsidRDefault="00B04AB1">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8995C" w15:done="0"/>
  <w15:commentEx w15:paraId="6E24186E" w15:done="0"/>
  <w15:commentEx w15:paraId="09852A7E" w15:done="0"/>
  <w15:commentEx w15:paraId="3C13ECB0" w15:done="0"/>
  <w15:commentEx w15:paraId="4AE86E84" w15:done="0"/>
  <w15:commentEx w15:paraId="15A24E60" w15:done="0"/>
  <w15:commentEx w15:paraId="4B35AC99" w15:done="0"/>
  <w15:commentEx w15:paraId="7FD06D02" w15:done="0"/>
  <w15:commentEx w15:paraId="5F9D412A" w15:done="0"/>
  <w15:commentEx w15:paraId="7A7006D9" w15:done="0"/>
  <w15:commentEx w15:paraId="497E469D"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revisionView w:markup="0"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E31"/>
    <w:rsid w:val="00000F7B"/>
    <w:rsid w:val="000010D5"/>
    <w:rsid w:val="00001398"/>
    <w:rsid w:val="00001506"/>
    <w:rsid w:val="000018E5"/>
    <w:rsid w:val="000022CD"/>
    <w:rsid w:val="0000261A"/>
    <w:rsid w:val="00002F36"/>
    <w:rsid w:val="000035C0"/>
    <w:rsid w:val="00003647"/>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CF1"/>
    <w:rsid w:val="00012FD9"/>
    <w:rsid w:val="0001321B"/>
    <w:rsid w:val="00013653"/>
    <w:rsid w:val="00013887"/>
    <w:rsid w:val="00014744"/>
    <w:rsid w:val="00014A32"/>
    <w:rsid w:val="00014BAF"/>
    <w:rsid w:val="0001555C"/>
    <w:rsid w:val="00016B0D"/>
    <w:rsid w:val="000176CD"/>
    <w:rsid w:val="00020C39"/>
    <w:rsid w:val="00020F10"/>
    <w:rsid w:val="00022370"/>
    <w:rsid w:val="000228D3"/>
    <w:rsid w:val="00022CBD"/>
    <w:rsid w:val="00023080"/>
    <w:rsid w:val="000242CE"/>
    <w:rsid w:val="0002525A"/>
    <w:rsid w:val="00025332"/>
    <w:rsid w:val="0002571E"/>
    <w:rsid w:val="00025BAF"/>
    <w:rsid w:val="0002676A"/>
    <w:rsid w:val="00026B49"/>
    <w:rsid w:val="000270D6"/>
    <w:rsid w:val="000274E9"/>
    <w:rsid w:val="00027FD5"/>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1FF2"/>
    <w:rsid w:val="00042EBE"/>
    <w:rsid w:val="000444B8"/>
    <w:rsid w:val="000447E8"/>
    <w:rsid w:val="00045262"/>
    <w:rsid w:val="000454F7"/>
    <w:rsid w:val="000458A1"/>
    <w:rsid w:val="0004626A"/>
    <w:rsid w:val="000475D8"/>
    <w:rsid w:val="00047B3E"/>
    <w:rsid w:val="00047C42"/>
    <w:rsid w:val="000508E8"/>
    <w:rsid w:val="0005129A"/>
    <w:rsid w:val="000517D1"/>
    <w:rsid w:val="00051BFA"/>
    <w:rsid w:val="0005237E"/>
    <w:rsid w:val="000525D1"/>
    <w:rsid w:val="00052D2B"/>
    <w:rsid w:val="000541FC"/>
    <w:rsid w:val="00054782"/>
    <w:rsid w:val="00055511"/>
    <w:rsid w:val="00055E61"/>
    <w:rsid w:val="000561F3"/>
    <w:rsid w:val="00056237"/>
    <w:rsid w:val="00056BB0"/>
    <w:rsid w:val="0006005C"/>
    <w:rsid w:val="000604F9"/>
    <w:rsid w:val="00060530"/>
    <w:rsid w:val="0006076B"/>
    <w:rsid w:val="0006089D"/>
    <w:rsid w:val="0006098A"/>
    <w:rsid w:val="00060C94"/>
    <w:rsid w:val="00062117"/>
    <w:rsid w:val="000624AC"/>
    <w:rsid w:val="000626FF"/>
    <w:rsid w:val="00062B32"/>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3AE7"/>
    <w:rsid w:val="00074820"/>
    <w:rsid w:val="0007488D"/>
    <w:rsid w:val="0007506E"/>
    <w:rsid w:val="00075179"/>
    <w:rsid w:val="00076354"/>
    <w:rsid w:val="00076569"/>
    <w:rsid w:val="00076589"/>
    <w:rsid w:val="00080475"/>
    <w:rsid w:val="00080EE1"/>
    <w:rsid w:val="000812E9"/>
    <w:rsid w:val="00083976"/>
    <w:rsid w:val="00083CF8"/>
    <w:rsid w:val="000842A5"/>
    <w:rsid w:val="000844D8"/>
    <w:rsid w:val="00084C6E"/>
    <w:rsid w:val="000854D2"/>
    <w:rsid w:val="00086010"/>
    <w:rsid w:val="00086039"/>
    <w:rsid w:val="0008612D"/>
    <w:rsid w:val="00086A4B"/>
    <w:rsid w:val="00086B6E"/>
    <w:rsid w:val="00086DEF"/>
    <w:rsid w:val="0008713F"/>
    <w:rsid w:val="00087566"/>
    <w:rsid w:val="000876BF"/>
    <w:rsid w:val="00087C2E"/>
    <w:rsid w:val="00090EEC"/>
    <w:rsid w:val="0009151E"/>
    <w:rsid w:val="000919D1"/>
    <w:rsid w:val="000925DD"/>
    <w:rsid w:val="000926AC"/>
    <w:rsid w:val="00092898"/>
    <w:rsid w:val="000928E2"/>
    <w:rsid w:val="00092955"/>
    <w:rsid w:val="0009349F"/>
    <w:rsid w:val="00093B93"/>
    <w:rsid w:val="00093EBE"/>
    <w:rsid w:val="00094426"/>
    <w:rsid w:val="000946A1"/>
    <w:rsid w:val="00094C1B"/>
    <w:rsid w:val="00094D37"/>
    <w:rsid w:val="000954A2"/>
    <w:rsid w:val="00096F44"/>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4621"/>
    <w:rsid w:val="000A544B"/>
    <w:rsid w:val="000A6132"/>
    <w:rsid w:val="000A64B9"/>
    <w:rsid w:val="000A6580"/>
    <w:rsid w:val="000A680F"/>
    <w:rsid w:val="000A68DA"/>
    <w:rsid w:val="000A6E35"/>
    <w:rsid w:val="000A78C0"/>
    <w:rsid w:val="000A7909"/>
    <w:rsid w:val="000B05AE"/>
    <w:rsid w:val="000B08C5"/>
    <w:rsid w:val="000B0A26"/>
    <w:rsid w:val="000B0E85"/>
    <w:rsid w:val="000B1289"/>
    <w:rsid w:val="000B16EF"/>
    <w:rsid w:val="000B1EAB"/>
    <w:rsid w:val="000B20E3"/>
    <w:rsid w:val="000B2CDD"/>
    <w:rsid w:val="000B4CD5"/>
    <w:rsid w:val="000B4E58"/>
    <w:rsid w:val="000B4F87"/>
    <w:rsid w:val="000B53D6"/>
    <w:rsid w:val="000B5417"/>
    <w:rsid w:val="000B54DB"/>
    <w:rsid w:val="000B6231"/>
    <w:rsid w:val="000B6473"/>
    <w:rsid w:val="000B64DC"/>
    <w:rsid w:val="000B6825"/>
    <w:rsid w:val="000B6AA8"/>
    <w:rsid w:val="000B7575"/>
    <w:rsid w:val="000B76CF"/>
    <w:rsid w:val="000B7E99"/>
    <w:rsid w:val="000C0219"/>
    <w:rsid w:val="000C0301"/>
    <w:rsid w:val="000C062A"/>
    <w:rsid w:val="000C0823"/>
    <w:rsid w:val="000C0D59"/>
    <w:rsid w:val="000C1CC4"/>
    <w:rsid w:val="000C36A9"/>
    <w:rsid w:val="000C5268"/>
    <w:rsid w:val="000C56D2"/>
    <w:rsid w:val="000C6231"/>
    <w:rsid w:val="000C7311"/>
    <w:rsid w:val="000C7544"/>
    <w:rsid w:val="000D0530"/>
    <w:rsid w:val="000D060F"/>
    <w:rsid w:val="000D0B5B"/>
    <w:rsid w:val="000D0DCC"/>
    <w:rsid w:val="000D1619"/>
    <w:rsid w:val="000D1A92"/>
    <w:rsid w:val="000D1BDE"/>
    <w:rsid w:val="000D1D70"/>
    <w:rsid w:val="000D20B3"/>
    <w:rsid w:val="000D21ED"/>
    <w:rsid w:val="000D2524"/>
    <w:rsid w:val="000D2EE6"/>
    <w:rsid w:val="000D2F48"/>
    <w:rsid w:val="000D3237"/>
    <w:rsid w:val="000D410F"/>
    <w:rsid w:val="000D49D2"/>
    <w:rsid w:val="000D4CE2"/>
    <w:rsid w:val="000D7256"/>
    <w:rsid w:val="000D7B40"/>
    <w:rsid w:val="000D7CC4"/>
    <w:rsid w:val="000D7E08"/>
    <w:rsid w:val="000E030D"/>
    <w:rsid w:val="000E0544"/>
    <w:rsid w:val="000E0582"/>
    <w:rsid w:val="000E0731"/>
    <w:rsid w:val="000E1177"/>
    <w:rsid w:val="000E17D7"/>
    <w:rsid w:val="000E1889"/>
    <w:rsid w:val="000E1A41"/>
    <w:rsid w:val="000E290B"/>
    <w:rsid w:val="000E2C0F"/>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442"/>
    <w:rsid w:val="000F65CF"/>
    <w:rsid w:val="000F6A69"/>
    <w:rsid w:val="000F6B5B"/>
    <w:rsid w:val="00100B14"/>
    <w:rsid w:val="00100E4E"/>
    <w:rsid w:val="0010198E"/>
    <w:rsid w:val="00101E30"/>
    <w:rsid w:val="00102D7B"/>
    <w:rsid w:val="00103719"/>
    <w:rsid w:val="001038DA"/>
    <w:rsid w:val="00103D6A"/>
    <w:rsid w:val="001043BD"/>
    <w:rsid w:val="001046E3"/>
    <w:rsid w:val="00105954"/>
    <w:rsid w:val="001065C7"/>
    <w:rsid w:val="00107269"/>
    <w:rsid w:val="0011011B"/>
    <w:rsid w:val="001101B3"/>
    <w:rsid w:val="00111996"/>
    <w:rsid w:val="00111A12"/>
    <w:rsid w:val="0011221B"/>
    <w:rsid w:val="00112A8D"/>
    <w:rsid w:val="00112CF1"/>
    <w:rsid w:val="00114987"/>
    <w:rsid w:val="00114B65"/>
    <w:rsid w:val="001156F4"/>
    <w:rsid w:val="00115AC6"/>
    <w:rsid w:val="00115F23"/>
    <w:rsid w:val="0011606F"/>
    <w:rsid w:val="0011643A"/>
    <w:rsid w:val="001165B0"/>
    <w:rsid w:val="001172A0"/>
    <w:rsid w:val="00117375"/>
    <w:rsid w:val="00117A50"/>
    <w:rsid w:val="00117EE3"/>
    <w:rsid w:val="001207FF"/>
    <w:rsid w:val="00120A86"/>
    <w:rsid w:val="00120EFE"/>
    <w:rsid w:val="0012108E"/>
    <w:rsid w:val="001216A2"/>
    <w:rsid w:val="001229B3"/>
    <w:rsid w:val="00123BB1"/>
    <w:rsid w:val="00123E71"/>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92D"/>
    <w:rsid w:val="00145C19"/>
    <w:rsid w:val="00146183"/>
    <w:rsid w:val="001461BC"/>
    <w:rsid w:val="00146B98"/>
    <w:rsid w:val="00146D1F"/>
    <w:rsid w:val="00146EB0"/>
    <w:rsid w:val="00147D85"/>
    <w:rsid w:val="00147E6F"/>
    <w:rsid w:val="00150385"/>
    <w:rsid w:val="001504C1"/>
    <w:rsid w:val="00150D4B"/>
    <w:rsid w:val="00151D04"/>
    <w:rsid w:val="00151E99"/>
    <w:rsid w:val="00151FFB"/>
    <w:rsid w:val="001523C0"/>
    <w:rsid w:val="00152EC5"/>
    <w:rsid w:val="00153387"/>
    <w:rsid w:val="0015456B"/>
    <w:rsid w:val="00154CB5"/>
    <w:rsid w:val="00155717"/>
    <w:rsid w:val="00155DAB"/>
    <w:rsid w:val="0015640F"/>
    <w:rsid w:val="00156826"/>
    <w:rsid w:val="00160252"/>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2CBB"/>
    <w:rsid w:val="00183F4B"/>
    <w:rsid w:val="001844A5"/>
    <w:rsid w:val="00185764"/>
    <w:rsid w:val="00185B86"/>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5167"/>
    <w:rsid w:val="00195D71"/>
    <w:rsid w:val="00196297"/>
    <w:rsid w:val="001963CB"/>
    <w:rsid w:val="00196F21"/>
    <w:rsid w:val="001970FE"/>
    <w:rsid w:val="0019716A"/>
    <w:rsid w:val="00197200"/>
    <w:rsid w:val="001973C0"/>
    <w:rsid w:val="001975F9"/>
    <w:rsid w:val="001A048D"/>
    <w:rsid w:val="001A1199"/>
    <w:rsid w:val="001A22F0"/>
    <w:rsid w:val="001A2B63"/>
    <w:rsid w:val="001A4394"/>
    <w:rsid w:val="001A4F46"/>
    <w:rsid w:val="001A5F12"/>
    <w:rsid w:val="001A6782"/>
    <w:rsid w:val="001A67E3"/>
    <w:rsid w:val="001A6DF8"/>
    <w:rsid w:val="001A7DD8"/>
    <w:rsid w:val="001B06FC"/>
    <w:rsid w:val="001B0B68"/>
    <w:rsid w:val="001B1218"/>
    <w:rsid w:val="001B1758"/>
    <w:rsid w:val="001B1B1F"/>
    <w:rsid w:val="001B24C1"/>
    <w:rsid w:val="001B348D"/>
    <w:rsid w:val="001B37E7"/>
    <w:rsid w:val="001B3FE1"/>
    <w:rsid w:val="001B42B2"/>
    <w:rsid w:val="001B456B"/>
    <w:rsid w:val="001B4BDC"/>
    <w:rsid w:val="001B537C"/>
    <w:rsid w:val="001B54C4"/>
    <w:rsid w:val="001B558D"/>
    <w:rsid w:val="001B572E"/>
    <w:rsid w:val="001B6102"/>
    <w:rsid w:val="001B6BEF"/>
    <w:rsid w:val="001B76DD"/>
    <w:rsid w:val="001C06AE"/>
    <w:rsid w:val="001C1ED0"/>
    <w:rsid w:val="001C2341"/>
    <w:rsid w:val="001C271A"/>
    <w:rsid w:val="001C2E01"/>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982"/>
    <w:rsid w:val="001E6AEE"/>
    <w:rsid w:val="001E6CAA"/>
    <w:rsid w:val="001E7376"/>
    <w:rsid w:val="001E76CB"/>
    <w:rsid w:val="001F01EA"/>
    <w:rsid w:val="001F052C"/>
    <w:rsid w:val="001F1F7F"/>
    <w:rsid w:val="001F2501"/>
    <w:rsid w:val="001F3541"/>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726"/>
    <w:rsid w:val="00205943"/>
    <w:rsid w:val="00205ADD"/>
    <w:rsid w:val="002061FD"/>
    <w:rsid w:val="0020633E"/>
    <w:rsid w:val="00206589"/>
    <w:rsid w:val="002075F3"/>
    <w:rsid w:val="0021087A"/>
    <w:rsid w:val="002115E2"/>
    <w:rsid w:val="00211752"/>
    <w:rsid w:val="0021183B"/>
    <w:rsid w:val="0021194A"/>
    <w:rsid w:val="002127D0"/>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416E"/>
    <w:rsid w:val="00224519"/>
    <w:rsid w:val="002245E9"/>
    <w:rsid w:val="0022477A"/>
    <w:rsid w:val="00225C5D"/>
    <w:rsid w:val="00226008"/>
    <w:rsid w:val="00226CC7"/>
    <w:rsid w:val="002272B1"/>
    <w:rsid w:val="00227669"/>
    <w:rsid w:val="00227E7E"/>
    <w:rsid w:val="00227F6D"/>
    <w:rsid w:val="00227FAC"/>
    <w:rsid w:val="00230113"/>
    <w:rsid w:val="0023021E"/>
    <w:rsid w:val="00230349"/>
    <w:rsid w:val="00230DDA"/>
    <w:rsid w:val="0023183A"/>
    <w:rsid w:val="00231A05"/>
    <w:rsid w:val="00232D4F"/>
    <w:rsid w:val="002333EB"/>
    <w:rsid w:val="00233551"/>
    <w:rsid w:val="002336DF"/>
    <w:rsid w:val="00233886"/>
    <w:rsid w:val="0023395F"/>
    <w:rsid w:val="002339CA"/>
    <w:rsid w:val="00233A42"/>
    <w:rsid w:val="00233B0E"/>
    <w:rsid w:val="00233F15"/>
    <w:rsid w:val="0023400E"/>
    <w:rsid w:val="00234470"/>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DD3"/>
    <w:rsid w:val="00244DF9"/>
    <w:rsid w:val="002453FB"/>
    <w:rsid w:val="002456C5"/>
    <w:rsid w:val="002459BD"/>
    <w:rsid w:val="00245AA6"/>
    <w:rsid w:val="002461A0"/>
    <w:rsid w:val="00246910"/>
    <w:rsid w:val="00246ED8"/>
    <w:rsid w:val="00247800"/>
    <w:rsid w:val="00247AD8"/>
    <w:rsid w:val="00247CDF"/>
    <w:rsid w:val="00247E72"/>
    <w:rsid w:val="00250070"/>
    <w:rsid w:val="002504D7"/>
    <w:rsid w:val="002515D5"/>
    <w:rsid w:val="00251C24"/>
    <w:rsid w:val="00251F53"/>
    <w:rsid w:val="002521DA"/>
    <w:rsid w:val="0025247B"/>
    <w:rsid w:val="002526E1"/>
    <w:rsid w:val="002528A2"/>
    <w:rsid w:val="00252A44"/>
    <w:rsid w:val="0025322D"/>
    <w:rsid w:val="002537E0"/>
    <w:rsid w:val="00253CBB"/>
    <w:rsid w:val="00254DD2"/>
    <w:rsid w:val="00254FAB"/>
    <w:rsid w:val="002551D8"/>
    <w:rsid w:val="00255486"/>
    <w:rsid w:val="00255562"/>
    <w:rsid w:val="002558F1"/>
    <w:rsid w:val="00255D9B"/>
    <w:rsid w:val="00255DB7"/>
    <w:rsid w:val="0025755F"/>
    <w:rsid w:val="00257BA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87A"/>
    <w:rsid w:val="002819D5"/>
    <w:rsid w:val="0028206C"/>
    <w:rsid w:val="00282310"/>
    <w:rsid w:val="00282BBD"/>
    <w:rsid w:val="00283FB6"/>
    <w:rsid w:val="0028497C"/>
    <w:rsid w:val="00284BB6"/>
    <w:rsid w:val="00284D26"/>
    <w:rsid w:val="00285936"/>
    <w:rsid w:val="00285D97"/>
    <w:rsid w:val="00286063"/>
    <w:rsid w:val="00286107"/>
    <w:rsid w:val="002864F6"/>
    <w:rsid w:val="00286E8F"/>
    <w:rsid w:val="002872E4"/>
    <w:rsid w:val="0028766B"/>
    <w:rsid w:val="00287D7C"/>
    <w:rsid w:val="00287F2A"/>
    <w:rsid w:val="002906BE"/>
    <w:rsid w:val="00290BCF"/>
    <w:rsid w:val="00290C12"/>
    <w:rsid w:val="002917DA"/>
    <w:rsid w:val="00291809"/>
    <w:rsid w:val="00291B7E"/>
    <w:rsid w:val="00292C03"/>
    <w:rsid w:val="00292D7C"/>
    <w:rsid w:val="00293390"/>
    <w:rsid w:val="00294E7F"/>
    <w:rsid w:val="00295235"/>
    <w:rsid w:val="00296E5E"/>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620"/>
    <w:rsid w:val="002A79B3"/>
    <w:rsid w:val="002A7A7A"/>
    <w:rsid w:val="002B03D7"/>
    <w:rsid w:val="002B03E4"/>
    <w:rsid w:val="002B05D4"/>
    <w:rsid w:val="002B1C54"/>
    <w:rsid w:val="002B2006"/>
    <w:rsid w:val="002B28C3"/>
    <w:rsid w:val="002B2A60"/>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B5D"/>
    <w:rsid w:val="002C5507"/>
    <w:rsid w:val="002C5E03"/>
    <w:rsid w:val="002C5F71"/>
    <w:rsid w:val="002C71E5"/>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E028A"/>
    <w:rsid w:val="002E08B9"/>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DFA"/>
    <w:rsid w:val="002F1EFD"/>
    <w:rsid w:val="002F3347"/>
    <w:rsid w:val="002F34C1"/>
    <w:rsid w:val="002F37D7"/>
    <w:rsid w:val="002F3948"/>
    <w:rsid w:val="002F4685"/>
    <w:rsid w:val="002F487A"/>
    <w:rsid w:val="002F4BBE"/>
    <w:rsid w:val="002F4EE7"/>
    <w:rsid w:val="002F4FDA"/>
    <w:rsid w:val="002F52D4"/>
    <w:rsid w:val="002F62FC"/>
    <w:rsid w:val="002F66A0"/>
    <w:rsid w:val="00300184"/>
    <w:rsid w:val="003006A3"/>
    <w:rsid w:val="003007A9"/>
    <w:rsid w:val="00301A02"/>
    <w:rsid w:val="00302445"/>
    <w:rsid w:val="003024F8"/>
    <w:rsid w:val="0030260D"/>
    <w:rsid w:val="00302EAA"/>
    <w:rsid w:val="00302F65"/>
    <w:rsid w:val="003031CB"/>
    <w:rsid w:val="003037AC"/>
    <w:rsid w:val="00303C3C"/>
    <w:rsid w:val="00303EEB"/>
    <w:rsid w:val="00304AD7"/>
    <w:rsid w:val="00304BF7"/>
    <w:rsid w:val="00304D11"/>
    <w:rsid w:val="00305405"/>
    <w:rsid w:val="003066AF"/>
    <w:rsid w:val="00310238"/>
    <w:rsid w:val="00310769"/>
    <w:rsid w:val="00310D07"/>
    <w:rsid w:val="003118EB"/>
    <w:rsid w:val="00311B5A"/>
    <w:rsid w:val="00311DF2"/>
    <w:rsid w:val="0031281C"/>
    <w:rsid w:val="00312993"/>
    <w:rsid w:val="00313B69"/>
    <w:rsid w:val="00316809"/>
    <w:rsid w:val="00316BD1"/>
    <w:rsid w:val="00316C3A"/>
    <w:rsid w:val="00317081"/>
    <w:rsid w:val="00317B8B"/>
    <w:rsid w:val="00320F26"/>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D74"/>
    <w:rsid w:val="00331D96"/>
    <w:rsid w:val="003326FC"/>
    <w:rsid w:val="003328BC"/>
    <w:rsid w:val="00333138"/>
    <w:rsid w:val="003332EC"/>
    <w:rsid w:val="003351F5"/>
    <w:rsid w:val="0033584C"/>
    <w:rsid w:val="00335B6C"/>
    <w:rsid w:val="00336F21"/>
    <w:rsid w:val="00337643"/>
    <w:rsid w:val="00337D15"/>
    <w:rsid w:val="0034047E"/>
    <w:rsid w:val="00340F3F"/>
    <w:rsid w:val="0034205D"/>
    <w:rsid w:val="0034398D"/>
    <w:rsid w:val="00344183"/>
    <w:rsid w:val="003454ED"/>
    <w:rsid w:val="0034579E"/>
    <w:rsid w:val="00345B34"/>
    <w:rsid w:val="00345FE7"/>
    <w:rsid w:val="00347409"/>
    <w:rsid w:val="0034740E"/>
    <w:rsid w:val="00347A7F"/>
    <w:rsid w:val="003500C5"/>
    <w:rsid w:val="00350384"/>
    <w:rsid w:val="003503C6"/>
    <w:rsid w:val="003510BC"/>
    <w:rsid w:val="00352373"/>
    <w:rsid w:val="0035381B"/>
    <w:rsid w:val="003538EA"/>
    <w:rsid w:val="00353BFE"/>
    <w:rsid w:val="00353F0C"/>
    <w:rsid w:val="00354087"/>
    <w:rsid w:val="003545B6"/>
    <w:rsid w:val="00354A78"/>
    <w:rsid w:val="0035525D"/>
    <w:rsid w:val="00355817"/>
    <w:rsid w:val="00356A6F"/>
    <w:rsid w:val="0035728B"/>
    <w:rsid w:val="00357625"/>
    <w:rsid w:val="0036016F"/>
    <w:rsid w:val="003609EF"/>
    <w:rsid w:val="003611F6"/>
    <w:rsid w:val="00361319"/>
    <w:rsid w:val="003622FD"/>
    <w:rsid w:val="0036281D"/>
    <w:rsid w:val="00362876"/>
    <w:rsid w:val="00362CF2"/>
    <w:rsid w:val="00362D4D"/>
    <w:rsid w:val="00362DA5"/>
    <w:rsid w:val="00362FA9"/>
    <w:rsid w:val="00363519"/>
    <w:rsid w:val="00364590"/>
    <w:rsid w:val="003648D2"/>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F51"/>
    <w:rsid w:val="003859BD"/>
    <w:rsid w:val="00385F09"/>
    <w:rsid w:val="0038604A"/>
    <w:rsid w:val="0038634B"/>
    <w:rsid w:val="00386AB6"/>
    <w:rsid w:val="00386B09"/>
    <w:rsid w:val="0039005E"/>
    <w:rsid w:val="003904C3"/>
    <w:rsid w:val="0039061C"/>
    <w:rsid w:val="0039087D"/>
    <w:rsid w:val="00391021"/>
    <w:rsid w:val="00391147"/>
    <w:rsid w:val="0039148D"/>
    <w:rsid w:val="0039216F"/>
    <w:rsid w:val="003927AC"/>
    <w:rsid w:val="00392833"/>
    <w:rsid w:val="003928C2"/>
    <w:rsid w:val="00392A57"/>
    <w:rsid w:val="003933D9"/>
    <w:rsid w:val="0039432A"/>
    <w:rsid w:val="0039455E"/>
    <w:rsid w:val="00394B36"/>
    <w:rsid w:val="00394C77"/>
    <w:rsid w:val="00395C9C"/>
    <w:rsid w:val="003966F1"/>
    <w:rsid w:val="00396AC7"/>
    <w:rsid w:val="00396E05"/>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5146"/>
    <w:rsid w:val="003A529C"/>
    <w:rsid w:val="003A566D"/>
    <w:rsid w:val="003A5824"/>
    <w:rsid w:val="003A5EDA"/>
    <w:rsid w:val="003A6038"/>
    <w:rsid w:val="003A631E"/>
    <w:rsid w:val="003A6A38"/>
    <w:rsid w:val="003A6EF1"/>
    <w:rsid w:val="003A6FCE"/>
    <w:rsid w:val="003B0785"/>
    <w:rsid w:val="003B0814"/>
    <w:rsid w:val="003B20FE"/>
    <w:rsid w:val="003B211F"/>
    <w:rsid w:val="003B2917"/>
    <w:rsid w:val="003B2F13"/>
    <w:rsid w:val="003B3029"/>
    <w:rsid w:val="003B3252"/>
    <w:rsid w:val="003B36F2"/>
    <w:rsid w:val="003B3DFA"/>
    <w:rsid w:val="003B44CB"/>
    <w:rsid w:val="003B521C"/>
    <w:rsid w:val="003B53FD"/>
    <w:rsid w:val="003B55D2"/>
    <w:rsid w:val="003B57C3"/>
    <w:rsid w:val="003B6397"/>
    <w:rsid w:val="003B6539"/>
    <w:rsid w:val="003B6874"/>
    <w:rsid w:val="003B6B0E"/>
    <w:rsid w:val="003B6C20"/>
    <w:rsid w:val="003B6EB6"/>
    <w:rsid w:val="003B7282"/>
    <w:rsid w:val="003B7724"/>
    <w:rsid w:val="003C04C7"/>
    <w:rsid w:val="003C0748"/>
    <w:rsid w:val="003C0DAE"/>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6C"/>
    <w:rsid w:val="003C74F0"/>
    <w:rsid w:val="003C773F"/>
    <w:rsid w:val="003C7898"/>
    <w:rsid w:val="003C78F1"/>
    <w:rsid w:val="003C7DB2"/>
    <w:rsid w:val="003D03F1"/>
    <w:rsid w:val="003D0797"/>
    <w:rsid w:val="003D0FCF"/>
    <w:rsid w:val="003D1469"/>
    <w:rsid w:val="003D1785"/>
    <w:rsid w:val="003D1B66"/>
    <w:rsid w:val="003D228B"/>
    <w:rsid w:val="003D244E"/>
    <w:rsid w:val="003D25A4"/>
    <w:rsid w:val="003D2C4E"/>
    <w:rsid w:val="003D32EA"/>
    <w:rsid w:val="003D3902"/>
    <w:rsid w:val="003D4C89"/>
    <w:rsid w:val="003D4D82"/>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5B3"/>
    <w:rsid w:val="003F2763"/>
    <w:rsid w:val="003F2A08"/>
    <w:rsid w:val="003F2A74"/>
    <w:rsid w:val="003F2FAB"/>
    <w:rsid w:val="003F33AB"/>
    <w:rsid w:val="003F406E"/>
    <w:rsid w:val="003F493C"/>
    <w:rsid w:val="003F5251"/>
    <w:rsid w:val="003F5EDF"/>
    <w:rsid w:val="003F6326"/>
    <w:rsid w:val="003F6354"/>
    <w:rsid w:val="003F6514"/>
    <w:rsid w:val="003F65F6"/>
    <w:rsid w:val="003F6669"/>
    <w:rsid w:val="003F6B5A"/>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184C"/>
    <w:rsid w:val="00421A54"/>
    <w:rsid w:val="00422103"/>
    <w:rsid w:val="004222C3"/>
    <w:rsid w:val="00422DC0"/>
    <w:rsid w:val="004230BF"/>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F23"/>
    <w:rsid w:val="0043244A"/>
    <w:rsid w:val="004325B9"/>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5A6"/>
    <w:rsid w:val="00445785"/>
    <w:rsid w:val="00445948"/>
    <w:rsid w:val="00445A9C"/>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5126"/>
    <w:rsid w:val="00455C5E"/>
    <w:rsid w:val="00456889"/>
    <w:rsid w:val="004568E1"/>
    <w:rsid w:val="0045692F"/>
    <w:rsid w:val="00456A8D"/>
    <w:rsid w:val="00456F42"/>
    <w:rsid w:val="00457802"/>
    <w:rsid w:val="004579A9"/>
    <w:rsid w:val="00460FD1"/>
    <w:rsid w:val="0046236A"/>
    <w:rsid w:val="004629D1"/>
    <w:rsid w:val="00462BC9"/>
    <w:rsid w:val="00463012"/>
    <w:rsid w:val="004638EE"/>
    <w:rsid w:val="00463AE5"/>
    <w:rsid w:val="004647E2"/>
    <w:rsid w:val="004652E4"/>
    <w:rsid w:val="0046569B"/>
    <w:rsid w:val="004659FB"/>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79F"/>
    <w:rsid w:val="004748F8"/>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3D3"/>
    <w:rsid w:val="0049250C"/>
    <w:rsid w:val="004926B8"/>
    <w:rsid w:val="00492D39"/>
    <w:rsid w:val="004937C0"/>
    <w:rsid w:val="004951AA"/>
    <w:rsid w:val="00495481"/>
    <w:rsid w:val="00495952"/>
    <w:rsid w:val="00496813"/>
    <w:rsid w:val="004974EA"/>
    <w:rsid w:val="0049753E"/>
    <w:rsid w:val="004A0AF4"/>
    <w:rsid w:val="004A0D8B"/>
    <w:rsid w:val="004A0D99"/>
    <w:rsid w:val="004A101A"/>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71C"/>
    <w:rsid w:val="004B0AF6"/>
    <w:rsid w:val="004B0D07"/>
    <w:rsid w:val="004B0D0F"/>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A7"/>
    <w:rsid w:val="004D6E2A"/>
    <w:rsid w:val="004E0269"/>
    <w:rsid w:val="004E09F7"/>
    <w:rsid w:val="004E0BCC"/>
    <w:rsid w:val="004E108C"/>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2DC6"/>
    <w:rsid w:val="004F3707"/>
    <w:rsid w:val="004F3FF6"/>
    <w:rsid w:val="004F5471"/>
    <w:rsid w:val="004F6156"/>
    <w:rsid w:val="004F652C"/>
    <w:rsid w:val="004F7614"/>
    <w:rsid w:val="004F7625"/>
    <w:rsid w:val="005001B7"/>
    <w:rsid w:val="0050029D"/>
    <w:rsid w:val="005003D7"/>
    <w:rsid w:val="005004F1"/>
    <w:rsid w:val="0050135B"/>
    <w:rsid w:val="00501443"/>
    <w:rsid w:val="005017C0"/>
    <w:rsid w:val="00501B6C"/>
    <w:rsid w:val="00502531"/>
    <w:rsid w:val="005028CD"/>
    <w:rsid w:val="0050326F"/>
    <w:rsid w:val="00503C9F"/>
    <w:rsid w:val="00504C13"/>
    <w:rsid w:val="00505736"/>
    <w:rsid w:val="00506289"/>
    <w:rsid w:val="00506A3F"/>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BFF"/>
    <w:rsid w:val="0051414A"/>
    <w:rsid w:val="00514DAD"/>
    <w:rsid w:val="00514F66"/>
    <w:rsid w:val="005153DF"/>
    <w:rsid w:val="00515C63"/>
    <w:rsid w:val="00516234"/>
    <w:rsid w:val="00516641"/>
    <w:rsid w:val="00516D73"/>
    <w:rsid w:val="00516F76"/>
    <w:rsid w:val="00517131"/>
    <w:rsid w:val="0051760E"/>
    <w:rsid w:val="00517C37"/>
    <w:rsid w:val="00520C77"/>
    <w:rsid w:val="00521E2C"/>
    <w:rsid w:val="00521E4C"/>
    <w:rsid w:val="0052213F"/>
    <w:rsid w:val="00523510"/>
    <w:rsid w:val="0052418D"/>
    <w:rsid w:val="0052423E"/>
    <w:rsid w:val="0052428E"/>
    <w:rsid w:val="005246CD"/>
    <w:rsid w:val="00524B9E"/>
    <w:rsid w:val="00524BDA"/>
    <w:rsid w:val="00524C81"/>
    <w:rsid w:val="00525BF3"/>
    <w:rsid w:val="00525D28"/>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77AA"/>
    <w:rsid w:val="00537E81"/>
    <w:rsid w:val="00537EAF"/>
    <w:rsid w:val="0054031B"/>
    <w:rsid w:val="00540414"/>
    <w:rsid w:val="00540658"/>
    <w:rsid w:val="005409E2"/>
    <w:rsid w:val="005414E8"/>
    <w:rsid w:val="00541518"/>
    <w:rsid w:val="005416F0"/>
    <w:rsid w:val="0054186C"/>
    <w:rsid w:val="00541AB5"/>
    <w:rsid w:val="00542118"/>
    <w:rsid w:val="005427B3"/>
    <w:rsid w:val="0054359F"/>
    <w:rsid w:val="00544943"/>
    <w:rsid w:val="00544BD6"/>
    <w:rsid w:val="00544F83"/>
    <w:rsid w:val="00545019"/>
    <w:rsid w:val="005455D1"/>
    <w:rsid w:val="00545850"/>
    <w:rsid w:val="005501A1"/>
    <w:rsid w:val="0055022D"/>
    <w:rsid w:val="00550404"/>
    <w:rsid w:val="005513A4"/>
    <w:rsid w:val="00551BE5"/>
    <w:rsid w:val="00552185"/>
    <w:rsid w:val="0055241D"/>
    <w:rsid w:val="005524E2"/>
    <w:rsid w:val="005524F7"/>
    <w:rsid w:val="005537FB"/>
    <w:rsid w:val="00553986"/>
    <w:rsid w:val="005547C2"/>
    <w:rsid w:val="00554DC0"/>
    <w:rsid w:val="00554F1A"/>
    <w:rsid w:val="00554FF0"/>
    <w:rsid w:val="00555219"/>
    <w:rsid w:val="00555C7D"/>
    <w:rsid w:val="00555F37"/>
    <w:rsid w:val="00556565"/>
    <w:rsid w:val="00556881"/>
    <w:rsid w:val="005579E4"/>
    <w:rsid w:val="00557B11"/>
    <w:rsid w:val="00560486"/>
    <w:rsid w:val="00560D3D"/>
    <w:rsid w:val="00560F27"/>
    <w:rsid w:val="00561983"/>
    <w:rsid w:val="00561B89"/>
    <w:rsid w:val="00562A98"/>
    <w:rsid w:val="00562B6C"/>
    <w:rsid w:val="00562F7C"/>
    <w:rsid w:val="00562FDA"/>
    <w:rsid w:val="005636B4"/>
    <w:rsid w:val="0056430F"/>
    <w:rsid w:val="005645C5"/>
    <w:rsid w:val="0056465E"/>
    <w:rsid w:val="00564A7D"/>
    <w:rsid w:val="00564C0D"/>
    <w:rsid w:val="00564D92"/>
    <w:rsid w:val="00564EC1"/>
    <w:rsid w:val="0056537D"/>
    <w:rsid w:val="00565535"/>
    <w:rsid w:val="00565731"/>
    <w:rsid w:val="00565DF9"/>
    <w:rsid w:val="00566635"/>
    <w:rsid w:val="00566DE6"/>
    <w:rsid w:val="005675BB"/>
    <w:rsid w:val="005679E0"/>
    <w:rsid w:val="00567FF9"/>
    <w:rsid w:val="00570BA6"/>
    <w:rsid w:val="00571564"/>
    <w:rsid w:val="005715CF"/>
    <w:rsid w:val="005723A5"/>
    <w:rsid w:val="005729C6"/>
    <w:rsid w:val="00573C16"/>
    <w:rsid w:val="00574103"/>
    <w:rsid w:val="00574476"/>
    <w:rsid w:val="0057448F"/>
    <w:rsid w:val="00575C38"/>
    <w:rsid w:val="00575EB7"/>
    <w:rsid w:val="00576271"/>
    <w:rsid w:val="00576390"/>
    <w:rsid w:val="00576DFF"/>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4D8F"/>
    <w:rsid w:val="00586DA4"/>
    <w:rsid w:val="00587441"/>
    <w:rsid w:val="00587CB5"/>
    <w:rsid w:val="00587CCE"/>
    <w:rsid w:val="00587D7B"/>
    <w:rsid w:val="005900DC"/>
    <w:rsid w:val="0059010D"/>
    <w:rsid w:val="005908B4"/>
    <w:rsid w:val="00590ADC"/>
    <w:rsid w:val="00590F9A"/>
    <w:rsid w:val="00591582"/>
    <w:rsid w:val="00591DAC"/>
    <w:rsid w:val="00592B5B"/>
    <w:rsid w:val="00593499"/>
    <w:rsid w:val="005945E4"/>
    <w:rsid w:val="00594CBA"/>
    <w:rsid w:val="00595BA8"/>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195F"/>
    <w:rsid w:val="005B356E"/>
    <w:rsid w:val="005B43F5"/>
    <w:rsid w:val="005B53AF"/>
    <w:rsid w:val="005B578F"/>
    <w:rsid w:val="005B5956"/>
    <w:rsid w:val="005B5FE2"/>
    <w:rsid w:val="005B6026"/>
    <w:rsid w:val="005B6307"/>
    <w:rsid w:val="005B6499"/>
    <w:rsid w:val="005B682F"/>
    <w:rsid w:val="005B6B12"/>
    <w:rsid w:val="005B7312"/>
    <w:rsid w:val="005C0352"/>
    <w:rsid w:val="005C0B00"/>
    <w:rsid w:val="005C0BF7"/>
    <w:rsid w:val="005C0C7A"/>
    <w:rsid w:val="005C2662"/>
    <w:rsid w:val="005C3523"/>
    <w:rsid w:val="005C3A9D"/>
    <w:rsid w:val="005C3FA5"/>
    <w:rsid w:val="005C430C"/>
    <w:rsid w:val="005C497E"/>
    <w:rsid w:val="005C49A2"/>
    <w:rsid w:val="005C4B2A"/>
    <w:rsid w:val="005C4DD2"/>
    <w:rsid w:val="005C5634"/>
    <w:rsid w:val="005C6187"/>
    <w:rsid w:val="005C61A1"/>
    <w:rsid w:val="005C65F4"/>
    <w:rsid w:val="005C66B2"/>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93C"/>
    <w:rsid w:val="005D4E81"/>
    <w:rsid w:val="005D564F"/>
    <w:rsid w:val="005D62D6"/>
    <w:rsid w:val="005D647C"/>
    <w:rsid w:val="005D6BE2"/>
    <w:rsid w:val="005D702E"/>
    <w:rsid w:val="005D7148"/>
    <w:rsid w:val="005E13A9"/>
    <w:rsid w:val="005E1BFB"/>
    <w:rsid w:val="005E1CB8"/>
    <w:rsid w:val="005E248A"/>
    <w:rsid w:val="005E2675"/>
    <w:rsid w:val="005E26D6"/>
    <w:rsid w:val="005E28E3"/>
    <w:rsid w:val="005E3CA6"/>
    <w:rsid w:val="005E3F93"/>
    <w:rsid w:val="005E458D"/>
    <w:rsid w:val="005E474E"/>
    <w:rsid w:val="005E51E1"/>
    <w:rsid w:val="005E54D3"/>
    <w:rsid w:val="005E5E97"/>
    <w:rsid w:val="005E6859"/>
    <w:rsid w:val="005E6C07"/>
    <w:rsid w:val="005E6DF4"/>
    <w:rsid w:val="005E7EFE"/>
    <w:rsid w:val="005F060F"/>
    <w:rsid w:val="005F07DD"/>
    <w:rsid w:val="005F0D3F"/>
    <w:rsid w:val="005F0F7D"/>
    <w:rsid w:val="005F245F"/>
    <w:rsid w:val="005F2B58"/>
    <w:rsid w:val="005F2E44"/>
    <w:rsid w:val="005F32CF"/>
    <w:rsid w:val="005F37F9"/>
    <w:rsid w:val="005F3972"/>
    <w:rsid w:val="005F3CC7"/>
    <w:rsid w:val="005F4A2F"/>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F7C"/>
    <w:rsid w:val="006039CE"/>
    <w:rsid w:val="00603C8E"/>
    <w:rsid w:val="00604353"/>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3659"/>
    <w:rsid w:val="006147F2"/>
    <w:rsid w:val="00614C93"/>
    <w:rsid w:val="00614FCB"/>
    <w:rsid w:val="00615BF2"/>
    <w:rsid w:val="006163F7"/>
    <w:rsid w:val="006168D9"/>
    <w:rsid w:val="00616BE4"/>
    <w:rsid w:val="0061780B"/>
    <w:rsid w:val="00617AA0"/>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389C"/>
    <w:rsid w:val="006240FA"/>
    <w:rsid w:val="006242E4"/>
    <w:rsid w:val="00624C15"/>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AB0"/>
    <w:rsid w:val="0063722B"/>
    <w:rsid w:val="006375D2"/>
    <w:rsid w:val="00637AA4"/>
    <w:rsid w:val="0064038B"/>
    <w:rsid w:val="006405D2"/>
    <w:rsid w:val="00642C14"/>
    <w:rsid w:val="00642C4F"/>
    <w:rsid w:val="00643004"/>
    <w:rsid w:val="006431D2"/>
    <w:rsid w:val="00644971"/>
    <w:rsid w:val="00644BD1"/>
    <w:rsid w:val="00645575"/>
    <w:rsid w:val="00645A4F"/>
    <w:rsid w:val="00645AB8"/>
    <w:rsid w:val="00645C01"/>
    <w:rsid w:val="00645D9A"/>
    <w:rsid w:val="00645E76"/>
    <w:rsid w:val="00646000"/>
    <w:rsid w:val="0064626E"/>
    <w:rsid w:val="006466FC"/>
    <w:rsid w:val="00646EFE"/>
    <w:rsid w:val="006471EB"/>
    <w:rsid w:val="00647AAE"/>
    <w:rsid w:val="0065014F"/>
    <w:rsid w:val="00650A36"/>
    <w:rsid w:val="00650AFB"/>
    <w:rsid w:val="00650C97"/>
    <w:rsid w:val="00650CD3"/>
    <w:rsid w:val="00650CFF"/>
    <w:rsid w:val="006512B8"/>
    <w:rsid w:val="00651D30"/>
    <w:rsid w:val="00651E7D"/>
    <w:rsid w:val="00652936"/>
    <w:rsid w:val="00653032"/>
    <w:rsid w:val="00653477"/>
    <w:rsid w:val="006556AE"/>
    <w:rsid w:val="0065597B"/>
    <w:rsid w:val="00655A34"/>
    <w:rsid w:val="00655AA3"/>
    <w:rsid w:val="00655BEC"/>
    <w:rsid w:val="0065648C"/>
    <w:rsid w:val="00656596"/>
    <w:rsid w:val="00656A28"/>
    <w:rsid w:val="00656C95"/>
    <w:rsid w:val="0065711E"/>
    <w:rsid w:val="00660B8C"/>
    <w:rsid w:val="00660DAF"/>
    <w:rsid w:val="00660F28"/>
    <w:rsid w:val="0066103F"/>
    <w:rsid w:val="006611C7"/>
    <w:rsid w:val="0066193E"/>
    <w:rsid w:val="0066266B"/>
    <w:rsid w:val="006626CC"/>
    <w:rsid w:val="00662D0E"/>
    <w:rsid w:val="00662F58"/>
    <w:rsid w:val="0066335F"/>
    <w:rsid w:val="00663B9B"/>
    <w:rsid w:val="0066483A"/>
    <w:rsid w:val="006653E1"/>
    <w:rsid w:val="0066565B"/>
    <w:rsid w:val="00665A02"/>
    <w:rsid w:val="00666383"/>
    <w:rsid w:val="00670004"/>
    <w:rsid w:val="00670206"/>
    <w:rsid w:val="006702E0"/>
    <w:rsid w:val="006705B4"/>
    <w:rsid w:val="00670AD9"/>
    <w:rsid w:val="00670B37"/>
    <w:rsid w:val="00671A2B"/>
    <w:rsid w:val="00671DD2"/>
    <w:rsid w:val="00671DE7"/>
    <w:rsid w:val="00671E94"/>
    <w:rsid w:val="00671FF8"/>
    <w:rsid w:val="006726EB"/>
    <w:rsid w:val="006739F7"/>
    <w:rsid w:val="00673A92"/>
    <w:rsid w:val="00674827"/>
    <w:rsid w:val="00675487"/>
    <w:rsid w:val="00675A3C"/>
    <w:rsid w:val="00675FC3"/>
    <w:rsid w:val="006770F7"/>
    <w:rsid w:val="0067763E"/>
    <w:rsid w:val="0067783F"/>
    <w:rsid w:val="00677C8E"/>
    <w:rsid w:val="00677D81"/>
    <w:rsid w:val="00680C70"/>
    <w:rsid w:val="00680FD2"/>
    <w:rsid w:val="00681B6A"/>
    <w:rsid w:val="00682AF4"/>
    <w:rsid w:val="00682C29"/>
    <w:rsid w:val="006831EE"/>
    <w:rsid w:val="0068340D"/>
    <w:rsid w:val="00683E27"/>
    <w:rsid w:val="00684143"/>
    <w:rsid w:val="00684339"/>
    <w:rsid w:val="00684D59"/>
    <w:rsid w:val="00684EB4"/>
    <w:rsid w:val="0068506F"/>
    <w:rsid w:val="00685502"/>
    <w:rsid w:val="006874B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C51"/>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4B8F"/>
    <w:rsid w:val="006A63BB"/>
    <w:rsid w:val="006A6C92"/>
    <w:rsid w:val="006A6FFA"/>
    <w:rsid w:val="006A7120"/>
    <w:rsid w:val="006A7356"/>
    <w:rsid w:val="006A7547"/>
    <w:rsid w:val="006A7765"/>
    <w:rsid w:val="006A7E89"/>
    <w:rsid w:val="006B1148"/>
    <w:rsid w:val="006B139A"/>
    <w:rsid w:val="006B2C3B"/>
    <w:rsid w:val="006B3A20"/>
    <w:rsid w:val="006B4034"/>
    <w:rsid w:val="006B4D4F"/>
    <w:rsid w:val="006B4F69"/>
    <w:rsid w:val="006B6103"/>
    <w:rsid w:val="006B6611"/>
    <w:rsid w:val="006B69EC"/>
    <w:rsid w:val="006B6A98"/>
    <w:rsid w:val="006B6F74"/>
    <w:rsid w:val="006B7A39"/>
    <w:rsid w:val="006B7C56"/>
    <w:rsid w:val="006C0645"/>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0FF"/>
    <w:rsid w:val="006D4471"/>
    <w:rsid w:val="006D4498"/>
    <w:rsid w:val="006D4518"/>
    <w:rsid w:val="006D4FA8"/>
    <w:rsid w:val="006D500B"/>
    <w:rsid w:val="006D5221"/>
    <w:rsid w:val="006D582E"/>
    <w:rsid w:val="006D674B"/>
    <w:rsid w:val="006D68C5"/>
    <w:rsid w:val="006E0719"/>
    <w:rsid w:val="006E0CF7"/>
    <w:rsid w:val="006E0E27"/>
    <w:rsid w:val="006E1F8A"/>
    <w:rsid w:val="006E2465"/>
    <w:rsid w:val="006E2D9E"/>
    <w:rsid w:val="006E3A80"/>
    <w:rsid w:val="006E4FB3"/>
    <w:rsid w:val="006E5A6B"/>
    <w:rsid w:val="006E5E96"/>
    <w:rsid w:val="006E63A8"/>
    <w:rsid w:val="006E7FD0"/>
    <w:rsid w:val="006F0849"/>
    <w:rsid w:val="006F1049"/>
    <w:rsid w:val="006F17B2"/>
    <w:rsid w:val="006F1F86"/>
    <w:rsid w:val="006F22DD"/>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6A81"/>
    <w:rsid w:val="00716EE3"/>
    <w:rsid w:val="007170DE"/>
    <w:rsid w:val="0071767A"/>
    <w:rsid w:val="00720E69"/>
    <w:rsid w:val="0072107A"/>
    <w:rsid w:val="0072117F"/>
    <w:rsid w:val="00721245"/>
    <w:rsid w:val="00721280"/>
    <w:rsid w:val="007213E9"/>
    <w:rsid w:val="00721E5B"/>
    <w:rsid w:val="0072214D"/>
    <w:rsid w:val="00722900"/>
    <w:rsid w:val="007235C1"/>
    <w:rsid w:val="007237B0"/>
    <w:rsid w:val="00723848"/>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721"/>
    <w:rsid w:val="00735908"/>
    <w:rsid w:val="00736D1B"/>
    <w:rsid w:val="007370D0"/>
    <w:rsid w:val="007371EB"/>
    <w:rsid w:val="00737861"/>
    <w:rsid w:val="00737E61"/>
    <w:rsid w:val="00740B94"/>
    <w:rsid w:val="007412D9"/>
    <w:rsid w:val="00741695"/>
    <w:rsid w:val="00741874"/>
    <w:rsid w:val="00741F90"/>
    <w:rsid w:val="0074288E"/>
    <w:rsid w:val="00742D8C"/>
    <w:rsid w:val="00744EC5"/>
    <w:rsid w:val="00745660"/>
    <w:rsid w:val="00745D9C"/>
    <w:rsid w:val="00746CBA"/>
    <w:rsid w:val="00747551"/>
    <w:rsid w:val="0074774D"/>
    <w:rsid w:val="0074777E"/>
    <w:rsid w:val="00747BD3"/>
    <w:rsid w:val="007507AB"/>
    <w:rsid w:val="0075088C"/>
    <w:rsid w:val="007522BF"/>
    <w:rsid w:val="00752466"/>
    <w:rsid w:val="00752C07"/>
    <w:rsid w:val="00752C81"/>
    <w:rsid w:val="00752EEE"/>
    <w:rsid w:val="00753563"/>
    <w:rsid w:val="00753FF8"/>
    <w:rsid w:val="007548B5"/>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26D9"/>
    <w:rsid w:val="0077396B"/>
    <w:rsid w:val="00773A7B"/>
    <w:rsid w:val="007746CA"/>
    <w:rsid w:val="007750A4"/>
    <w:rsid w:val="0077566F"/>
    <w:rsid w:val="0077657C"/>
    <w:rsid w:val="00776F08"/>
    <w:rsid w:val="007772BB"/>
    <w:rsid w:val="007772D2"/>
    <w:rsid w:val="00777BAE"/>
    <w:rsid w:val="00777DD6"/>
    <w:rsid w:val="007801D4"/>
    <w:rsid w:val="00780A19"/>
    <w:rsid w:val="007817A4"/>
    <w:rsid w:val="0078281B"/>
    <w:rsid w:val="0078286F"/>
    <w:rsid w:val="007831A0"/>
    <w:rsid w:val="00784987"/>
    <w:rsid w:val="00785D1E"/>
    <w:rsid w:val="00785EB3"/>
    <w:rsid w:val="00785FCB"/>
    <w:rsid w:val="007863AC"/>
    <w:rsid w:val="0078770B"/>
    <w:rsid w:val="00787C57"/>
    <w:rsid w:val="00787D02"/>
    <w:rsid w:val="00790AD8"/>
    <w:rsid w:val="00790CD6"/>
    <w:rsid w:val="00790F2A"/>
    <w:rsid w:val="00791034"/>
    <w:rsid w:val="00791BB8"/>
    <w:rsid w:val="00791F46"/>
    <w:rsid w:val="007924F9"/>
    <w:rsid w:val="007925AB"/>
    <w:rsid w:val="00792BDC"/>
    <w:rsid w:val="00792FA4"/>
    <w:rsid w:val="00793155"/>
    <w:rsid w:val="00793445"/>
    <w:rsid w:val="00795526"/>
    <w:rsid w:val="00796198"/>
    <w:rsid w:val="00796467"/>
    <w:rsid w:val="00797C66"/>
    <w:rsid w:val="00797DE8"/>
    <w:rsid w:val="007A06AC"/>
    <w:rsid w:val="007A0EB0"/>
    <w:rsid w:val="007A0F8D"/>
    <w:rsid w:val="007A171D"/>
    <w:rsid w:val="007A1949"/>
    <w:rsid w:val="007A1BA2"/>
    <w:rsid w:val="007A28DB"/>
    <w:rsid w:val="007A2ED2"/>
    <w:rsid w:val="007A2F9C"/>
    <w:rsid w:val="007A3F48"/>
    <w:rsid w:val="007A4217"/>
    <w:rsid w:val="007A42EF"/>
    <w:rsid w:val="007A47C9"/>
    <w:rsid w:val="007A50D9"/>
    <w:rsid w:val="007A5305"/>
    <w:rsid w:val="007A61E9"/>
    <w:rsid w:val="007A631F"/>
    <w:rsid w:val="007A6510"/>
    <w:rsid w:val="007A6840"/>
    <w:rsid w:val="007A7576"/>
    <w:rsid w:val="007A79E7"/>
    <w:rsid w:val="007B041A"/>
    <w:rsid w:val="007B043A"/>
    <w:rsid w:val="007B167F"/>
    <w:rsid w:val="007B17EA"/>
    <w:rsid w:val="007B21BE"/>
    <w:rsid w:val="007B2FE8"/>
    <w:rsid w:val="007B3066"/>
    <w:rsid w:val="007B35FC"/>
    <w:rsid w:val="007B3A15"/>
    <w:rsid w:val="007B4032"/>
    <w:rsid w:val="007B4126"/>
    <w:rsid w:val="007B4133"/>
    <w:rsid w:val="007B42F8"/>
    <w:rsid w:val="007B4F23"/>
    <w:rsid w:val="007B5853"/>
    <w:rsid w:val="007B5E3B"/>
    <w:rsid w:val="007B604B"/>
    <w:rsid w:val="007C0418"/>
    <w:rsid w:val="007C097C"/>
    <w:rsid w:val="007C1383"/>
    <w:rsid w:val="007C1710"/>
    <w:rsid w:val="007C17BA"/>
    <w:rsid w:val="007C1A75"/>
    <w:rsid w:val="007C2A9B"/>
    <w:rsid w:val="007C3A39"/>
    <w:rsid w:val="007C46D6"/>
    <w:rsid w:val="007C4F50"/>
    <w:rsid w:val="007C549B"/>
    <w:rsid w:val="007C574C"/>
    <w:rsid w:val="007C6336"/>
    <w:rsid w:val="007C69A1"/>
    <w:rsid w:val="007C6AE4"/>
    <w:rsid w:val="007C6D74"/>
    <w:rsid w:val="007C70C5"/>
    <w:rsid w:val="007C72B9"/>
    <w:rsid w:val="007C736B"/>
    <w:rsid w:val="007C7CB8"/>
    <w:rsid w:val="007C7DF9"/>
    <w:rsid w:val="007D0E49"/>
    <w:rsid w:val="007D123C"/>
    <w:rsid w:val="007D13C7"/>
    <w:rsid w:val="007D19B3"/>
    <w:rsid w:val="007D1AE6"/>
    <w:rsid w:val="007D287B"/>
    <w:rsid w:val="007D2C10"/>
    <w:rsid w:val="007D3A1D"/>
    <w:rsid w:val="007D4565"/>
    <w:rsid w:val="007D4791"/>
    <w:rsid w:val="007D4FD7"/>
    <w:rsid w:val="007D5159"/>
    <w:rsid w:val="007D539D"/>
    <w:rsid w:val="007D5CF4"/>
    <w:rsid w:val="007D67A5"/>
    <w:rsid w:val="007D744C"/>
    <w:rsid w:val="007D7CF2"/>
    <w:rsid w:val="007E0BEE"/>
    <w:rsid w:val="007E258F"/>
    <w:rsid w:val="007E2639"/>
    <w:rsid w:val="007E2776"/>
    <w:rsid w:val="007E296B"/>
    <w:rsid w:val="007E3D16"/>
    <w:rsid w:val="007E3F11"/>
    <w:rsid w:val="007E47A1"/>
    <w:rsid w:val="007E48E2"/>
    <w:rsid w:val="007E50F3"/>
    <w:rsid w:val="007E54C9"/>
    <w:rsid w:val="007E59D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BD0"/>
    <w:rsid w:val="00801E39"/>
    <w:rsid w:val="008023AB"/>
    <w:rsid w:val="0080261D"/>
    <w:rsid w:val="008026EA"/>
    <w:rsid w:val="0080297F"/>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567"/>
    <w:rsid w:val="00807E27"/>
    <w:rsid w:val="0081039E"/>
    <w:rsid w:val="00810517"/>
    <w:rsid w:val="00811587"/>
    <w:rsid w:val="00811766"/>
    <w:rsid w:val="00811767"/>
    <w:rsid w:val="008121CD"/>
    <w:rsid w:val="00812D90"/>
    <w:rsid w:val="008138B5"/>
    <w:rsid w:val="008138E2"/>
    <w:rsid w:val="00813E64"/>
    <w:rsid w:val="008140A5"/>
    <w:rsid w:val="00814989"/>
    <w:rsid w:val="008152B5"/>
    <w:rsid w:val="008154BA"/>
    <w:rsid w:val="00815820"/>
    <w:rsid w:val="00815B8A"/>
    <w:rsid w:val="00815B9D"/>
    <w:rsid w:val="00816042"/>
    <w:rsid w:val="00816CB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A1A"/>
    <w:rsid w:val="00845CE9"/>
    <w:rsid w:val="008460BA"/>
    <w:rsid w:val="008467CA"/>
    <w:rsid w:val="0084686B"/>
    <w:rsid w:val="00847D65"/>
    <w:rsid w:val="00850B62"/>
    <w:rsid w:val="00850B8A"/>
    <w:rsid w:val="00852570"/>
    <w:rsid w:val="00853C3C"/>
    <w:rsid w:val="00853D57"/>
    <w:rsid w:val="008540E4"/>
    <w:rsid w:val="00854EAC"/>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5DFB"/>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A58"/>
    <w:rsid w:val="00885155"/>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6E01"/>
    <w:rsid w:val="00897190"/>
    <w:rsid w:val="008974C6"/>
    <w:rsid w:val="008A05D6"/>
    <w:rsid w:val="008A0B3D"/>
    <w:rsid w:val="008A0D82"/>
    <w:rsid w:val="008A1154"/>
    <w:rsid w:val="008A20E9"/>
    <w:rsid w:val="008A2487"/>
    <w:rsid w:val="008A2BB0"/>
    <w:rsid w:val="008A2FE4"/>
    <w:rsid w:val="008A39BF"/>
    <w:rsid w:val="008A4190"/>
    <w:rsid w:val="008A48FB"/>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610"/>
    <w:rsid w:val="008B3ABB"/>
    <w:rsid w:val="008B3C26"/>
    <w:rsid w:val="008B430E"/>
    <w:rsid w:val="008B44F8"/>
    <w:rsid w:val="008B5084"/>
    <w:rsid w:val="008B55D5"/>
    <w:rsid w:val="008B6905"/>
    <w:rsid w:val="008B6EF2"/>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C66C7"/>
    <w:rsid w:val="008D00B3"/>
    <w:rsid w:val="008D0490"/>
    <w:rsid w:val="008D0835"/>
    <w:rsid w:val="008D15E5"/>
    <w:rsid w:val="008D1E41"/>
    <w:rsid w:val="008D2141"/>
    <w:rsid w:val="008D21C2"/>
    <w:rsid w:val="008D2935"/>
    <w:rsid w:val="008D5127"/>
    <w:rsid w:val="008D685D"/>
    <w:rsid w:val="008D6CDB"/>
    <w:rsid w:val="008D745B"/>
    <w:rsid w:val="008D75CD"/>
    <w:rsid w:val="008D7B07"/>
    <w:rsid w:val="008E031F"/>
    <w:rsid w:val="008E068C"/>
    <w:rsid w:val="008E0852"/>
    <w:rsid w:val="008E0B74"/>
    <w:rsid w:val="008E0FAF"/>
    <w:rsid w:val="008E177F"/>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E34"/>
    <w:rsid w:val="008F364B"/>
    <w:rsid w:val="008F3B63"/>
    <w:rsid w:val="008F3CF1"/>
    <w:rsid w:val="008F412B"/>
    <w:rsid w:val="008F49D9"/>
    <w:rsid w:val="008F79F7"/>
    <w:rsid w:val="008F7FE6"/>
    <w:rsid w:val="00900301"/>
    <w:rsid w:val="009003E9"/>
    <w:rsid w:val="00900935"/>
    <w:rsid w:val="00900A0D"/>
    <w:rsid w:val="00900B26"/>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CB6"/>
    <w:rsid w:val="009141DF"/>
    <w:rsid w:val="00915698"/>
    <w:rsid w:val="00917786"/>
    <w:rsid w:val="00917FC5"/>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6386"/>
    <w:rsid w:val="009463F2"/>
    <w:rsid w:val="00946799"/>
    <w:rsid w:val="00947F7F"/>
    <w:rsid w:val="00950498"/>
    <w:rsid w:val="009510AA"/>
    <w:rsid w:val="009510DA"/>
    <w:rsid w:val="00951578"/>
    <w:rsid w:val="00951AE0"/>
    <w:rsid w:val="009523EC"/>
    <w:rsid w:val="00952A3F"/>
    <w:rsid w:val="00952E80"/>
    <w:rsid w:val="00952F09"/>
    <w:rsid w:val="00953608"/>
    <w:rsid w:val="00953706"/>
    <w:rsid w:val="00955265"/>
    <w:rsid w:val="009554E5"/>
    <w:rsid w:val="00955782"/>
    <w:rsid w:val="009557E0"/>
    <w:rsid w:val="009558A8"/>
    <w:rsid w:val="0095746A"/>
    <w:rsid w:val="00960422"/>
    <w:rsid w:val="00960F15"/>
    <w:rsid w:val="00960FDD"/>
    <w:rsid w:val="009616DF"/>
    <w:rsid w:val="00961826"/>
    <w:rsid w:val="00962F43"/>
    <w:rsid w:val="009630A7"/>
    <w:rsid w:val="00963352"/>
    <w:rsid w:val="00963524"/>
    <w:rsid w:val="0096386E"/>
    <w:rsid w:val="00963B17"/>
    <w:rsid w:val="00963EDA"/>
    <w:rsid w:val="009649D8"/>
    <w:rsid w:val="00964FC5"/>
    <w:rsid w:val="009652B0"/>
    <w:rsid w:val="00965508"/>
    <w:rsid w:val="00965C4F"/>
    <w:rsid w:val="00966204"/>
    <w:rsid w:val="00966314"/>
    <w:rsid w:val="0096662C"/>
    <w:rsid w:val="009669AA"/>
    <w:rsid w:val="00966C56"/>
    <w:rsid w:val="009677BD"/>
    <w:rsid w:val="00967B1D"/>
    <w:rsid w:val="00967D2F"/>
    <w:rsid w:val="00970120"/>
    <w:rsid w:val="009704D8"/>
    <w:rsid w:val="00970FA8"/>
    <w:rsid w:val="00971B00"/>
    <w:rsid w:val="00972664"/>
    <w:rsid w:val="00973108"/>
    <w:rsid w:val="009735DB"/>
    <w:rsid w:val="009740F2"/>
    <w:rsid w:val="0097464D"/>
    <w:rsid w:val="00974858"/>
    <w:rsid w:val="0097516B"/>
    <w:rsid w:val="00975202"/>
    <w:rsid w:val="00976D8F"/>
    <w:rsid w:val="00976E03"/>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3A4F"/>
    <w:rsid w:val="00994217"/>
    <w:rsid w:val="00995805"/>
    <w:rsid w:val="00996D73"/>
    <w:rsid w:val="00996F7D"/>
    <w:rsid w:val="0099754A"/>
    <w:rsid w:val="00997BB1"/>
    <w:rsid w:val="009A0D22"/>
    <w:rsid w:val="009A19C3"/>
    <w:rsid w:val="009A24B1"/>
    <w:rsid w:val="009A3709"/>
    <w:rsid w:val="009A487D"/>
    <w:rsid w:val="009A4A7C"/>
    <w:rsid w:val="009A58DB"/>
    <w:rsid w:val="009A5CB0"/>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20E4"/>
    <w:rsid w:val="009D30A6"/>
    <w:rsid w:val="009D30B2"/>
    <w:rsid w:val="009D3ACD"/>
    <w:rsid w:val="009D3C60"/>
    <w:rsid w:val="009D3DD9"/>
    <w:rsid w:val="009D40F3"/>
    <w:rsid w:val="009D4581"/>
    <w:rsid w:val="009D4A9D"/>
    <w:rsid w:val="009D4C88"/>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7B3A"/>
    <w:rsid w:val="009F055C"/>
    <w:rsid w:val="009F0975"/>
    <w:rsid w:val="009F0FA7"/>
    <w:rsid w:val="009F0FAC"/>
    <w:rsid w:val="009F21EB"/>
    <w:rsid w:val="009F2200"/>
    <w:rsid w:val="009F2CEF"/>
    <w:rsid w:val="009F54F1"/>
    <w:rsid w:val="009F594A"/>
    <w:rsid w:val="009F6523"/>
    <w:rsid w:val="009F7387"/>
    <w:rsid w:val="009F73C0"/>
    <w:rsid w:val="009F77BB"/>
    <w:rsid w:val="009F7C5F"/>
    <w:rsid w:val="00A0139E"/>
    <w:rsid w:val="00A01F97"/>
    <w:rsid w:val="00A02058"/>
    <w:rsid w:val="00A028A9"/>
    <w:rsid w:val="00A037F7"/>
    <w:rsid w:val="00A046CC"/>
    <w:rsid w:val="00A0490D"/>
    <w:rsid w:val="00A04FBA"/>
    <w:rsid w:val="00A05127"/>
    <w:rsid w:val="00A05152"/>
    <w:rsid w:val="00A05975"/>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23F"/>
    <w:rsid w:val="00A144EF"/>
    <w:rsid w:val="00A151D2"/>
    <w:rsid w:val="00A16D21"/>
    <w:rsid w:val="00A17F00"/>
    <w:rsid w:val="00A209B5"/>
    <w:rsid w:val="00A20A8E"/>
    <w:rsid w:val="00A216F3"/>
    <w:rsid w:val="00A21729"/>
    <w:rsid w:val="00A2390A"/>
    <w:rsid w:val="00A23F66"/>
    <w:rsid w:val="00A24456"/>
    <w:rsid w:val="00A2468C"/>
    <w:rsid w:val="00A258DC"/>
    <w:rsid w:val="00A25EF4"/>
    <w:rsid w:val="00A26300"/>
    <w:rsid w:val="00A27236"/>
    <w:rsid w:val="00A302B8"/>
    <w:rsid w:val="00A30574"/>
    <w:rsid w:val="00A314D6"/>
    <w:rsid w:val="00A31CE8"/>
    <w:rsid w:val="00A327CD"/>
    <w:rsid w:val="00A33055"/>
    <w:rsid w:val="00A33515"/>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F84"/>
    <w:rsid w:val="00A542B6"/>
    <w:rsid w:val="00A545C4"/>
    <w:rsid w:val="00A55113"/>
    <w:rsid w:val="00A55E0E"/>
    <w:rsid w:val="00A5616C"/>
    <w:rsid w:val="00A56232"/>
    <w:rsid w:val="00A56317"/>
    <w:rsid w:val="00A5648B"/>
    <w:rsid w:val="00A5661A"/>
    <w:rsid w:val="00A566D3"/>
    <w:rsid w:val="00A56F0F"/>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04F"/>
    <w:rsid w:val="00A7083D"/>
    <w:rsid w:val="00A70B19"/>
    <w:rsid w:val="00A72F2B"/>
    <w:rsid w:val="00A72FC5"/>
    <w:rsid w:val="00A72FFD"/>
    <w:rsid w:val="00A73092"/>
    <w:rsid w:val="00A74973"/>
    <w:rsid w:val="00A7498F"/>
    <w:rsid w:val="00A74F0D"/>
    <w:rsid w:val="00A751AD"/>
    <w:rsid w:val="00A75256"/>
    <w:rsid w:val="00A7535B"/>
    <w:rsid w:val="00A806AF"/>
    <w:rsid w:val="00A80A50"/>
    <w:rsid w:val="00A81C4A"/>
    <w:rsid w:val="00A83017"/>
    <w:rsid w:val="00A8322A"/>
    <w:rsid w:val="00A834FB"/>
    <w:rsid w:val="00A83E78"/>
    <w:rsid w:val="00A84581"/>
    <w:rsid w:val="00A85108"/>
    <w:rsid w:val="00A85533"/>
    <w:rsid w:val="00A855E5"/>
    <w:rsid w:val="00A8648E"/>
    <w:rsid w:val="00A87063"/>
    <w:rsid w:val="00A875E5"/>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703D"/>
    <w:rsid w:val="00A975C4"/>
    <w:rsid w:val="00A97854"/>
    <w:rsid w:val="00A97AD6"/>
    <w:rsid w:val="00A97C81"/>
    <w:rsid w:val="00A97EEE"/>
    <w:rsid w:val="00AA11EB"/>
    <w:rsid w:val="00AA26BD"/>
    <w:rsid w:val="00AA40C6"/>
    <w:rsid w:val="00AA42C2"/>
    <w:rsid w:val="00AA4AA7"/>
    <w:rsid w:val="00AA4D3F"/>
    <w:rsid w:val="00AA5150"/>
    <w:rsid w:val="00AA727F"/>
    <w:rsid w:val="00AB04A5"/>
    <w:rsid w:val="00AB0AB3"/>
    <w:rsid w:val="00AB0D18"/>
    <w:rsid w:val="00AB0D23"/>
    <w:rsid w:val="00AB18C0"/>
    <w:rsid w:val="00AB1F72"/>
    <w:rsid w:val="00AB25BA"/>
    <w:rsid w:val="00AB26B1"/>
    <w:rsid w:val="00AB2CEB"/>
    <w:rsid w:val="00AB3EB7"/>
    <w:rsid w:val="00AB49CE"/>
    <w:rsid w:val="00AB68B0"/>
    <w:rsid w:val="00AB7878"/>
    <w:rsid w:val="00AC01E6"/>
    <w:rsid w:val="00AC0DAE"/>
    <w:rsid w:val="00AC13F8"/>
    <w:rsid w:val="00AC164A"/>
    <w:rsid w:val="00AC180F"/>
    <w:rsid w:val="00AC1A72"/>
    <w:rsid w:val="00AC1AC7"/>
    <w:rsid w:val="00AC1DC2"/>
    <w:rsid w:val="00AC1E66"/>
    <w:rsid w:val="00AC1E68"/>
    <w:rsid w:val="00AC2B7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DA3"/>
    <w:rsid w:val="00AD3EC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A9A"/>
    <w:rsid w:val="00AE7739"/>
    <w:rsid w:val="00AE77F2"/>
    <w:rsid w:val="00AE77FF"/>
    <w:rsid w:val="00AE7F76"/>
    <w:rsid w:val="00AF00DB"/>
    <w:rsid w:val="00AF04FC"/>
    <w:rsid w:val="00AF06F5"/>
    <w:rsid w:val="00AF0FD5"/>
    <w:rsid w:val="00AF17E0"/>
    <w:rsid w:val="00AF22F4"/>
    <w:rsid w:val="00AF2BBA"/>
    <w:rsid w:val="00AF3005"/>
    <w:rsid w:val="00AF4271"/>
    <w:rsid w:val="00AF45AD"/>
    <w:rsid w:val="00AF4AB5"/>
    <w:rsid w:val="00AF50E2"/>
    <w:rsid w:val="00AF5AF3"/>
    <w:rsid w:val="00AF5E6D"/>
    <w:rsid w:val="00AF5F2A"/>
    <w:rsid w:val="00AF64B1"/>
    <w:rsid w:val="00AF6C4A"/>
    <w:rsid w:val="00AF7331"/>
    <w:rsid w:val="00AF73C7"/>
    <w:rsid w:val="00AF7D6F"/>
    <w:rsid w:val="00AF7F7B"/>
    <w:rsid w:val="00B0145C"/>
    <w:rsid w:val="00B0183A"/>
    <w:rsid w:val="00B01D69"/>
    <w:rsid w:val="00B02ABD"/>
    <w:rsid w:val="00B02FA0"/>
    <w:rsid w:val="00B031F6"/>
    <w:rsid w:val="00B03E76"/>
    <w:rsid w:val="00B04AB1"/>
    <w:rsid w:val="00B05B8A"/>
    <w:rsid w:val="00B05F38"/>
    <w:rsid w:val="00B07251"/>
    <w:rsid w:val="00B07393"/>
    <w:rsid w:val="00B07E37"/>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599"/>
    <w:rsid w:val="00B16914"/>
    <w:rsid w:val="00B1696B"/>
    <w:rsid w:val="00B17006"/>
    <w:rsid w:val="00B1776C"/>
    <w:rsid w:val="00B17D19"/>
    <w:rsid w:val="00B20264"/>
    <w:rsid w:val="00B20296"/>
    <w:rsid w:val="00B209E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FB"/>
    <w:rsid w:val="00B27861"/>
    <w:rsid w:val="00B30C43"/>
    <w:rsid w:val="00B32AE3"/>
    <w:rsid w:val="00B32CD0"/>
    <w:rsid w:val="00B3456B"/>
    <w:rsid w:val="00B34CBA"/>
    <w:rsid w:val="00B34CE0"/>
    <w:rsid w:val="00B3539C"/>
    <w:rsid w:val="00B35C35"/>
    <w:rsid w:val="00B35D51"/>
    <w:rsid w:val="00B36288"/>
    <w:rsid w:val="00B3661F"/>
    <w:rsid w:val="00B37241"/>
    <w:rsid w:val="00B37D4B"/>
    <w:rsid w:val="00B37DAF"/>
    <w:rsid w:val="00B40123"/>
    <w:rsid w:val="00B4015E"/>
    <w:rsid w:val="00B4034B"/>
    <w:rsid w:val="00B4058F"/>
    <w:rsid w:val="00B408DE"/>
    <w:rsid w:val="00B4143C"/>
    <w:rsid w:val="00B420DD"/>
    <w:rsid w:val="00B43238"/>
    <w:rsid w:val="00B43255"/>
    <w:rsid w:val="00B43950"/>
    <w:rsid w:val="00B439DA"/>
    <w:rsid w:val="00B4433C"/>
    <w:rsid w:val="00B446B1"/>
    <w:rsid w:val="00B4551E"/>
    <w:rsid w:val="00B462B1"/>
    <w:rsid w:val="00B46DA9"/>
    <w:rsid w:val="00B47036"/>
    <w:rsid w:val="00B4719B"/>
    <w:rsid w:val="00B47979"/>
    <w:rsid w:val="00B47D3D"/>
    <w:rsid w:val="00B506FE"/>
    <w:rsid w:val="00B51A79"/>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2302"/>
    <w:rsid w:val="00B6347D"/>
    <w:rsid w:val="00B635B4"/>
    <w:rsid w:val="00B648B6"/>
    <w:rsid w:val="00B648DE"/>
    <w:rsid w:val="00B65A05"/>
    <w:rsid w:val="00B662D7"/>
    <w:rsid w:val="00B66AF3"/>
    <w:rsid w:val="00B6741F"/>
    <w:rsid w:val="00B676E3"/>
    <w:rsid w:val="00B67709"/>
    <w:rsid w:val="00B67EE9"/>
    <w:rsid w:val="00B71209"/>
    <w:rsid w:val="00B71279"/>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6D5E"/>
    <w:rsid w:val="00B8790F"/>
    <w:rsid w:val="00B87B83"/>
    <w:rsid w:val="00B87E47"/>
    <w:rsid w:val="00B90D14"/>
    <w:rsid w:val="00B9112A"/>
    <w:rsid w:val="00B91404"/>
    <w:rsid w:val="00B91BAB"/>
    <w:rsid w:val="00B92D2B"/>
    <w:rsid w:val="00B92F19"/>
    <w:rsid w:val="00B93158"/>
    <w:rsid w:val="00B93211"/>
    <w:rsid w:val="00B935B6"/>
    <w:rsid w:val="00B93A5F"/>
    <w:rsid w:val="00B93C8D"/>
    <w:rsid w:val="00B94A02"/>
    <w:rsid w:val="00B94A9C"/>
    <w:rsid w:val="00B9511C"/>
    <w:rsid w:val="00B95517"/>
    <w:rsid w:val="00B95AE4"/>
    <w:rsid w:val="00B95E08"/>
    <w:rsid w:val="00B960AE"/>
    <w:rsid w:val="00B96717"/>
    <w:rsid w:val="00B96C58"/>
    <w:rsid w:val="00B96EED"/>
    <w:rsid w:val="00B97646"/>
    <w:rsid w:val="00B97CA8"/>
    <w:rsid w:val="00BA13F2"/>
    <w:rsid w:val="00BA1A9C"/>
    <w:rsid w:val="00BA1BFC"/>
    <w:rsid w:val="00BA2DC9"/>
    <w:rsid w:val="00BA3DFF"/>
    <w:rsid w:val="00BA4231"/>
    <w:rsid w:val="00BA45F1"/>
    <w:rsid w:val="00BA4857"/>
    <w:rsid w:val="00BA50F4"/>
    <w:rsid w:val="00BA5AEE"/>
    <w:rsid w:val="00BA5EDC"/>
    <w:rsid w:val="00BA5F73"/>
    <w:rsid w:val="00BA6B40"/>
    <w:rsid w:val="00BA6F1D"/>
    <w:rsid w:val="00BA6F5C"/>
    <w:rsid w:val="00BA714D"/>
    <w:rsid w:val="00BA7D96"/>
    <w:rsid w:val="00BA7FB8"/>
    <w:rsid w:val="00BB0372"/>
    <w:rsid w:val="00BB08AD"/>
    <w:rsid w:val="00BB0A94"/>
    <w:rsid w:val="00BB1522"/>
    <w:rsid w:val="00BB1EB3"/>
    <w:rsid w:val="00BB1FE2"/>
    <w:rsid w:val="00BB304B"/>
    <w:rsid w:val="00BB3622"/>
    <w:rsid w:val="00BB381F"/>
    <w:rsid w:val="00BB3825"/>
    <w:rsid w:val="00BB4AA9"/>
    <w:rsid w:val="00BB4C18"/>
    <w:rsid w:val="00BB5063"/>
    <w:rsid w:val="00BB581C"/>
    <w:rsid w:val="00BB5875"/>
    <w:rsid w:val="00BB5886"/>
    <w:rsid w:val="00BB6097"/>
    <w:rsid w:val="00BB66B3"/>
    <w:rsid w:val="00BB66BE"/>
    <w:rsid w:val="00BB6C00"/>
    <w:rsid w:val="00BB6D8B"/>
    <w:rsid w:val="00BB793C"/>
    <w:rsid w:val="00BC0B00"/>
    <w:rsid w:val="00BC1D11"/>
    <w:rsid w:val="00BC1EB4"/>
    <w:rsid w:val="00BC2444"/>
    <w:rsid w:val="00BC3713"/>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E1D"/>
    <w:rsid w:val="00BE6002"/>
    <w:rsid w:val="00BE6038"/>
    <w:rsid w:val="00BE6162"/>
    <w:rsid w:val="00BE73F1"/>
    <w:rsid w:val="00BE73F5"/>
    <w:rsid w:val="00BF00D0"/>
    <w:rsid w:val="00BF06DB"/>
    <w:rsid w:val="00BF0E6E"/>
    <w:rsid w:val="00BF14B4"/>
    <w:rsid w:val="00BF2105"/>
    <w:rsid w:val="00BF26E1"/>
    <w:rsid w:val="00BF2D33"/>
    <w:rsid w:val="00BF2D6C"/>
    <w:rsid w:val="00BF2F21"/>
    <w:rsid w:val="00BF3074"/>
    <w:rsid w:val="00BF3488"/>
    <w:rsid w:val="00BF3AA1"/>
    <w:rsid w:val="00BF3EDB"/>
    <w:rsid w:val="00BF418F"/>
    <w:rsid w:val="00BF4D95"/>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4A72"/>
    <w:rsid w:val="00C04F05"/>
    <w:rsid w:val="00C05930"/>
    <w:rsid w:val="00C05A89"/>
    <w:rsid w:val="00C0677F"/>
    <w:rsid w:val="00C06D1D"/>
    <w:rsid w:val="00C074EC"/>
    <w:rsid w:val="00C109E5"/>
    <w:rsid w:val="00C11550"/>
    <w:rsid w:val="00C11C4F"/>
    <w:rsid w:val="00C130B5"/>
    <w:rsid w:val="00C13CAE"/>
    <w:rsid w:val="00C1486D"/>
    <w:rsid w:val="00C14BCF"/>
    <w:rsid w:val="00C14C1B"/>
    <w:rsid w:val="00C154CD"/>
    <w:rsid w:val="00C1601D"/>
    <w:rsid w:val="00C16354"/>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93"/>
    <w:rsid w:val="00C25ADF"/>
    <w:rsid w:val="00C25F9F"/>
    <w:rsid w:val="00C26083"/>
    <w:rsid w:val="00C2646D"/>
    <w:rsid w:val="00C30511"/>
    <w:rsid w:val="00C3072A"/>
    <w:rsid w:val="00C30FF9"/>
    <w:rsid w:val="00C31195"/>
    <w:rsid w:val="00C32049"/>
    <w:rsid w:val="00C3247C"/>
    <w:rsid w:val="00C32B31"/>
    <w:rsid w:val="00C33021"/>
    <w:rsid w:val="00C33A48"/>
    <w:rsid w:val="00C342A0"/>
    <w:rsid w:val="00C34965"/>
    <w:rsid w:val="00C34C94"/>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186"/>
    <w:rsid w:val="00C43D50"/>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3132"/>
    <w:rsid w:val="00C53661"/>
    <w:rsid w:val="00C5379B"/>
    <w:rsid w:val="00C541BE"/>
    <w:rsid w:val="00C54402"/>
    <w:rsid w:val="00C549AE"/>
    <w:rsid w:val="00C54B9F"/>
    <w:rsid w:val="00C55A75"/>
    <w:rsid w:val="00C560C6"/>
    <w:rsid w:val="00C56B19"/>
    <w:rsid w:val="00C576FD"/>
    <w:rsid w:val="00C60230"/>
    <w:rsid w:val="00C604E7"/>
    <w:rsid w:val="00C6088E"/>
    <w:rsid w:val="00C60B17"/>
    <w:rsid w:val="00C62089"/>
    <w:rsid w:val="00C620B5"/>
    <w:rsid w:val="00C6261B"/>
    <w:rsid w:val="00C63152"/>
    <w:rsid w:val="00C63663"/>
    <w:rsid w:val="00C64390"/>
    <w:rsid w:val="00C64594"/>
    <w:rsid w:val="00C66164"/>
    <w:rsid w:val="00C667C7"/>
    <w:rsid w:val="00C66AA0"/>
    <w:rsid w:val="00C66C8C"/>
    <w:rsid w:val="00C67257"/>
    <w:rsid w:val="00C67E55"/>
    <w:rsid w:val="00C67EDE"/>
    <w:rsid w:val="00C70A5B"/>
    <w:rsid w:val="00C70ABA"/>
    <w:rsid w:val="00C70BAB"/>
    <w:rsid w:val="00C70D0D"/>
    <w:rsid w:val="00C7119E"/>
    <w:rsid w:val="00C71DD7"/>
    <w:rsid w:val="00C72483"/>
    <w:rsid w:val="00C72766"/>
    <w:rsid w:val="00C741A6"/>
    <w:rsid w:val="00C74887"/>
    <w:rsid w:val="00C750FA"/>
    <w:rsid w:val="00C751F0"/>
    <w:rsid w:val="00C75A54"/>
    <w:rsid w:val="00C763AA"/>
    <w:rsid w:val="00C767EC"/>
    <w:rsid w:val="00C77291"/>
    <w:rsid w:val="00C776B6"/>
    <w:rsid w:val="00C77703"/>
    <w:rsid w:val="00C7789F"/>
    <w:rsid w:val="00C803BA"/>
    <w:rsid w:val="00C80BC8"/>
    <w:rsid w:val="00C81676"/>
    <w:rsid w:val="00C8180C"/>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394"/>
    <w:rsid w:val="00C927A4"/>
    <w:rsid w:val="00C92822"/>
    <w:rsid w:val="00C92C01"/>
    <w:rsid w:val="00C92D60"/>
    <w:rsid w:val="00C932D8"/>
    <w:rsid w:val="00C93578"/>
    <w:rsid w:val="00C93867"/>
    <w:rsid w:val="00C939CE"/>
    <w:rsid w:val="00C94C3E"/>
    <w:rsid w:val="00C94E36"/>
    <w:rsid w:val="00C95336"/>
    <w:rsid w:val="00C95AE1"/>
    <w:rsid w:val="00C9636B"/>
    <w:rsid w:val="00C9726B"/>
    <w:rsid w:val="00C97FBB"/>
    <w:rsid w:val="00CA0502"/>
    <w:rsid w:val="00CA0AB4"/>
    <w:rsid w:val="00CA3479"/>
    <w:rsid w:val="00CA3CEF"/>
    <w:rsid w:val="00CA5AFC"/>
    <w:rsid w:val="00CA5C6C"/>
    <w:rsid w:val="00CA6548"/>
    <w:rsid w:val="00CA66D5"/>
    <w:rsid w:val="00CA6BE0"/>
    <w:rsid w:val="00CA6C7E"/>
    <w:rsid w:val="00CA6DB5"/>
    <w:rsid w:val="00CA6F9B"/>
    <w:rsid w:val="00CA7BDD"/>
    <w:rsid w:val="00CA7E93"/>
    <w:rsid w:val="00CA7F49"/>
    <w:rsid w:val="00CB0E86"/>
    <w:rsid w:val="00CB1737"/>
    <w:rsid w:val="00CB2329"/>
    <w:rsid w:val="00CB28B6"/>
    <w:rsid w:val="00CB2FB4"/>
    <w:rsid w:val="00CB334B"/>
    <w:rsid w:val="00CB3F7F"/>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D05"/>
    <w:rsid w:val="00CC3E62"/>
    <w:rsid w:val="00CC40E4"/>
    <w:rsid w:val="00CC4147"/>
    <w:rsid w:val="00CC4348"/>
    <w:rsid w:val="00CC4577"/>
    <w:rsid w:val="00CC4830"/>
    <w:rsid w:val="00CC48C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2F2E"/>
    <w:rsid w:val="00CD33AC"/>
    <w:rsid w:val="00CD405B"/>
    <w:rsid w:val="00CD47DC"/>
    <w:rsid w:val="00CD4E29"/>
    <w:rsid w:val="00CD5136"/>
    <w:rsid w:val="00CD5AB8"/>
    <w:rsid w:val="00CD5FC0"/>
    <w:rsid w:val="00CD710F"/>
    <w:rsid w:val="00CD7B47"/>
    <w:rsid w:val="00CE0ED7"/>
    <w:rsid w:val="00CE11AB"/>
    <w:rsid w:val="00CE16CE"/>
    <w:rsid w:val="00CE194A"/>
    <w:rsid w:val="00CE1B65"/>
    <w:rsid w:val="00CE1EA3"/>
    <w:rsid w:val="00CE2976"/>
    <w:rsid w:val="00CE429A"/>
    <w:rsid w:val="00CE6CE0"/>
    <w:rsid w:val="00CF020D"/>
    <w:rsid w:val="00CF0E3B"/>
    <w:rsid w:val="00CF28CD"/>
    <w:rsid w:val="00CF4671"/>
    <w:rsid w:val="00CF4A64"/>
    <w:rsid w:val="00CF5333"/>
    <w:rsid w:val="00CF57A9"/>
    <w:rsid w:val="00CF59D3"/>
    <w:rsid w:val="00CF5A38"/>
    <w:rsid w:val="00CF5B35"/>
    <w:rsid w:val="00CF6239"/>
    <w:rsid w:val="00CF6639"/>
    <w:rsid w:val="00CF787C"/>
    <w:rsid w:val="00D00F11"/>
    <w:rsid w:val="00D01735"/>
    <w:rsid w:val="00D01AB7"/>
    <w:rsid w:val="00D031C7"/>
    <w:rsid w:val="00D03B25"/>
    <w:rsid w:val="00D03B2B"/>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5F1"/>
    <w:rsid w:val="00D13CD5"/>
    <w:rsid w:val="00D144E4"/>
    <w:rsid w:val="00D1468C"/>
    <w:rsid w:val="00D1469D"/>
    <w:rsid w:val="00D1492B"/>
    <w:rsid w:val="00D14BAD"/>
    <w:rsid w:val="00D14DA3"/>
    <w:rsid w:val="00D1531D"/>
    <w:rsid w:val="00D1612A"/>
    <w:rsid w:val="00D164DA"/>
    <w:rsid w:val="00D16DD6"/>
    <w:rsid w:val="00D17ACB"/>
    <w:rsid w:val="00D17B42"/>
    <w:rsid w:val="00D17F53"/>
    <w:rsid w:val="00D20648"/>
    <w:rsid w:val="00D20906"/>
    <w:rsid w:val="00D20F9C"/>
    <w:rsid w:val="00D21A74"/>
    <w:rsid w:val="00D221DA"/>
    <w:rsid w:val="00D22452"/>
    <w:rsid w:val="00D233A0"/>
    <w:rsid w:val="00D2383B"/>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ED5"/>
    <w:rsid w:val="00D3633F"/>
    <w:rsid w:val="00D370F1"/>
    <w:rsid w:val="00D37E76"/>
    <w:rsid w:val="00D40058"/>
    <w:rsid w:val="00D4080F"/>
    <w:rsid w:val="00D40922"/>
    <w:rsid w:val="00D41761"/>
    <w:rsid w:val="00D41A92"/>
    <w:rsid w:val="00D435F7"/>
    <w:rsid w:val="00D4421B"/>
    <w:rsid w:val="00D445B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93"/>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70543"/>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95A"/>
    <w:rsid w:val="00D979FC"/>
    <w:rsid w:val="00DA1CA2"/>
    <w:rsid w:val="00DA393F"/>
    <w:rsid w:val="00DA39FE"/>
    <w:rsid w:val="00DA3C14"/>
    <w:rsid w:val="00DA3F4A"/>
    <w:rsid w:val="00DA43D0"/>
    <w:rsid w:val="00DA4979"/>
    <w:rsid w:val="00DA5044"/>
    <w:rsid w:val="00DA5F3B"/>
    <w:rsid w:val="00DA6164"/>
    <w:rsid w:val="00DA62D4"/>
    <w:rsid w:val="00DA6631"/>
    <w:rsid w:val="00DA740A"/>
    <w:rsid w:val="00DB037B"/>
    <w:rsid w:val="00DB1D3A"/>
    <w:rsid w:val="00DB1E36"/>
    <w:rsid w:val="00DB238F"/>
    <w:rsid w:val="00DB29BF"/>
    <w:rsid w:val="00DB38C3"/>
    <w:rsid w:val="00DB4272"/>
    <w:rsid w:val="00DB443E"/>
    <w:rsid w:val="00DB46EB"/>
    <w:rsid w:val="00DB5FD7"/>
    <w:rsid w:val="00DB6074"/>
    <w:rsid w:val="00DB6159"/>
    <w:rsid w:val="00DB6269"/>
    <w:rsid w:val="00DB680A"/>
    <w:rsid w:val="00DB75AD"/>
    <w:rsid w:val="00DC0665"/>
    <w:rsid w:val="00DC0944"/>
    <w:rsid w:val="00DC1186"/>
    <w:rsid w:val="00DC1DAA"/>
    <w:rsid w:val="00DC2F0F"/>
    <w:rsid w:val="00DC407A"/>
    <w:rsid w:val="00DC45DB"/>
    <w:rsid w:val="00DC472F"/>
    <w:rsid w:val="00DC50F1"/>
    <w:rsid w:val="00DC56A9"/>
    <w:rsid w:val="00DC57AF"/>
    <w:rsid w:val="00DC5899"/>
    <w:rsid w:val="00DC5C15"/>
    <w:rsid w:val="00DC5D4C"/>
    <w:rsid w:val="00DC6933"/>
    <w:rsid w:val="00DC6A41"/>
    <w:rsid w:val="00DC6CE3"/>
    <w:rsid w:val="00DC725A"/>
    <w:rsid w:val="00DC7B18"/>
    <w:rsid w:val="00DC7B60"/>
    <w:rsid w:val="00DD00BD"/>
    <w:rsid w:val="00DD0615"/>
    <w:rsid w:val="00DD0B46"/>
    <w:rsid w:val="00DD0E10"/>
    <w:rsid w:val="00DD0F56"/>
    <w:rsid w:val="00DD19F7"/>
    <w:rsid w:val="00DD1C04"/>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5715"/>
    <w:rsid w:val="00DE684C"/>
    <w:rsid w:val="00DE7002"/>
    <w:rsid w:val="00DE70D7"/>
    <w:rsid w:val="00DE70F9"/>
    <w:rsid w:val="00DE748E"/>
    <w:rsid w:val="00DE76AE"/>
    <w:rsid w:val="00DF12C8"/>
    <w:rsid w:val="00DF2C58"/>
    <w:rsid w:val="00DF31D1"/>
    <w:rsid w:val="00DF47B4"/>
    <w:rsid w:val="00DF4B89"/>
    <w:rsid w:val="00DF4CE6"/>
    <w:rsid w:val="00DF4E73"/>
    <w:rsid w:val="00DF4EBA"/>
    <w:rsid w:val="00DF5BAA"/>
    <w:rsid w:val="00DF67CE"/>
    <w:rsid w:val="00DF6DA8"/>
    <w:rsid w:val="00DF751F"/>
    <w:rsid w:val="00DF7CA9"/>
    <w:rsid w:val="00DF7DEB"/>
    <w:rsid w:val="00E000C9"/>
    <w:rsid w:val="00E00319"/>
    <w:rsid w:val="00E003DF"/>
    <w:rsid w:val="00E00443"/>
    <w:rsid w:val="00E006F4"/>
    <w:rsid w:val="00E007EF"/>
    <w:rsid w:val="00E01875"/>
    <w:rsid w:val="00E02FB1"/>
    <w:rsid w:val="00E0399D"/>
    <w:rsid w:val="00E05367"/>
    <w:rsid w:val="00E069F4"/>
    <w:rsid w:val="00E06C62"/>
    <w:rsid w:val="00E11191"/>
    <w:rsid w:val="00E11C5F"/>
    <w:rsid w:val="00E1244A"/>
    <w:rsid w:val="00E12A55"/>
    <w:rsid w:val="00E12F5D"/>
    <w:rsid w:val="00E13429"/>
    <w:rsid w:val="00E1356B"/>
    <w:rsid w:val="00E13708"/>
    <w:rsid w:val="00E14572"/>
    <w:rsid w:val="00E14575"/>
    <w:rsid w:val="00E14ECA"/>
    <w:rsid w:val="00E15267"/>
    <w:rsid w:val="00E154C3"/>
    <w:rsid w:val="00E15F6B"/>
    <w:rsid w:val="00E1615E"/>
    <w:rsid w:val="00E168D9"/>
    <w:rsid w:val="00E170F0"/>
    <w:rsid w:val="00E177EE"/>
    <w:rsid w:val="00E2018B"/>
    <w:rsid w:val="00E213C6"/>
    <w:rsid w:val="00E2142D"/>
    <w:rsid w:val="00E217D9"/>
    <w:rsid w:val="00E21A58"/>
    <w:rsid w:val="00E21AD1"/>
    <w:rsid w:val="00E2246F"/>
    <w:rsid w:val="00E2327D"/>
    <w:rsid w:val="00E23E90"/>
    <w:rsid w:val="00E24813"/>
    <w:rsid w:val="00E25551"/>
    <w:rsid w:val="00E2557B"/>
    <w:rsid w:val="00E25E49"/>
    <w:rsid w:val="00E27562"/>
    <w:rsid w:val="00E27D1C"/>
    <w:rsid w:val="00E319B3"/>
    <w:rsid w:val="00E327D1"/>
    <w:rsid w:val="00E32C04"/>
    <w:rsid w:val="00E32C40"/>
    <w:rsid w:val="00E32EED"/>
    <w:rsid w:val="00E337DA"/>
    <w:rsid w:val="00E33C43"/>
    <w:rsid w:val="00E33F4C"/>
    <w:rsid w:val="00E351E9"/>
    <w:rsid w:val="00E35B43"/>
    <w:rsid w:val="00E360A0"/>
    <w:rsid w:val="00E363D9"/>
    <w:rsid w:val="00E36580"/>
    <w:rsid w:val="00E36CC4"/>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4F4"/>
    <w:rsid w:val="00E45983"/>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50B3"/>
    <w:rsid w:val="00E55BCF"/>
    <w:rsid w:val="00E56229"/>
    <w:rsid w:val="00E56441"/>
    <w:rsid w:val="00E56F7F"/>
    <w:rsid w:val="00E57082"/>
    <w:rsid w:val="00E57ACC"/>
    <w:rsid w:val="00E6051B"/>
    <w:rsid w:val="00E612BF"/>
    <w:rsid w:val="00E61756"/>
    <w:rsid w:val="00E620AF"/>
    <w:rsid w:val="00E62262"/>
    <w:rsid w:val="00E623CC"/>
    <w:rsid w:val="00E62403"/>
    <w:rsid w:val="00E630EC"/>
    <w:rsid w:val="00E635D2"/>
    <w:rsid w:val="00E63716"/>
    <w:rsid w:val="00E63BE0"/>
    <w:rsid w:val="00E64B08"/>
    <w:rsid w:val="00E65437"/>
    <w:rsid w:val="00E656A7"/>
    <w:rsid w:val="00E65B32"/>
    <w:rsid w:val="00E6625A"/>
    <w:rsid w:val="00E662A9"/>
    <w:rsid w:val="00E66361"/>
    <w:rsid w:val="00E66476"/>
    <w:rsid w:val="00E66486"/>
    <w:rsid w:val="00E667F1"/>
    <w:rsid w:val="00E66B2F"/>
    <w:rsid w:val="00E67868"/>
    <w:rsid w:val="00E6797C"/>
    <w:rsid w:val="00E701CA"/>
    <w:rsid w:val="00E7190A"/>
    <w:rsid w:val="00E728A2"/>
    <w:rsid w:val="00E72EC8"/>
    <w:rsid w:val="00E7309F"/>
    <w:rsid w:val="00E734B2"/>
    <w:rsid w:val="00E73589"/>
    <w:rsid w:val="00E73C55"/>
    <w:rsid w:val="00E75131"/>
    <w:rsid w:val="00E754C4"/>
    <w:rsid w:val="00E75570"/>
    <w:rsid w:val="00E757D7"/>
    <w:rsid w:val="00E75ADD"/>
    <w:rsid w:val="00E76305"/>
    <w:rsid w:val="00E768C4"/>
    <w:rsid w:val="00E779E3"/>
    <w:rsid w:val="00E77C8F"/>
    <w:rsid w:val="00E80363"/>
    <w:rsid w:val="00E809F5"/>
    <w:rsid w:val="00E815FB"/>
    <w:rsid w:val="00E8232A"/>
    <w:rsid w:val="00E82EA4"/>
    <w:rsid w:val="00E83212"/>
    <w:rsid w:val="00E83C29"/>
    <w:rsid w:val="00E85A56"/>
    <w:rsid w:val="00E8738F"/>
    <w:rsid w:val="00E87771"/>
    <w:rsid w:val="00E878F6"/>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2DC"/>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B55"/>
    <w:rsid w:val="00EB3D65"/>
    <w:rsid w:val="00EB3FBA"/>
    <w:rsid w:val="00EB493B"/>
    <w:rsid w:val="00EB582F"/>
    <w:rsid w:val="00EB60B6"/>
    <w:rsid w:val="00EB634E"/>
    <w:rsid w:val="00EB769F"/>
    <w:rsid w:val="00EC056C"/>
    <w:rsid w:val="00EC0588"/>
    <w:rsid w:val="00EC086B"/>
    <w:rsid w:val="00EC1113"/>
    <w:rsid w:val="00EC11D0"/>
    <w:rsid w:val="00EC15DD"/>
    <w:rsid w:val="00EC1D67"/>
    <w:rsid w:val="00EC22DF"/>
    <w:rsid w:val="00EC2611"/>
    <w:rsid w:val="00EC26B9"/>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3602"/>
    <w:rsid w:val="00EE4197"/>
    <w:rsid w:val="00EE41BA"/>
    <w:rsid w:val="00EE46C7"/>
    <w:rsid w:val="00EE5382"/>
    <w:rsid w:val="00EE5AD0"/>
    <w:rsid w:val="00EE5E3C"/>
    <w:rsid w:val="00EE6007"/>
    <w:rsid w:val="00EE62BF"/>
    <w:rsid w:val="00EE6E0C"/>
    <w:rsid w:val="00EE71C9"/>
    <w:rsid w:val="00EE7424"/>
    <w:rsid w:val="00EE77F9"/>
    <w:rsid w:val="00EE7860"/>
    <w:rsid w:val="00EE7F27"/>
    <w:rsid w:val="00EF0BF0"/>
    <w:rsid w:val="00EF1617"/>
    <w:rsid w:val="00EF16B0"/>
    <w:rsid w:val="00EF1B0E"/>
    <w:rsid w:val="00EF1E76"/>
    <w:rsid w:val="00EF2696"/>
    <w:rsid w:val="00EF271A"/>
    <w:rsid w:val="00EF28F3"/>
    <w:rsid w:val="00EF2ECE"/>
    <w:rsid w:val="00EF4775"/>
    <w:rsid w:val="00EF5ECB"/>
    <w:rsid w:val="00EF6B6D"/>
    <w:rsid w:val="00EF6ECF"/>
    <w:rsid w:val="00EF767B"/>
    <w:rsid w:val="00EF7D30"/>
    <w:rsid w:val="00F005B3"/>
    <w:rsid w:val="00F01AE6"/>
    <w:rsid w:val="00F02112"/>
    <w:rsid w:val="00F023F8"/>
    <w:rsid w:val="00F025E6"/>
    <w:rsid w:val="00F02839"/>
    <w:rsid w:val="00F02E1E"/>
    <w:rsid w:val="00F031CA"/>
    <w:rsid w:val="00F032D4"/>
    <w:rsid w:val="00F0352E"/>
    <w:rsid w:val="00F0385E"/>
    <w:rsid w:val="00F03B29"/>
    <w:rsid w:val="00F04203"/>
    <w:rsid w:val="00F042CD"/>
    <w:rsid w:val="00F04C03"/>
    <w:rsid w:val="00F04EEB"/>
    <w:rsid w:val="00F0546A"/>
    <w:rsid w:val="00F06082"/>
    <w:rsid w:val="00F0690F"/>
    <w:rsid w:val="00F07981"/>
    <w:rsid w:val="00F07FD1"/>
    <w:rsid w:val="00F10D4E"/>
    <w:rsid w:val="00F10DC4"/>
    <w:rsid w:val="00F117D8"/>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21B"/>
    <w:rsid w:val="00F36510"/>
    <w:rsid w:val="00F3683C"/>
    <w:rsid w:val="00F36D96"/>
    <w:rsid w:val="00F374E7"/>
    <w:rsid w:val="00F376C7"/>
    <w:rsid w:val="00F37AD7"/>
    <w:rsid w:val="00F40B36"/>
    <w:rsid w:val="00F411FD"/>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D18"/>
    <w:rsid w:val="00F55E74"/>
    <w:rsid w:val="00F567DA"/>
    <w:rsid w:val="00F568B9"/>
    <w:rsid w:val="00F56FB7"/>
    <w:rsid w:val="00F5746E"/>
    <w:rsid w:val="00F57707"/>
    <w:rsid w:val="00F604CF"/>
    <w:rsid w:val="00F6153D"/>
    <w:rsid w:val="00F61A06"/>
    <w:rsid w:val="00F61D89"/>
    <w:rsid w:val="00F6341F"/>
    <w:rsid w:val="00F636A0"/>
    <w:rsid w:val="00F63EE9"/>
    <w:rsid w:val="00F64504"/>
    <w:rsid w:val="00F64903"/>
    <w:rsid w:val="00F656BF"/>
    <w:rsid w:val="00F65B83"/>
    <w:rsid w:val="00F66A7D"/>
    <w:rsid w:val="00F67599"/>
    <w:rsid w:val="00F67B4E"/>
    <w:rsid w:val="00F700AC"/>
    <w:rsid w:val="00F712F5"/>
    <w:rsid w:val="00F72190"/>
    <w:rsid w:val="00F72380"/>
    <w:rsid w:val="00F723C0"/>
    <w:rsid w:val="00F72EDA"/>
    <w:rsid w:val="00F72FBA"/>
    <w:rsid w:val="00F749F3"/>
    <w:rsid w:val="00F753E5"/>
    <w:rsid w:val="00F75686"/>
    <w:rsid w:val="00F767D6"/>
    <w:rsid w:val="00F771C4"/>
    <w:rsid w:val="00F77885"/>
    <w:rsid w:val="00F77A04"/>
    <w:rsid w:val="00F77B39"/>
    <w:rsid w:val="00F77E3C"/>
    <w:rsid w:val="00F77F8E"/>
    <w:rsid w:val="00F804B8"/>
    <w:rsid w:val="00F819BD"/>
    <w:rsid w:val="00F82304"/>
    <w:rsid w:val="00F828A9"/>
    <w:rsid w:val="00F829EE"/>
    <w:rsid w:val="00F82D06"/>
    <w:rsid w:val="00F831EB"/>
    <w:rsid w:val="00F835B9"/>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028"/>
    <w:rsid w:val="00FB7B63"/>
    <w:rsid w:val="00FB7EA8"/>
    <w:rsid w:val="00FC02E4"/>
    <w:rsid w:val="00FC0930"/>
    <w:rsid w:val="00FC0BDC"/>
    <w:rsid w:val="00FC0DE2"/>
    <w:rsid w:val="00FC0E1B"/>
    <w:rsid w:val="00FC1025"/>
    <w:rsid w:val="00FC114D"/>
    <w:rsid w:val="00FC1356"/>
    <w:rsid w:val="00FC1646"/>
    <w:rsid w:val="00FC1769"/>
    <w:rsid w:val="00FC1F96"/>
    <w:rsid w:val="00FC2086"/>
    <w:rsid w:val="00FC3323"/>
    <w:rsid w:val="00FC3C4C"/>
    <w:rsid w:val="00FC3D41"/>
    <w:rsid w:val="00FC462A"/>
    <w:rsid w:val="00FC4D97"/>
    <w:rsid w:val="00FC4DC3"/>
    <w:rsid w:val="00FC506D"/>
    <w:rsid w:val="00FC507F"/>
    <w:rsid w:val="00FC54F8"/>
    <w:rsid w:val="00FC586E"/>
    <w:rsid w:val="00FC645B"/>
    <w:rsid w:val="00FC6634"/>
    <w:rsid w:val="00FC6E6A"/>
    <w:rsid w:val="00FD042D"/>
    <w:rsid w:val="00FD0670"/>
    <w:rsid w:val="00FD0EF1"/>
    <w:rsid w:val="00FD12DD"/>
    <w:rsid w:val="00FD3167"/>
    <w:rsid w:val="00FD338B"/>
    <w:rsid w:val="00FD360B"/>
    <w:rsid w:val="00FD47F5"/>
    <w:rsid w:val="00FD50A0"/>
    <w:rsid w:val="00FD5116"/>
    <w:rsid w:val="00FD6E39"/>
    <w:rsid w:val="00FD753C"/>
    <w:rsid w:val="00FD7E6C"/>
    <w:rsid w:val="00FE0558"/>
    <w:rsid w:val="00FE2D47"/>
    <w:rsid w:val="00FE3096"/>
    <w:rsid w:val="00FE3412"/>
    <w:rsid w:val="00FE41BD"/>
    <w:rsid w:val="00FE43E3"/>
    <w:rsid w:val="00FE4E93"/>
    <w:rsid w:val="00FE60CF"/>
    <w:rsid w:val="00FE66B9"/>
    <w:rsid w:val="00FE67D9"/>
    <w:rsid w:val="00FE683B"/>
    <w:rsid w:val="00FE6BB8"/>
    <w:rsid w:val="00FE7247"/>
    <w:rsid w:val="00FE7603"/>
    <w:rsid w:val="00FF0257"/>
    <w:rsid w:val="00FF0400"/>
    <w:rsid w:val="00FF132D"/>
    <w:rsid w:val="00FF1D46"/>
    <w:rsid w:val="00FF1F19"/>
    <w:rsid w:val="00FF1FDA"/>
    <w:rsid w:val="00FF2465"/>
    <w:rsid w:val="00FF29E4"/>
    <w:rsid w:val="00FF3990"/>
    <w:rsid w:val="00FF472F"/>
    <w:rsid w:val="00FF4A27"/>
    <w:rsid w:val="00FF514D"/>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9979DB-6226-4345-A8B3-EDB53119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47</Pages>
  <Words>50152</Words>
  <Characters>285871</Characters>
  <Application>Microsoft Macintosh Word</Application>
  <DocSecurity>0</DocSecurity>
  <Lines>2382</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60</cp:revision>
  <cp:lastPrinted>2017-09-13T20:18:00Z</cp:lastPrinted>
  <dcterms:created xsi:type="dcterms:W3CDTF">2017-09-13T20:10:00Z</dcterms:created>
  <dcterms:modified xsi:type="dcterms:W3CDTF">2017-09-14T18:55:00Z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