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54AF94" w14:textId="7B4FE230" w:rsidR="00464218" w:rsidRPr="00A738D6" w:rsidRDefault="00C310B0" w:rsidP="00550CF0">
      <w:pPr>
        <w:widowControl w:val="0"/>
        <w:spacing w:before="0" w:after="0" w:line="360" w:lineRule="auto"/>
        <w:rPr>
          <w:b/>
          <w:bCs/>
        </w:rPr>
      </w:pPr>
      <w:r w:rsidRPr="00A738D6">
        <w:rPr>
          <w:b/>
          <w:bCs/>
        </w:rPr>
        <w:t>Data description</w:t>
      </w:r>
    </w:p>
    <w:p w14:paraId="42A54A4B" w14:textId="3B9838AB" w:rsidR="00C310B0" w:rsidRDefault="00550CF0" w:rsidP="00550CF0">
      <w:pPr>
        <w:widowControl w:val="0"/>
        <w:spacing w:before="0" w:after="0" w:line="360" w:lineRule="auto"/>
      </w:pPr>
      <w:r>
        <w:t>Please cite this paper if you use my data/code for the common religion index:</w:t>
      </w:r>
    </w:p>
    <w:p w14:paraId="63F7B5D4" w14:textId="3A0C9C4A" w:rsidR="00550CF0" w:rsidRDefault="00550CF0" w:rsidP="00550CF0">
      <w:pPr>
        <w:widowControl w:val="0"/>
        <w:spacing w:before="0" w:after="0" w:line="360" w:lineRule="auto"/>
      </w:pPr>
      <w:r>
        <w:rPr>
          <w:b/>
          <w:bCs/>
        </w:rPr>
        <w:t>Nguyen, A.T.N</w:t>
      </w:r>
      <w:r>
        <w:t xml:space="preserve"> (2019), A Global Analysis of Factors Impacting the Intensive and Extensive Margins of Bilateral FDI, </w:t>
      </w:r>
      <w:r>
        <w:rPr>
          <w:i/>
          <w:iCs/>
        </w:rPr>
        <w:t>The World Economy</w:t>
      </w:r>
      <w:r>
        <w:t xml:space="preserve">, </w:t>
      </w:r>
      <w:r w:rsidR="0001538C" w:rsidRPr="0001538C">
        <w:t>42(9), p.2649–2667</w:t>
      </w:r>
      <w:bookmarkStart w:id="0" w:name="_GoBack"/>
      <w:bookmarkEnd w:id="0"/>
      <w:r>
        <w:t>.</w:t>
      </w:r>
    </w:p>
    <w:p w14:paraId="1E83A650" w14:textId="77777777" w:rsidR="00C310B0" w:rsidRPr="00C57A07" w:rsidRDefault="00C310B0" w:rsidP="00464218">
      <w:pPr>
        <w:widowControl w:val="0"/>
        <w:spacing w:before="0" w:after="0" w:line="240" w:lineRule="auto"/>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3"/>
        <w:gridCol w:w="7185"/>
        <w:gridCol w:w="1176"/>
      </w:tblGrid>
      <w:tr w:rsidR="00C310B0" w:rsidRPr="00C57A07" w14:paraId="74756444" w14:textId="77777777" w:rsidTr="002F33CA">
        <w:tc>
          <w:tcPr>
            <w:tcW w:w="278" w:type="pct"/>
          </w:tcPr>
          <w:p w14:paraId="70D78EE2" w14:textId="77777777" w:rsidR="00C310B0" w:rsidRPr="00C57A07" w:rsidRDefault="00C310B0" w:rsidP="002F33CA">
            <w:pPr>
              <w:widowControl w:val="0"/>
              <w:spacing w:before="240" w:after="240"/>
              <w:contextualSpacing/>
            </w:pPr>
          </w:p>
        </w:tc>
        <w:tc>
          <w:tcPr>
            <w:tcW w:w="4239" w:type="pct"/>
            <w:hideMark/>
          </w:tcPr>
          <w:p w14:paraId="189176DB" w14:textId="77777777" w:rsidR="00C310B0" w:rsidRPr="00C57A07" w:rsidRDefault="00C310B0" w:rsidP="002F33CA">
            <w:pPr>
              <w:widowControl w:val="0"/>
              <w:spacing w:before="240" w:after="240"/>
              <w:ind w:firstLine="0"/>
              <w:contextualSpacing/>
              <w:jc w:val="center"/>
              <w:rPr>
                <w:rFonts w:eastAsiaTheme="minorEastAsia"/>
                <w:sz w:val="20"/>
                <w:szCs w:val="20"/>
              </w:rPr>
            </w:pPr>
            <m:oMathPara>
              <m:oMathParaPr>
                <m:jc m:val="center"/>
              </m:oMathParaPr>
              <m:oMath>
                <m:r>
                  <w:rPr>
                    <w:rFonts w:ascii="Cambria Math" w:hAnsi="Cambria Math"/>
                    <w:sz w:val="20"/>
                    <w:szCs w:val="20"/>
                  </w:rPr>
                  <m:t xml:space="preserve">Common religion index= </m:t>
                </m:r>
                <m:f>
                  <m:fPr>
                    <m:ctrlPr>
                      <w:rPr>
                        <w:rFonts w:ascii="Cambria Math" w:hAnsi="Cambria Math"/>
                        <w:i/>
                        <w:sz w:val="20"/>
                        <w:szCs w:val="20"/>
                      </w:rPr>
                    </m:ctrlPr>
                  </m:fPr>
                  <m:num>
                    <m:nary>
                      <m:naryPr>
                        <m:chr m:val="∑"/>
                        <m:limLoc m:val="undOvr"/>
                        <m:supHide m:val="1"/>
                        <m:ctrlPr>
                          <w:rPr>
                            <w:rFonts w:ascii="Cambria Math" w:hAnsi="Cambria Math"/>
                            <w:i/>
                            <w:sz w:val="20"/>
                            <w:szCs w:val="20"/>
                          </w:rPr>
                        </m:ctrlPr>
                      </m:naryPr>
                      <m:sub>
                        <m:r>
                          <w:rPr>
                            <w:rFonts w:ascii="Cambria Math" w:hAnsi="Cambria Math"/>
                            <w:sz w:val="20"/>
                            <w:szCs w:val="20"/>
                          </w:rPr>
                          <m:t>k</m:t>
                        </m:r>
                      </m:sub>
                      <m:sup/>
                      <m:e>
                        <m:r>
                          <w:rPr>
                            <w:rFonts w:ascii="Cambria Math" w:hAnsi="Cambria Math"/>
                            <w:sz w:val="20"/>
                            <w:szCs w:val="20"/>
                          </w:rPr>
                          <m:t>% source religion k × % host religion k</m:t>
                        </m:r>
                      </m:e>
                    </m:nary>
                  </m:num>
                  <m:den>
                    <m:r>
                      <w:rPr>
                        <w:rFonts w:ascii="Cambria Math" w:hAnsi="Cambria Math"/>
                        <w:sz w:val="20"/>
                        <w:szCs w:val="20"/>
                      </w:rPr>
                      <m:t>100</m:t>
                    </m:r>
                  </m:den>
                </m:f>
              </m:oMath>
            </m:oMathPara>
          </w:p>
        </w:tc>
        <w:tc>
          <w:tcPr>
            <w:tcW w:w="483" w:type="pct"/>
            <w:hideMark/>
          </w:tcPr>
          <w:p w14:paraId="1F8961B0" w14:textId="789F141B" w:rsidR="00C310B0" w:rsidRPr="00C57A07" w:rsidRDefault="00C310B0" w:rsidP="002F33CA">
            <w:pPr>
              <w:widowControl w:val="0"/>
              <w:spacing w:before="240" w:after="240"/>
              <w:contextualSpacing/>
              <w:jc w:val="right"/>
            </w:pPr>
            <w:bookmarkStart w:id="1" w:name="Eq21"/>
            <w:r w:rsidRPr="00C57A07">
              <w:t>(</w:t>
            </w:r>
            <w:r w:rsidR="00AC77A1">
              <w:fldChar w:fldCharType="begin"/>
            </w:r>
            <w:r w:rsidR="00AC77A1">
              <w:instrText xml:space="preserve"> SE</w:instrText>
            </w:r>
            <w:r w:rsidR="00AC77A1">
              <w:instrText xml:space="preserve">Q Eq \* MERGEFORMAT </w:instrText>
            </w:r>
            <w:r w:rsidR="00AC77A1">
              <w:fldChar w:fldCharType="separate"/>
            </w:r>
            <w:r>
              <w:rPr>
                <w:noProof/>
              </w:rPr>
              <w:t>1</w:t>
            </w:r>
            <w:r w:rsidR="00AC77A1">
              <w:rPr>
                <w:noProof/>
              </w:rPr>
              <w:fldChar w:fldCharType="end"/>
            </w:r>
            <w:r w:rsidRPr="00C57A07">
              <w:t>)</w:t>
            </w:r>
            <w:bookmarkEnd w:id="1"/>
          </w:p>
        </w:tc>
      </w:tr>
    </w:tbl>
    <w:p w14:paraId="07232E7F" w14:textId="09D35569" w:rsidR="00550CF0" w:rsidRDefault="00550CF0" w:rsidP="00464218">
      <w:pPr>
        <w:widowControl w:val="0"/>
        <w:rPr>
          <w:lang w:val="en-US"/>
        </w:rPr>
      </w:pPr>
      <w:r>
        <w:t xml:space="preserve">with </w:t>
      </w:r>
      <w:r w:rsidRPr="00550CF0">
        <w:rPr>
          <w:i/>
          <w:iCs/>
        </w:rPr>
        <w:t>k</w:t>
      </w:r>
      <w:r>
        <w:t xml:space="preserve"> is any religion in the following list</w:t>
      </w:r>
      <w:r w:rsidR="00464218">
        <w:t xml:space="preserve">: </w:t>
      </w:r>
      <w:r w:rsidR="00464218" w:rsidRPr="00464218">
        <w:rPr>
          <w:lang w:val="en-US"/>
        </w:rPr>
        <w:t>Christianity,</w:t>
      </w:r>
      <w:r w:rsidR="00464218">
        <w:rPr>
          <w:lang w:val="en-US"/>
        </w:rPr>
        <w:t xml:space="preserve"> </w:t>
      </w:r>
      <w:r w:rsidR="00464218" w:rsidRPr="00464218">
        <w:rPr>
          <w:lang w:val="en-US"/>
        </w:rPr>
        <w:t>Buddhism,</w:t>
      </w:r>
      <w:r w:rsidR="00464218">
        <w:rPr>
          <w:lang w:val="en-US"/>
        </w:rPr>
        <w:t xml:space="preserve"> </w:t>
      </w:r>
      <w:r w:rsidR="00464218" w:rsidRPr="00464218">
        <w:rPr>
          <w:lang w:val="en-US"/>
        </w:rPr>
        <w:t>Hindu,</w:t>
      </w:r>
      <w:r w:rsidR="00464218">
        <w:rPr>
          <w:lang w:val="en-US"/>
        </w:rPr>
        <w:t xml:space="preserve"> </w:t>
      </w:r>
      <w:r w:rsidR="00464218" w:rsidRPr="00464218">
        <w:rPr>
          <w:lang w:val="en-US"/>
        </w:rPr>
        <w:t>Muslim,</w:t>
      </w:r>
      <w:r w:rsidR="00464218">
        <w:rPr>
          <w:lang w:val="en-US"/>
        </w:rPr>
        <w:t xml:space="preserve"> </w:t>
      </w:r>
      <w:r w:rsidR="00464218" w:rsidRPr="00464218">
        <w:rPr>
          <w:lang w:val="en-US"/>
        </w:rPr>
        <w:t xml:space="preserve">Jewish, </w:t>
      </w:r>
      <w:bookmarkStart w:id="2" w:name="_Hlk14026670"/>
      <w:r w:rsidR="00464218" w:rsidRPr="00464218">
        <w:rPr>
          <w:lang w:val="en-US"/>
        </w:rPr>
        <w:t>Agnostic atheism</w:t>
      </w:r>
      <w:bookmarkEnd w:id="2"/>
      <w:r w:rsidR="00464218" w:rsidRPr="00464218">
        <w:rPr>
          <w:lang w:val="en-US"/>
        </w:rPr>
        <w:t xml:space="preserve">, Animism, Bahai, Druze, Rastafari, Sikhism, </w:t>
      </w:r>
      <w:r w:rsidR="007A5ED4" w:rsidRPr="007A5ED4">
        <w:rPr>
          <w:lang w:val="en-US"/>
        </w:rPr>
        <w:t>Spiritualism</w:t>
      </w:r>
      <w:r w:rsidR="007A5ED4">
        <w:rPr>
          <w:lang w:val="en-US"/>
        </w:rPr>
        <w:t xml:space="preserve">, </w:t>
      </w:r>
      <w:r w:rsidR="00464218" w:rsidRPr="00464218">
        <w:rPr>
          <w:lang w:val="en-US"/>
        </w:rPr>
        <w:t>Taoism, Vodou</w:t>
      </w:r>
      <w:r w:rsidR="00464218">
        <w:rPr>
          <w:lang w:val="en-US"/>
        </w:rPr>
        <w:t>.</w:t>
      </w:r>
      <w:r w:rsidR="00C310B0">
        <w:rPr>
          <w:lang w:val="en-US"/>
        </w:rPr>
        <w:t xml:space="preserve"> </w:t>
      </w:r>
    </w:p>
    <w:p w14:paraId="547088A9" w14:textId="4AE16A80" w:rsidR="00E17A24" w:rsidRDefault="00550CF0" w:rsidP="00550CF0">
      <w:pPr>
        <w:widowControl w:val="0"/>
        <w:rPr>
          <w:lang w:val="en-US"/>
        </w:rPr>
      </w:pPr>
      <w:bookmarkStart w:id="3" w:name="_Hlk14026881"/>
      <w:r>
        <w:rPr>
          <w:lang w:val="en-US"/>
        </w:rPr>
        <w:t xml:space="preserve">Many religions are not included because they are specific to only one country such as </w:t>
      </w:r>
      <w:r w:rsidRPr="00464218">
        <w:rPr>
          <w:lang w:val="en-US"/>
        </w:rPr>
        <w:t>Shintoism</w:t>
      </w:r>
      <w:r>
        <w:rPr>
          <w:lang w:val="en-US"/>
        </w:rPr>
        <w:t xml:space="preserve"> (Japan), Hoa Hao &amp; Cao Dai (Vietnam), Bektashi (Albania), </w:t>
      </w:r>
      <w:r>
        <w:t>Chondogyo (North Korea),</w:t>
      </w:r>
      <w:r>
        <w:rPr>
          <w:lang w:val="en-US"/>
        </w:rPr>
        <w:t xml:space="preserve"> etc.</w:t>
      </w:r>
      <w:bookmarkEnd w:id="3"/>
      <w:r>
        <w:rPr>
          <w:lang w:val="en-US"/>
        </w:rPr>
        <w:t xml:space="preserve"> </w:t>
      </w:r>
    </w:p>
    <w:p w14:paraId="04B6829B" w14:textId="6413A376" w:rsidR="00550CF0" w:rsidRDefault="00550CF0" w:rsidP="00550CF0">
      <w:pPr>
        <w:widowControl w:val="0"/>
      </w:pPr>
      <w:r w:rsidRPr="00550CF0">
        <w:t xml:space="preserve">Equation </w:t>
      </w:r>
      <w:r w:rsidRPr="00550CF0">
        <w:fldChar w:fldCharType="begin"/>
      </w:r>
      <w:r w:rsidRPr="00550CF0">
        <w:instrText xml:space="preserve"> REF Eq21 \h  \* MERGEFORMAT </w:instrText>
      </w:r>
      <w:r w:rsidRPr="00550CF0">
        <w:fldChar w:fldCharType="separate"/>
      </w:r>
      <w:r w:rsidRPr="00550CF0">
        <w:t>(1)</w:t>
      </w:r>
      <w:r w:rsidRPr="00550CF0">
        <w:fldChar w:fldCharType="end"/>
      </w:r>
      <w:r w:rsidRPr="00550CF0">
        <w:t xml:space="preserve"> captures all possible common religion pair that I can construct from the CIA World Factbook data but it does not come without costs. Text data on religion from the CIA World Factbook are, in fact, very disorganized, incomplete, and lack precise information. Unspecified data present across numerous countries. In many</w:t>
      </w:r>
      <w:r w:rsidRPr="00C57A07">
        <w:t xml:space="preserve"> cases they provide the total percentage of the population following a number of religions but not each separate religion. In these cases, I have to equally divide the total percentage to each religion in the list if the total percentage is less than 5%. In other cases, I have to manually collect and update the data for each religion in some countries from other sources such as Wikipedia with the condition that the information from Wikipedia comes with clear reliable references.</w:t>
      </w:r>
      <w:r>
        <w:t xml:space="preserve"> This process</w:t>
      </w:r>
      <w:r w:rsidRPr="00C57A07">
        <w:t xml:space="preserve"> is time-consuming and may explain why the other studies follow the more restrictive Helpman religion index</w:t>
      </w:r>
      <w:r>
        <w:rPr>
          <w:rStyle w:val="FootnoteReference"/>
        </w:rPr>
        <w:footnoteReference w:id="1"/>
      </w:r>
      <w:r>
        <w:t xml:space="preserve"> which considers only 3 common religions: </w:t>
      </w:r>
      <w:r>
        <w:lastRenderedPageBreak/>
        <w:t>Muslim, Catholic, Protestant.</w:t>
      </w:r>
    </w:p>
    <w:p w14:paraId="7586DA78" w14:textId="1EF0648D" w:rsidR="00550CF0" w:rsidRPr="00C57A07" w:rsidRDefault="00550CF0" w:rsidP="00550CF0">
      <w:pPr>
        <w:widowControl w:val="0"/>
      </w:pPr>
      <w:r w:rsidRPr="00C57A07">
        <w:t>Due to the imprecision</w:t>
      </w:r>
      <w:r>
        <w:t xml:space="preserve"> </w:t>
      </w:r>
      <w:r w:rsidRPr="00C57A07">
        <w:t xml:space="preserve">in religion data, the level of accuracy of this index has the potential for future improvement. The final dataset for a common religion index contains data for all </w:t>
      </w:r>
      <w:r>
        <w:t>44,310</w:t>
      </w:r>
      <w:r w:rsidRPr="00C57A07">
        <w:t xml:space="preserve"> possible pairs between 21</w:t>
      </w:r>
      <w:r>
        <w:t>1</w:t>
      </w:r>
      <w:r w:rsidRPr="00C57A07">
        <w:t xml:space="preserve"> countries worldwide.</w:t>
      </w:r>
    </w:p>
    <w:p w14:paraId="149E2648" w14:textId="5620034F" w:rsidR="00464218" w:rsidRDefault="00550CF0" w:rsidP="0073673D">
      <w:pPr>
        <w:widowControl w:val="0"/>
        <w:rPr>
          <w:lang w:val="en-US"/>
        </w:rPr>
      </w:pPr>
      <w:r>
        <w:rPr>
          <w:lang w:val="en-US"/>
        </w:rPr>
        <w:t xml:space="preserve">Note: </w:t>
      </w:r>
      <w:r w:rsidR="00464218">
        <w:rPr>
          <w:lang w:val="en-US"/>
        </w:rPr>
        <w:t xml:space="preserve">In my </w:t>
      </w:r>
      <w:r w:rsidR="00295A89">
        <w:rPr>
          <w:lang w:val="en-US"/>
        </w:rPr>
        <w:t xml:space="preserve">original </w:t>
      </w:r>
      <w:r w:rsidR="00464218">
        <w:rPr>
          <w:lang w:val="en-US"/>
        </w:rPr>
        <w:t>paper</w:t>
      </w:r>
      <w:r w:rsidR="00C310B0">
        <w:rPr>
          <w:lang w:val="en-US"/>
        </w:rPr>
        <w:t>,</w:t>
      </w:r>
      <w:r w:rsidR="00464218">
        <w:rPr>
          <w:lang w:val="en-US"/>
        </w:rPr>
        <w:t xml:space="preserve"> Nguyen (2019), I separate Christianity into Protestant and </w:t>
      </w:r>
      <w:r w:rsidR="00295A89">
        <w:rPr>
          <w:lang w:val="en-US"/>
        </w:rPr>
        <w:t>Catholic,</w:t>
      </w:r>
      <w:r w:rsidR="00464218">
        <w:rPr>
          <w:lang w:val="en-US"/>
        </w:rPr>
        <w:t xml:space="preserve"> but that practice missed many other brands of Christianity such as Christian Orthodox, Eastern Orthodox, </w:t>
      </w:r>
      <w:r w:rsidR="0073673D" w:rsidRPr="0073673D">
        <w:rPr>
          <w:lang w:val="en-US"/>
        </w:rPr>
        <w:t>Jehovah's Witness</w:t>
      </w:r>
      <w:r>
        <w:rPr>
          <w:lang w:val="en-US"/>
        </w:rPr>
        <w:t xml:space="preserve">, </w:t>
      </w:r>
      <w:r w:rsidR="00464218">
        <w:rPr>
          <w:lang w:val="en-US"/>
        </w:rPr>
        <w:t xml:space="preserve">Greek Orthodox, etc. </w:t>
      </w:r>
      <w:r>
        <w:rPr>
          <w:lang w:val="en-US"/>
        </w:rPr>
        <w:t xml:space="preserve">Therefore, in this updated version, I include the more general religion (Christianity) in the list. </w:t>
      </w:r>
      <w:r w:rsidR="00464218">
        <w:rPr>
          <w:lang w:val="en-US"/>
        </w:rPr>
        <w:t>However, if you use th</w:t>
      </w:r>
      <w:r w:rsidR="00295A89">
        <w:rPr>
          <w:lang w:val="en-US"/>
        </w:rPr>
        <w:t>e</w:t>
      </w:r>
      <w:r w:rsidR="00464218">
        <w:rPr>
          <w:lang w:val="en-US"/>
        </w:rPr>
        <w:t xml:space="preserve"> index for your research, please cite </w:t>
      </w:r>
      <w:r>
        <w:rPr>
          <w:lang w:val="en-US"/>
        </w:rPr>
        <w:t xml:space="preserve">Nguyen (2019) </w:t>
      </w:r>
      <w:r w:rsidR="00464218">
        <w:rPr>
          <w:lang w:val="en-US"/>
        </w:rPr>
        <w:t xml:space="preserve">as </w:t>
      </w:r>
      <w:r w:rsidR="00755585">
        <w:rPr>
          <w:lang w:val="en-US"/>
        </w:rPr>
        <w:t>this</w:t>
      </w:r>
      <w:r w:rsidR="00464218">
        <w:rPr>
          <w:lang w:val="en-US"/>
        </w:rPr>
        <w:t xml:space="preserve"> is </w:t>
      </w:r>
      <w:r>
        <w:rPr>
          <w:lang w:val="en-US"/>
        </w:rPr>
        <w:t xml:space="preserve">the paper </w:t>
      </w:r>
      <w:r w:rsidR="00464218">
        <w:rPr>
          <w:lang w:val="en-US"/>
        </w:rPr>
        <w:t xml:space="preserve">where I start </w:t>
      </w:r>
      <w:r w:rsidR="005F4CC0">
        <w:rPr>
          <w:lang w:val="en-US"/>
        </w:rPr>
        <w:t xml:space="preserve">collecting data and </w:t>
      </w:r>
      <w:r w:rsidR="00464218">
        <w:rPr>
          <w:lang w:val="en-US"/>
        </w:rPr>
        <w:t>constructing this index.</w:t>
      </w:r>
    </w:p>
    <w:p w14:paraId="02731A02" w14:textId="1F6DD68C" w:rsidR="00464218" w:rsidRDefault="00464218" w:rsidP="00464218">
      <w:pPr>
        <w:widowControl w:val="0"/>
        <w:rPr>
          <w:lang w:val="en-US"/>
        </w:rPr>
      </w:pPr>
      <w:r>
        <w:rPr>
          <w:lang w:val="en-US"/>
        </w:rPr>
        <w:t xml:space="preserve"> </w:t>
      </w:r>
    </w:p>
    <w:p w14:paraId="1F425DFF" w14:textId="77777777" w:rsidR="00464218" w:rsidRDefault="00464218" w:rsidP="00464218">
      <w:pPr>
        <w:widowControl w:val="0"/>
        <w:rPr>
          <w:lang w:val="en-US"/>
        </w:rPr>
      </w:pPr>
    </w:p>
    <w:p w14:paraId="7C4A75EC" w14:textId="77777777" w:rsidR="00464218" w:rsidRPr="00464218" w:rsidRDefault="00464218" w:rsidP="00464218">
      <w:pPr>
        <w:widowControl w:val="0"/>
      </w:pPr>
    </w:p>
    <w:sectPr w:rsidR="00464218" w:rsidRPr="00464218" w:rsidSect="00D2122D">
      <w:pgSz w:w="11906" w:h="16838" w:code="9"/>
      <w:pgMar w:top="1418" w:right="1418" w:bottom="1418" w:left="1814" w:header="680" w:footer="68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2B8238" w14:textId="77777777" w:rsidR="00AC77A1" w:rsidRDefault="00AC77A1" w:rsidP="00755585">
      <w:pPr>
        <w:spacing w:before="0" w:after="0" w:line="240" w:lineRule="auto"/>
      </w:pPr>
      <w:r>
        <w:separator/>
      </w:r>
    </w:p>
  </w:endnote>
  <w:endnote w:type="continuationSeparator" w:id="0">
    <w:p w14:paraId="756FFCBF" w14:textId="77777777" w:rsidR="00AC77A1" w:rsidRDefault="00AC77A1" w:rsidP="0075558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2564B1" w14:textId="77777777" w:rsidR="00AC77A1" w:rsidRDefault="00AC77A1" w:rsidP="00755585">
      <w:pPr>
        <w:spacing w:before="0" w:after="0" w:line="240" w:lineRule="auto"/>
      </w:pPr>
      <w:r>
        <w:separator/>
      </w:r>
    </w:p>
  </w:footnote>
  <w:footnote w:type="continuationSeparator" w:id="0">
    <w:p w14:paraId="2D99D6C2" w14:textId="77777777" w:rsidR="00AC77A1" w:rsidRDefault="00AC77A1" w:rsidP="00755585">
      <w:pPr>
        <w:spacing w:before="0" w:after="0" w:line="240" w:lineRule="auto"/>
      </w:pPr>
      <w:r>
        <w:continuationSeparator/>
      </w:r>
    </w:p>
  </w:footnote>
  <w:footnote w:id="1">
    <w:p w14:paraId="4E2E98CB" w14:textId="77777777" w:rsidR="00550CF0" w:rsidRPr="00550CF0" w:rsidRDefault="00550CF0" w:rsidP="00550CF0">
      <w:pPr>
        <w:pStyle w:val="FootnoteText"/>
        <w:rPr>
          <w:lang w:val="en-US"/>
        </w:rPr>
      </w:pPr>
      <w:r>
        <w:rPr>
          <w:rStyle w:val="FootnoteReference"/>
        </w:rPr>
        <w:footnoteRef/>
      </w:r>
      <w:r>
        <w:t xml:space="preserve"> </w:t>
      </w:r>
      <w:r w:rsidRPr="00550CF0">
        <w:rPr>
          <w:lang w:val="en-US"/>
        </w:rPr>
        <w:t xml:space="preserve">Helpman, E., Melitz, M., &amp; Rubinstein, Y. (2008). Estimating Trade Flows: Trading Partners and Trading Volumes. </w:t>
      </w:r>
      <w:r w:rsidRPr="00550CF0">
        <w:rPr>
          <w:i/>
          <w:lang w:val="en-US"/>
        </w:rPr>
        <w:t>The Quarterly Journal of Economics, 123</w:t>
      </w:r>
      <w:r w:rsidRPr="00550CF0">
        <w:rPr>
          <w:lang w:val="en-US"/>
        </w:rPr>
        <w:t>, 441-487.</w:t>
      </w:r>
    </w:p>
    <w:p w14:paraId="6072C04E" w14:textId="4AB4021D" w:rsidR="00550CF0" w:rsidRPr="00550CF0" w:rsidRDefault="00550CF0">
      <w:pPr>
        <w:pStyle w:val="FootnoteText"/>
        <w:rPr>
          <w:lang w:val="en-US"/>
        </w:rPr>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mirrorMargins/>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7DCB"/>
    <w:rsid w:val="0001538C"/>
    <w:rsid w:val="00213B89"/>
    <w:rsid w:val="00266F07"/>
    <w:rsid w:val="00295A89"/>
    <w:rsid w:val="0036743F"/>
    <w:rsid w:val="00367DCB"/>
    <w:rsid w:val="00464218"/>
    <w:rsid w:val="00550CF0"/>
    <w:rsid w:val="005E6649"/>
    <w:rsid w:val="005F4CC0"/>
    <w:rsid w:val="00640BA8"/>
    <w:rsid w:val="007062DA"/>
    <w:rsid w:val="0073673D"/>
    <w:rsid w:val="00755585"/>
    <w:rsid w:val="00787CC7"/>
    <w:rsid w:val="007A5ED4"/>
    <w:rsid w:val="009A2E2D"/>
    <w:rsid w:val="009E56CD"/>
    <w:rsid w:val="00A5159F"/>
    <w:rsid w:val="00A738D6"/>
    <w:rsid w:val="00AC77A1"/>
    <w:rsid w:val="00C310B0"/>
    <w:rsid w:val="00CA2BE6"/>
    <w:rsid w:val="00D2122D"/>
    <w:rsid w:val="00E17A24"/>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B0C87"/>
  <w15:chartTrackingRefBased/>
  <w15:docId w15:val="{61B6EBB7-6DA2-4575-89A0-5EFB5A9B7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NZ" w:eastAsia="en-US" w:bidi="ar-SA"/>
      </w:rPr>
    </w:rPrDefault>
    <w:pPrDefault>
      <w:pPr>
        <w:spacing w:before="200" w:after="200"/>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4218"/>
    <w:pPr>
      <w:spacing w:line="480" w:lineRule="auto"/>
      <w:ind w:firstLine="68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64218"/>
    <w:pPr>
      <w:ind w:firstLine="680"/>
      <w:jc w:val="both"/>
    </w:pPr>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unhideWhenUsed/>
    <w:rsid w:val="00755585"/>
    <w:pPr>
      <w:spacing w:before="0" w:after="0" w:line="240" w:lineRule="auto"/>
    </w:pPr>
    <w:rPr>
      <w:sz w:val="20"/>
      <w:szCs w:val="20"/>
    </w:rPr>
  </w:style>
  <w:style w:type="character" w:customStyle="1" w:styleId="FootnoteTextChar">
    <w:name w:val="Footnote Text Char"/>
    <w:basedOn w:val="DefaultParagraphFont"/>
    <w:link w:val="FootnoteText"/>
    <w:uiPriority w:val="99"/>
    <w:rsid w:val="00755585"/>
    <w:rPr>
      <w:sz w:val="20"/>
      <w:szCs w:val="20"/>
    </w:rPr>
  </w:style>
  <w:style w:type="character" w:styleId="FootnoteReference">
    <w:name w:val="footnote reference"/>
    <w:basedOn w:val="DefaultParagraphFont"/>
    <w:uiPriority w:val="99"/>
    <w:semiHidden/>
    <w:unhideWhenUsed/>
    <w:rsid w:val="00755585"/>
    <w:rPr>
      <w:vertAlign w:val="superscript"/>
    </w:rPr>
  </w:style>
  <w:style w:type="character" w:styleId="Hyperlink">
    <w:name w:val="Hyperlink"/>
    <w:basedOn w:val="DefaultParagraphFont"/>
    <w:uiPriority w:val="99"/>
    <w:unhideWhenUsed/>
    <w:rsid w:val="00755585"/>
    <w:rPr>
      <w:color w:val="0563C1" w:themeColor="hyperlink"/>
      <w:u w:val="single"/>
    </w:rPr>
  </w:style>
  <w:style w:type="character" w:styleId="UnresolvedMention">
    <w:name w:val="Unresolved Mention"/>
    <w:basedOn w:val="DefaultParagraphFont"/>
    <w:uiPriority w:val="99"/>
    <w:semiHidden/>
    <w:unhideWhenUsed/>
    <w:rsid w:val="007555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1355822">
      <w:bodyDiv w:val="1"/>
      <w:marLeft w:val="0"/>
      <w:marRight w:val="0"/>
      <w:marTop w:val="0"/>
      <w:marBottom w:val="0"/>
      <w:divBdr>
        <w:top w:val="none" w:sz="0" w:space="0" w:color="auto"/>
        <w:left w:val="none" w:sz="0" w:space="0" w:color="auto"/>
        <w:bottom w:val="none" w:sz="0" w:space="0" w:color="auto"/>
        <w:right w:val="none" w:sz="0" w:space="0" w:color="auto"/>
      </w:divBdr>
    </w:div>
    <w:div w:id="1751539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ED8E6D-CA7E-4854-9B63-00217B564D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229</TotalTime>
  <Pages>2</Pages>
  <Words>381</Words>
  <Characters>2173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Thi Ngoc Anh</dc:creator>
  <cp:keywords/>
  <dc:description/>
  <cp:lastModifiedBy>Nguyen Thi Ngoc Anh</cp:lastModifiedBy>
  <cp:revision>7</cp:revision>
  <dcterms:created xsi:type="dcterms:W3CDTF">2019-07-13T09:15:00Z</dcterms:created>
  <dcterms:modified xsi:type="dcterms:W3CDTF">2019-11-02T05:32:00Z</dcterms:modified>
</cp:coreProperties>
</file>