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F2F" w:rsidRPr="00E6375C" w:rsidRDefault="00517F2F" w:rsidP="00E52DC3">
      <w:pPr>
        <w:jc w:val="center"/>
        <w:rPr>
          <w:b/>
        </w:rPr>
      </w:pPr>
      <w:r w:rsidRPr="00E6375C">
        <w:rPr>
          <w:b/>
        </w:rPr>
        <w:t>Online Appendix</w:t>
      </w:r>
      <w:r w:rsidR="00E52DC3" w:rsidRPr="00E6375C">
        <w:rPr>
          <w:b/>
        </w:rPr>
        <w:t xml:space="preserve"> for the Paper “A Global Analysis of Factors Impacting the Intensive and Extensive Margins of Bilateral FDI”</w:t>
      </w:r>
    </w:p>
    <w:p w:rsidR="00517F2F" w:rsidRPr="00E6375C" w:rsidRDefault="00517F2F" w:rsidP="00A74EA5">
      <w:pPr>
        <w:spacing w:after="240"/>
        <w:jc w:val="both"/>
      </w:pPr>
      <w:r w:rsidRPr="00E6375C">
        <w:t>As emphas</w:t>
      </w:r>
      <w:r w:rsidR="004E2846" w:rsidRPr="00E6375C">
        <w:t>ise</w:t>
      </w:r>
      <w:r w:rsidRPr="00E6375C">
        <w:t xml:space="preserve">d in </w:t>
      </w:r>
      <w:r w:rsidR="00AD7550" w:rsidRPr="00E6375C">
        <w:fldChar w:fldCharType="begin"/>
      </w:r>
      <w:r w:rsidR="00AD7550" w:rsidRPr="00E6375C">
        <w:instrText xml:space="preserve"> ADDIN EN.CITE &lt;EndNote&gt;&lt;Cite AuthorYear="1"&gt;&lt;Author&gt;Gujarati&lt;/Author&gt;&lt;Year&gt;2009&lt;/Year&gt;&lt;RecNum&gt;161&lt;/RecNum&gt;&lt;Pages&gt;30&lt;/Pages&gt;&lt;DisplayText&gt;Gujarati and Porter (2009, p. 30)&lt;/DisplayText&gt;&lt;record&gt;&lt;rec-number&gt;161&lt;/rec-number&gt;&lt;foreign-keys&gt;&lt;key app="EN" db-id="fx0srvwzktwrpse5rpz5pda3vf5vr952vza2" timestamp="1508710688"&gt;161&lt;/key&gt;&lt;/foreign-keys&gt;&lt;ref-type name="Book"&gt;6&lt;/ref-type&gt;&lt;contributors&gt;&lt;authors&gt;&lt;author&gt;Gujarati, D.N.&lt;/author&gt;&lt;author&gt;Porter, D.C.&lt;/author&gt;&lt;/authors&gt;&lt;/contributors&gt;&lt;titles&gt;&lt;title&gt;Basic Econometrics&lt;/title&gt;&lt;/titles&gt;&lt;edition&gt;5&lt;/edition&gt;&lt;section&gt;30&lt;/section&gt;&lt;dates&gt;&lt;year&gt;2009&lt;/year&gt;&lt;/dates&gt;&lt;pub-location&gt;New York&lt;/pub-location&gt;&lt;publisher&gt;McGraw-Hill Irwin&lt;/publisher&gt;&lt;isbn&gt;9780071276252&lt;/isbn&gt;&lt;urls&gt;&lt;related-urls&gt;&lt;url&gt;https://books.google.co.nz/books?id=6l1CPgAACAAJ&lt;/url&gt;&lt;/related-urls&gt;&lt;/urls&gt;&lt;/record&gt;&lt;/Cite&gt;&lt;/EndNote&gt;</w:instrText>
      </w:r>
      <w:r w:rsidR="00AD7550" w:rsidRPr="00E6375C">
        <w:fldChar w:fldCharType="separate"/>
      </w:r>
      <w:r w:rsidR="00AD7550" w:rsidRPr="00E6375C">
        <w:rPr>
          <w:noProof/>
        </w:rPr>
        <w:t>Gujarati and Porter (2009, p. 30)</w:t>
      </w:r>
      <w:r w:rsidR="00AD7550" w:rsidRPr="00E6375C">
        <w:fldChar w:fldCharType="end"/>
      </w:r>
      <w:r w:rsidRPr="00E6375C">
        <w:t xml:space="preserve"> “the researcher should always keep in mind that the results of research are only as good as the quality of the data</w:t>
      </w:r>
      <w:r w:rsidR="00AD7550" w:rsidRPr="00E6375C">
        <w:t>”</w:t>
      </w:r>
      <w:r w:rsidRPr="00E6375C">
        <w:rPr>
          <w:i/>
        </w:rPr>
        <w:t xml:space="preserve">. </w:t>
      </w:r>
      <w:r w:rsidRPr="00E6375C">
        <w:t>Data series that particularly requir</w:t>
      </w:r>
      <w:r w:rsidR="005A0A8A" w:rsidRPr="00E6375C">
        <w:t>e</w:t>
      </w:r>
      <w:r w:rsidRPr="00E6375C">
        <w:t xml:space="preserve"> more assessment are bilateral </w:t>
      </w:r>
      <w:r w:rsidR="00513D6B" w:rsidRPr="00E6375C">
        <w:t>FDI, bilateral investment treaties</w:t>
      </w:r>
      <w:r w:rsidR="00F67C3A" w:rsidRPr="00E6375C">
        <w:t xml:space="preserve"> (BIT</w:t>
      </w:r>
      <w:r w:rsidR="00513D6B" w:rsidRPr="00E6375C">
        <w:t>s</w:t>
      </w:r>
      <w:r w:rsidR="00F67C3A" w:rsidRPr="00E6375C">
        <w:t>)</w:t>
      </w:r>
      <w:r w:rsidRPr="00E6375C">
        <w:t xml:space="preserve">, common religion and common legal origin. </w:t>
      </w:r>
      <w:r w:rsidR="00A74EA5" w:rsidRPr="00E6375C">
        <w:t>Data and Stata codes are available on request.</w:t>
      </w:r>
      <w:r w:rsidR="006B16FA" w:rsidRPr="00E6375C">
        <w:rPr>
          <w:rStyle w:val="FootnoteReference"/>
        </w:rPr>
        <w:footnoteReference w:id="1"/>
      </w:r>
    </w:p>
    <w:p w:rsidR="005A0A8A" w:rsidRPr="00E6375C" w:rsidRDefault="005A0A8A" w:rsidP="005A0A8A">
      <w:pPr>
        <w:pStyle w:val="ListParagraph"/>
        <w:numPr>
          <w:ilvl w:val="0"/>
          <w:numId w:val="13"/>
        </w:numPr>
        <w:rPr>
          <w:b/>
        </w:rPr>
      </w:pPr>
      <w:r w:rsidRPr="00E6375C">
        <w:rPr>
          <w:b/>
        </w:rPr>
        <w:t>Country List</w:t>
      </w:r>
    </w:p>
    <w:p w:rsidR="00617740" w:rsidRPr="00E6375C" w:rsidRDefault="00617740" w:rsidP="005A0A8A">
      <w:pPr>
        <w:jc w:val="both"/>
      </w:pPr>
      <w:r w:rsidRPr="00E6375C">
        <w:t xml:space="preserve">In the scope of this research, developed countries (DCs) are countries in the </w:t>
      </w:r>
      <w:proofErr w:type="gramStart"/>
      <w:r w:rsidRPr="00E6375C">
        <w:t>high income</w:t>
      </w:r>
      <w:proofErr w:type="gramEnd"/>
      <w:r w:rsidRPr="00E6375C">
        <w:t xml:space="preserve"> bracket according to the World Bank’s 2008 data on global income groups. The rest of the world is considered less developed countries (LDCs). </w:t>
      </w:r>
    </w:p>
    <w:p w:rsidR="005A0A8A" w:rsidRPr="00E6375C" w:rsidRDefault="005A0A8A" w:rsidP="005A0A8A">
      <w:pPr>
        <w:jc w:val="both"/>
      </w:pPr>
      <w:r w:rsidRPr="00E6375C">
        <w:t>43 DCs: Australia, Austria, Bahamas, Bahrain, Barbados, Belgium, Canada, Croatia, Cyprus, Czech Republic, Denmark, Estonia, Finland, France, Germany, Greece, Hong Kong, Hungary, Iceland, Ireland, Israel, Italy, Japan, South Korea, Kuwait, Luxembourg, Malta, Netherlands, New Zealand, Norway, Oman, Portugal, Qatar, Saudi Arabia, Singapore, Slovak Republic, Slovenia, Spain, Sweden, Switzerland, Trinidad and Tobago, United Kingdom, United States.</w:t>
      </w:r>
    </w:p>
    <w:p w:rsidR="005A0A8A" w:rsidRPr="00E6375C" w:rsidRDefault="005A0A8A" w:rsidP="005A0A8A">
      <w:pPr>
        <w:jc w:val="both"/>
      </w:pPr>
      <w:r w:rsidRPr="00E6375C">
        <w:t>67 LDCs: Argentina, Armenia, Azerbaijan, Belarus, Benin, Bolivia, Bosnia &amp; Herzegovina, Botswana, Brazil, Bulgaria, Burkina Faso, Cameroon, Chile, China, Colombia, Costa Rica, Cote d'Ivoire, Dominican Republic, Ecuador, Egypt, Fiji, Gabon, Georgia, Guatemala, Guinea, Honduras, India, Indonesia, Iran, Iraq, Jamaica, Jordan, Kazakhstan, Kenya, Kyrgyz Republic, Latvia, Lebanon, Lithuania, Malaysia, Mauritius, Mexico, Moldova, Mongolia, Morocco, Mozambique, Namibia, Nicaragua, Nigeria, Panama, Paraguay, Peru, Philippines, Poland, Russian Federation, Rwanda, Senegal, South Africa, Sri Lanka, Swaziland, Tanzania, Thailand, Tunisia, Turkey, Ukraine, Uruguay, Venezuela, Zimbabwe.</w:t>
      </w:r>
    </w:p>
    <w:p w:rsidR="00517F2F" w:rsidRPr="00E6375C" w:rsidRDefault="00517F2F" w:rsidP="00517F2F">
      <w:pPr>
        <w:pStyle w:val="ListParagraph"/>
        <w:numPr>
          <w:ilvl w:val="0"/>
          <w:numId w:val="13"/>
        </w:numPr>
        <w:rPr>
          <w:b/>
        </w:rPr>
      </w:pPr>
      <w:r w:rsidRPr="00E6375C">
        <w:rPr>
          <w:b/>
        </w:rPr>
        <w:t>Bilateral FDI Data</w:t>
      </w:r>
    </w:p>
    <w:p w:rsidR="00517F2F" w:rsidRPr="00E6375C" w:rsidRDefault="00D01F6B" w:rsidP="00517F2F">
      <w:pPr>
        <w:pStyle w:val="ListParagraph"/>
        <w:numPr>
          <w:ilvl w:val="1"/>
          <w:numId w:val="13"/>
        </w:numPr>
        <w:spacing w:after="240"/>
        <w:jc w:val="both"/>
        <w:rPr>
          <w:b/>
        </w:rPr>
      </w:pPr>
      <w:r w:rsidRPr="00E6375C">
        <w:rPr>
          <w:b/>
        </w:rPr>
        <w:t xml:space="preserve"> </w:t>
      </w:r>
      <w:r w:rsidR="00517F2F" w:rsidRPr="00E6375C">
        <w:rPr>
          <w:b/>
        </w:rPr>
        <w:t>Overview of the Database</w:t>
      </w:r>
    </w:p>
    <w:p w:rsidR="00517F2F" w:rsidRPr="00E6375C" w:rsidRDefault="00517F2F" w:rsidP="00517F2F">
      <w:pPr>
        <w:spacing w:after="240"/>
        <w:jc w:val="both"/>
      </w:pPr>
      <w:r w:rsidRPr="00E6375C">
        <w:t>The two most popular databases for time-series bilateral FDI are UNCTAD (United Nations Conference on Trade and Development) and the OECD (Organisation for Economic Co-operation and Development). While UNCTAD provides bilateral FDI data for 206 co</w:t>
      </w:r>
      <w:r w:rsidR="005A0A8A" w:rsidRPr="00E6375C">
        <w:t xml:space="preserve">untries </w:t>
      </w:r>
      <w:r w:rsidR="005A0A8A" w:rsidRPr="00E6375C">
        <w:lastRenderedPageBreak/>
        <w:t xml:space="preserve">in the world, the OECD </w:t>
      </w:r>
      <w:r w:rsidRPr="00E6375C">
        <w:t xml:space="preserve">reports data </w:t>
      </w:r>
      <w:r w:rsidR="005A0A8A" w:rsidRPr="00E6375C">
        <w:t xml:space="preserve">only </w:t>
      </w:r>
      <w:r w:rsidRPr="00E6375C">
        <w:t xml:space="preserve">for its 35 members. Therefore, the OECD database does </w:t>
      </w:r>
      <w:r w:rsidR="002F734E" w:rsidRPr="00E6375C">
        <w:t xml:space="preserve">not </w:t>
      </w:r>
      <w:r w:rsidR="00D26A17" w:rsidRPr="00E6375C">
        <w:t>capture</w:t>
      </w:r>
      <w:r w:rsidR="003D3E4B" w:rsidRPr="00E6375C">
        <w:t xml:space="preserve"> </w:t>
      </w:r>
      <w:r w:rsidRPr="00E6375C">
        <w:t>FDI between non-</w:t>
      </w:r>
      <w:r w:rsidR="00D26A17" w:rsidRPr="00E6375C">
        <w:t xml:space="preserve">member </w:t>
      </w:r>
      <w:proofErr w:type="gramStart"/>
      <w:r w:rsidR="00D26A17" w:rsidRPr="00E6375C">
        <w:t>countries</w:t>
      </w:r>
      <w:proofErr w:type="gramEnd"/>
      <w:r w:rsidR="003D3E4B" w:rsidRPr="00E6375C">
        <w:t xml:space="preserve"> but </w:t>
      </w:r>
      <w:r w:rsidR="0006010C" w:rsidRPr="00E6375C">
        <w:t>this is</w:t>
      </w:r>
      <w:r w:rsidR="003D3E4B" w:rsidRPr="00E6375C">
        <w:t xml:space="preserve"> still</w:t>
      </w:r>
      <w:r w:rsidRPr="00E6375C">
        <w:t xml:space="preserve"> a useful source</w:t>
      </w:r>
      <w:r w:rsidR="003D3E4B" w:rsidRPr="00E6375C">
        <w:t xml:space="preserve"> </w:t>
      </w:r>
      <w:r w:rsidRPr="00E6375C">
        <w:t>to compare with UNCTAD and to assess data quality in gene</w:t>
      </w:r>
      <w:r w:rsidR="0006010C" w:rsidRPr="00E6375C">
        <w:t xml:space="preserve">ral. </w:t>
      </w:r>
      <w:r w:rsidRPr="00E6375C">
        <w:t xml:space="preserve">UNCTAD </w:t>
      </w:r>
      <w:r w:rsidR="0006010C" w:rsidRPr="00E6375C">
        <w:t>has</w:t>
      </w:r>
      <w:r w:rsidRPr="00E6375C">
        <w:t xml:space="preserve"> the biggest database for bilateral FDI</w:t>
      </w:r>
      <w:r w:rsidR="009F58A3" w:rsidRPr="00E6375C">
        <w:t xml:space="preserve"> and has been employed in various studies such as</w:t>
      </w:r>
      <w:r w:rsidR="00617740" w:rsidRPr="00E6375C">
        <w:t xml:space="preserve"> </w:t>
      </w:r>
      <w:r w:rsidR="00617740" w:rsidRPr="00E6375C">
        <w:fldChar w:fldCharType="begin"/>
      </w:r>
      <w:r w:rsidR="00617740" w:rsidRPr="00E6375C">
        <w:instrText xml:space="preserve"> ADDIN EN.CITE &lt;EndNote&gt;&lt;Cite AuthorYear="1"&gt;&lt;Author&gt;Bergstrand&lt;/Author&gt;&lt;Year&gt;2007&lt;/Year&gt;&lt;RecNum&gt;183&lt;/RecNum&gt;&lt;DisplayText&gt;Bergstrand and Egger (2007)&lt;/DisplayText&gt;&lt;record&gt;&lt;rec-number&gt;183&lt;/rec-number&gt;&lt;foreign-keys&gt;&lt;key app="EN" db-id="fx0srvwzktwrpse5rpz5pda3vf5vr952vza2" timestamp="1508710740"&gt;183&lt;/key&gt;&lt;key app="ENWeb" db-id=""&gt;0&lt;/key&gt;&lt;/foreign-keys&gt;&lt;ref-type name="Journal Article"&gt;17&lt;/ref-type&gt;&lt;contributors&gt;&lt;authors&gt;&lt;author&gt;Bergstrand, Jeffrey H.&lt;/author&gt;&lt;author&gt;Egger, Peter&lt;/author&gt;&lt;/authors&gt;&lt;/contributors&gt;&lt;titles&gt;&lt;title&gt;A Knowledge-and-Physical-Capital Model of International Trade Flows, Foreign Direct Investment, and Multinational Enterprises&lt;/title&gt;&lt;secondary-title&gt;Journal of International Economics&lt;/secondary-title&gt;&lt;tertiary-title&gt;Journal of International Economics&lt;/tertiary-title&gt;&lt;/titles&gt;&lt;periodical&gt;&lt;full-title&gt;Journal of International Economics&lt;/full-title&gt;&lt;/periodical&gt;&lt;pages&gt;278-308&lt;/pages&gt;&lt;volume&gt;73&lt;/volume&gt;&lt;number&gt;2&lt;/number&gt;&lt;dates&gt;&lt;year&gt;2007&lt;/year&gt;&lt;/dates&gt;&lt;publisher&gt;Elsevier&lt;/publisher&gt;&lt;urls&gt;&lt;related-urls&gt;&lt;url&gt;https://ideas.repec.org/a/eee/inecon/v73y2007i2p278-308.html&lt;/url&gt;&lt;/related-urls&gt;&lt;/urls&gt;&lt;/record&gt;&lt;/Cite&gt;&lt;/EndNote&gt;</w:instrText>
      </w:r>
      <w:r w:rsidR="00617740" w:rsidRPr="00E6375C">
        <w:fldChar w:fldCharType="separate"/>
      </w:r>
      <w:r w:rsidR="00617740" w:rsidRPr="00E6375C">
        <w:rPr>
          <w:noProof/>
        </w:rPr>
        <w:t>Bergstrand and Egger (2007)</w:t>
      </w:r>
      <w:r w:rsidR="00617740" w:rsidRPr="00E6375C">
        <w:fldChar w:fldCharType="end"/>
      </w:r>
      <w:r w:rsidR="00617740" w:rsidRPr="00E6375C">
        <w:t xml:space="preserve">, </w:t>
      </w:r>
      <w:r w:rsidR="00617740" w:rsidRPr="00E6375C">
        <w:fldChar w:fldCharType="begin"/>
      </w:r>
      <w:r w:rsidR="00617740" w:rsidRPr="00E6375C">
        <w:instrText xml:space="preserve"> ADDIN EN.CITE &lt;EndNote&gt;&lt;Cite AuthorYear="1"&gt;&lt;Author&gt;Baccini&lt;/Author&gt;&lt;Year&gt;2013&lt;/Year&gt;&lt;RecNum&gt;289&lt;/RecNum&gt;&lt;IDText&gt;Baccini2013&lt;/IDText&gt;&lt;DisplayText&gt;Baccini and Dür (2013)&lt;/DisplayText&gt;&lt;record&gt;&lt;rec-number&gt;289&lt;/rec-number&gt;&lt;foreign-keys&gt;&lt;key app="EN" db-id="fx0srvwzktwrpse5rpz5pda3vf5vr952vza2" timestamp="1508711180"&gt;289&lt;/key&gt;&lt;key app="ENWeb" db-id=""&gt;0&lt;/key&gt;&lt;/foreign-keys&gt;&lt;ref-type name="Journal Article"&gt;17&lt;/ref-type&gt;&lt;contributors&gt;&lt;authors&gt;&lt;author&gt;Baccini, Leonardo&lt;/author&gt;&lt;author&gt;Dür, Andreas&lt;/author&gt;&lt;/authors&gt;&lt;/contributors&gt;&lt;titles&gt;&lt;title&gt;Investment Discrimination and the Proliferation of Preferential Trade Agreements&lt;/title&gt;&lt;secondary-title&gt;Journal of Conflict Resolution&lt;/secondary-title&gt;&lt;/titles&gt;&lt;periodical&gt;&lt;full-title&gt;Journal of Conflict Resolution&lt;/full-title&gt;&lt;/periodical&gt;&lt;pages&gt;617-644&lt;/pages&gt;&lt;volume&gt;59&lt;/volume&gt;&lt;number&gt;4&lt;/number&gt;&lt;dates&gt;&lt;year&gt;2013&lt;/year&gt;&lt;pub-dates&gt;&lt;date&gt;2015/06/01&lt;/date&gt;&lt;/pub-dates&gt;&lt;/dates&gt;&lt;publisher&gt;SAGE Publications&lt;/publisher&gt;&lt;isbn&gt;0022-0027&lt;/isbn&gt;&lt;label&gt;Baccini2013&lt;/label&gt;&lt;urls&gt;&lt;related-urls&gt;&lt;url&gt;http://journals.sagepub.com/doi/abs/10.1177/0022002713516844&lt;/url&gt;&lt;/related-urls&gt;&lt;/urls&gt;&lt;electronic-resource-num&gt;10.1177/0022002713516844&lt;/electronic-resource-num&gt;&lt;access-date&gt;2017/05/19&lt;/access-date&gt;&lt;/record&gt;&lt;/Cite&gt;&lt;/EndNote&gt;</w:instrText>
      </w:r>
      <w:r w:rsidR="00617740" w:rsidRPr="00E6375C">
        <w:fldChar w:fldCharType="separate"/>
      </w:r>
      <w:r w:rsidR="00617740" w:rsidRPr="00E6375C">
        <w:rPr>
          <w:noProof/>
        </w:rPr>
        <w:t>Baccini and Dür (2013)</w:t>
      </w:r>
      <w:r w:rsidR="00617740" w:rsidRPr="00E6375C">
        <w:fldChar w:fldCharType="end"/>
      </w:r>
      <w:r w:rsidR="00FD673F" w:rsidRPr="00E6375C">
        <w:t xml:space="preserve">, and </w:t>
      </w:r>
      <w:r w:rsidR="00FD673F" w:rsidRPr="00E6375C">
        <w:fldChar w:fldCharType="begin"/>
      </w:r>
      <w:r w:rsidR="00FD673F" w:rsidRPr="00E6375C">
        <w:instrText xml:space="preserve"> ADDIN EN.CITE &lt;EndNote&gt;&lt;Cite AuthorYear="1"&gt;&lt;Author&gt;Dixon&lt;/Author&gt;&lt;Year&gt;2016&lt;/Year&gt;&lt;RecNum&gt;102&lt;/RecNum&gt;&lt;DisplayText&gt;Dixon and Haslam (2016)&lt;/DisplayText&gt;&lt;record&gt;&lt;rec-number&gt;102&lt;/rec-number&gt;&lt;foreign-keys&gt;&lt;key app="EN" db-id="fx0srvwzktwrpse5rpz5pda3vf5vr952vza2" timestamp="1508710424"&gt;102&lt;/key&gt;&lt;key app="ENWeb" db-id=""&gt;0&lt;/key&gt;&lt;/foreign-keys&gt;&lt;ref-type name="Journal Article"&gt;17&lt;/ref-type&gt;&lt;contributors&gt;&lt;authors&gt;&lt;author&gt;Dixon, Jay&lt;/author&gt;&lt;author&gt;Haslam, Paul Alexander&lt;/author&gt;&lt;/authors&gt;&lt;/contributors&gt;&lt;titles&gt;&lt;title&gt;Does the Quality of Investment Protection Affect FDI Flows to Developing Countries? Evidence from Latin America&lt;/title&gt;&lt;secondary-title&gt;The World Economy&lt;/secondary-title&gt;&lt;/titles&gt;&lt;periodical&gt;&lt;full-title&gt;The World Economy&lt;/full-title&gt;&lt;/periodical&gt;&lt;pages&gt;1080-1108&lt;/pages&gt;&lt;volume&gt;39&lt;/volume&gt;&lt;number&gt;8&lt;/number&gt;&lt;dates&gt;&lt;year&gt;2016&lt;/year&gt;&lt;/dates&gt;&lt;isbn&gt;1467-9701&lt;/isbn&gt;&lt;urls&gt;&lt;related-urls&gt;&lt;url&gt;http://dx.doi.org/10.1111/twec.12299&lt;/url&gt;&lt;url&gt;http://onlinelibrary.wiley.com/store/10.1111/twec.12299/asset/twec12299.pdf?v=1&amp;amp;t=j178pzpe&amp;amp;s=23ca28b00839365ab01e69bfe58c6b737c25768c&lt;/url&gt;&lt;url&gt;http://onlinelibrary.wiley.com/store/10.1111/twec.12299/asset/twec12299.pdf?v=1&amp;amp;t=j1a7cpbs&amp;amp;s=5627b4bbc98a6dbdb66d385797d0cebb92daf13e&lt;/url&gt;&lt;/related-urls&gt;&lt;/urls&gt;&lt;electronic-resource-num&gt;10.1111/twec.12299&lt;/electronic-resource-num&gt;&lt;/record&gt;&lt;/Cite&gt;&lt;/EndNote&gt;</w:instrText>
      </w:r>
      <w:r w:rsidR="00FD673F" w:rsidRPr="00E6375C">
        <w:fldChar w:fldCharType="separate"/>
      </w:r>
      <w:r w:rsidR="00FD673F" w:rsidRPr="00E6375C">
        <w:rPr>
          <w:noProof/>
        </w:rPr>
        <w:t>Dixon and Haslam (2016)</w:t>
      </w:r>
      <w:r w:rsidR="00FD673F" w:rsidRPr="00E6375C">
        <w:fldChar w:fldCharType="end"/>
      </w:r>
      <w:r w:rsidR="00FD673F" w:rsidRPr="00E6375C">
        <w:t xml:space="preserve">. </w:t>
      </w:r>
      <w:r w:rsidR="009F58A3" w:rsidRPr="00E6375C">
        <w:t>E</w:t>
      </w:r>
      <w:r w:rsidRPr="00E6375C">
        <w:t xml:space="preserve">ach country comes with four data series: </w:t>
      </w:r>
      <w:r w:rsidRPr="00E6375C">
        <w:rPr>
          <w:b/>
        </w:rPr>
        <w:t xml:space="preserve">inflows, outflows, </w:t>
      </w:r>
      <w:proofErr w:type="spellStart"/>
      <w:r w:rsidRPr="00E6375C">
        <w:rPr>
          <w:b/>
        </w:rPr>
        <w:t>instock</w:t>
      </w:r>
      <w:proofErr w:type="spellEnd"/>
      <w:r w:rsidRPr="00E6375C">
        <w:t xml:space="preserve">, and </w:t>
      </w:r>
      <w:proofErr w:type="spellStart"/>
      <w:r w:rsidRPr="00E6375C">
        <w:rPr>
          <w:b/>
        </w:rPr>
        <w:t>outstock</w:t>
      </w:r>
      <w:proofErr w:type="spellEnd"/>
      <w:r w:rsidRPr="00E6375C">
        <w:rPr>
          <w:b/>
        </w:rPr>
        <w:t xml:space="preserve">. </w:t>
      </w:r>
      <w:r w:rsidRPr="00E6375C">
        <w:t>Since UNCTAD updates its FDI data yearly, the following comments are for the data downloaded on 1</w:t>
      </w:r>
      <w:r w:rsidRPr="00E6375C">
        <w:rPr>
          <w:vertAlign w:val="superscript"/>
        </w:rPr>
        <w:t>st</w:t>
      </w:r>
      <w:r w:rsidRPr="00E6375C">
        <w:t xml:space="preserve"> </w:t>
      </w:r>
      <w:proofErr w:type="gramStart"/>
      <w:r w:rsidRPr="00E6375C">
        <w:t>May,</w:t>
      </w:r>
      <w:proofErr w:type="gramEnd"/>
      <w:r w:rsidRPr="00E6375C">
        <w:t xml:space="preserve"> 2017 from the online database.</w:t>
      </w:r>
      <w:r w:rsidRPr="00E6375C">
        <w:rPr>
          <w:rStyle w:val="FootnoteReference"/>
        </w:rPr>
        <w:footnoteReference w:id="2"/>
      </w:r>
      <w:r w:rsidRPr="00E6375C">
        <w:t xml:space="preserve"> </w:t>
      </w:r>
    </w:p>
    <w:p w:rsidR="00517F2F" w:rsidRPr="00E6375C" w:rsidRDefault="00517F2F" w:rsidP="00517F2F">
      <w:pPr>
        <w:spacing w:after="240"/>
        <w:jc w:val="both"/>
      </w:pPr>
      <w:r w:rsidRPr="00E6375C">
        <w:t xml:space="preserve">Firstly, data from UNCTAD </w:t>
      </w:r>
      <w:r w:rsidR="005A0A8A" w:rsidRPr="00E6375C">
        <w:t>are</w:t>
      </w:r>
      <w:r w:rsidRPr="00E6375C">
        <w:t xml:space="preserve"> inconsistent. In the UNCTAD database, if the country does not report data for one or more series, UNCTAD uses mirror data from partner countries or other international organizations. Obviously, we would expect that the mirror data are </w:t>
      </w:r>
      <w:proofErr w:type="gramStart"/>
      <w:r w:rsidRPr="00E6375C">
        <w:t>exactly the same</w:t>
      </w:r>
      <w:proofErr w:type="gramEnd"/>
      <w:r w:rsidRPr="00E6375C">
        <w:t xml:space="preserve"> as the original data. Surprisingly, this is not always the case. For instance, for the first ten years, 2001-2010, Singapore’s mirror outflows to Korea exactly equal Korea’ original inflows from Singapore. Nevertheless, Korea reports receiving 492 and 963 million USD from Singapore in 2011 and 2012, respectively (inflows data series of Korea) while Singapore’s mirror outflows to Korea in these years are 0 (outflows data series of Singapore). </w:t>
      </w:r>
      <w:r w:rsidR="0044243A" w:rsidRPr="00E6375C">
        <w:t xml:space="preserve">Table A1 </w:t>
      </w:r>
      <w:r w:rsidRPr="00E6375C">
        <w:t>lists other examples of the inconsistent “mirror – origin” country pairs. The total number of inconsistencies in the database is</w:t>
      </w:r>
      <w:r w:rsidR="005A0A8A" w:rsidRPr="00E6375C">
        <w:t xml:space="preserve"> 363 pairs</w:t>
      </w:r>
      <w:r w:rsidRPr="00E6375C">
        <w:t xml:space="preserve">. </w:t>
      </w:r>
    </w:p>
    <w:p w:rsidR="00517F2F" w:rsidRPr="00E6375C" w:rsidRDefault="00517F2F" w:rsidP="00FD673F">
      <w:pPr>
        <w:spacing w:after="240"/>
        <w:rPr>
          <w:rFonts w:eastAsia="Times New Roman"/>
          <w:b/>
          <w:color w:val="000000"/>
          <w:szCs w:val="24"/>
          <w:lang w:eastAsia="en-NZ"/>
        </w:rPr>
      </w:pPr>
      <w:r w:rsidRPr="00E6375C">
        <w:rPr>
          <w:rFonts w:eastAsia="Times New Roman"/>
          <w:b/>
          <w:color w:val="000000"/>
          <w:szCs w:val="24"/>
          <w:lang w:eastAsia="en-NZ"/>
        </w:rPr>
        <w:t xml:space="preserve">Table </w:t>
      </w:r>
      <w:r w:rsidR="0044243A" w:rsidRPr="00E6375C">
        <w:rPr>
          <w:rFonts w:eastAsia="Times New Roman"/>
          <w:b/>
          <w:color w:val="000000"/>
          <w:szCs w:val="24"/>
          <w:lang w:eastAsia="en-NZ"/>
        </w:rPr>
        <w:t>A</w:t>
      </w:r>
      <w:r w:rsidRPr="00E6375C">
        <w:rPr>
          <w:rFonts w:eastAsia="Times New Roman"/>
          <w:b/>
          <w:color w:val="000000"/>
          <w:szCs w:val="24"/>
          <w:lang w:eastAsia="en-NZ"/>
        </w:rPr>
        <w:t xml:space="preserve">1: Examples of Inconsistent Mirror-Origin FDI Flows (million </w:t>
      </w:r>
      <w:r w:rsidR="005404A1" w:rsidRPr="00E6375C">
        <w:rPr>
          <w:rFonts w:eastAsia="Times New Roman"/>
          <w:b/>
          <w:color w:val="000000"/>
          <w:szCs w:val="24"/>
          <w:lang w:eastAsia="en-NZ"/>
        </w:rPr>
        <w:t>USD</w:t>
      </w:r>
      <w:r w:rsidRPr="00E6375C">
        <w:rPr>
          <w:rFonts w:eastAsia="Times New Roman"/>
          <w:b/>
          <w:color w:val="000000"/>
          <w:szCs w:val="24"/>
          <w:lang w:eastAsia="en-NZ"/>
        </w:rPr>
        <w:t>)</w:t>
      </w:r>
    </w:p>
    <w:tbl>
      <w:tblPr>
        <w:tblW w:w="9204" w:type="dxa"/>
        <w:jc w:val="center"/>
        <w:tblLook w:val="04A0" w:firstRow="1" w:lastRow="0" w:firstColumn="1" w:lastColumn="0" w:noHBand="0" w:noVBand="1"/>
      </w:tblPr>
      <w:tblGrid>
        <w:gridCol w:w="697"/>
        <w:gridCol w:w="805"/>
        <w:gridCol w:w="885"/>
        <w:gridCol w:w="805"/>
        <w:gridCol w:w="1257"/>
        <w:gridCol w:w="1546"/>
        <w:gridCol w:w="1335"/>
        <w:gridCol w:w="1874"/>
      </w:tblGrid>
      <w:tr w:rsidR="00932B4B" w:rsidRPr="00E6375C" w:rsidTr="00FD673F">
        <w:trPr>
          <w:trHeight w:val="290"/>
          <w:jc w:val="center"/>
        </w:trPr>
        <w:tc>
          <w:tcPr>
            <w:tcW w:w="697" w:type="dxa"/>
            <w:vMerge w:val="restart"/>
            <w:tcBorders>
              <w:top w:val="single" w:sz="4" w:space="0" w:color="auto"/>
              <w:left w:val="single" w:sz="8" w:space="0" w:color="auto"/>
              <w:bottom w:val="single" w:sz="8" w:space="0" w:color="000000"/>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Year</w:t>
            </w:r>
          </w:p>
        </w:tc>
        <w:tc>
          <w:tcPr>
            <w:tcW w:w="805" w:type="dxa"/>
            <w:vMerge w:val="restart"/>
            <w:tcBorders>
              <w:top w:val="single" w:sz="4" w:space="0" w:color="auto"/>
              <w:left w:val="single" w:sz="8" w:space="0" w:color="auto"/>
              <w:bottom w:val="single" w:sz="8" w:space="0" w:color="000000"/>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Host</w:t>
            </w:r>
          </w:p>
        </w:tc>
        <w:tc>
          <w:tcPr>
            <w:tcW w:w="885" w:type="dxa"/>
            <w:vMerge w:val="restart"/>
            <w:tcBorders>
              <w:top w:val="single" w:sz="4" w:space="0" w:color="auto"/>
              <w:left w:val="single" w:sz="8" w:space="0" w:color="auto"/>
              <w:bottom w:val="single" w:sz="8" w:space="0" w:color="000000"/>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Source</w:t>
            </w:r>
          </w:p>
        </w:tc>
        <w:tc>
          <w:tcPr>
            <w:tcW w:w="805" w:type="dxa"/>
            <w:vMerge w:val="restart"/>
            <w:tcBorders>
              <w:top w:val="single" w:sz="4" w:space="0" w:color="auto"/>
              <w:left w:val="single" w:sz="8" w:space="0" w:color="auto"/>
              <w:bottom w:val="single" w:sz="8" w:space="0" w:color="000000"/>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Data type</w:t>
            </w:r>
          </w:p>
        </w:tc>
        <w:tc>
          <w:tcPr>
            <w:tcW w:w="2803" w:type="dxa"/>
            <w:gridSpan w:val="2"/>
            <w:tcBorders>
              <w:top w:val="single" w:sz="4" w:space="0" w:color="auto"/>
              <w:left w:val="nil"/>
              <w:bottom w:val="single" w:sz="8" w:space="0" w:color="auto"/>
              <w:right w:val="single" w:sz="8" w:space="0" w:color="000000"/>
            </w:tcBorders>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Host country's Inward data</w:t>
            </w:r>
          </w:p>
        </w:tc>
        <w:tc>
          <w:tcPr>
            <w:tcW w:w="3209" w:type="dxa"/>
            <w:gridSpan w:val="2"/>
            <w:tcBorders>
              <w:top w:val="single" w:sz="4" w:space="0" w:color="auto"/>
              <w:left w:val="nil"/>
              <w:bottom w:val="single" w:sz="8" w:space="0" w:color="auto"/>
              <w:right w:val="single" w:sz="8" w:space="0" w:color="000000"/>
            </w:tcBorders>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Source country's Outward data</w:t>
            </w:r>
          </w:p>
        </w:tc>
      </w:tr>
      <w:tr w:rsidR="00932B4B" w:rsidRPr="00E6375C" w:rsidTr="00FD673F">
        <w:trPr>
          <w:trHeight w:val="271"/>
          <w:jc w:val="center"/>
        </w:trPr>
        <w:tc>
          <w:tcPr>
            <w:tcW w:w="0" w:type="auto"/>
            <w:vMerge/>
            <w:tcBorders>
              <w:top w:val="single" w:sz="4" w:space="0" w:color="auto"/>
              <w:left w:val="single" w:sz="8" w:space="0" w:color="auto"/>
              <w:bottom w:val="single" w:sz="8" w:space="0" w:color="000000"/>
              <w:right w:val="single" w:sz="8" w:space="0" w:color="auto"/>
            </w:tcBorders>
            <w:vAlign w:val="center"/>
            <w:hideMark/>
          </w:tcPr>
          <w:p w:rsidR="00932B4B" w:rsidRPr="00E6375C" w:rsidRDefault="00932B4B" w:rsidP="00FD673F">
            <w:pPr>
              <w:spacing w:after="0"/>
              <w:rPr>
                <w:rFonts w:eastAsia="Times New Roman"/>
                <w:color w:val="000000"/>
                <w:szCs w:val="24"/>
                <w:lang w:eastAsia="en-NZ"/>
              </w:rPr>
            </w:pPr>
          </w:p>
        </w:tc>
        <w:tc>
          <w:tcPr>
            <w:tcW w:w="0" w:type="auto"/>
            <w:vMerge/>
            <w:tcBorders>
              <w:top w:val="single" w:sz="4" w:space="0" w:color="auto"/>
              <w:left w:val="single" w:sz="8" w:space="0" w:color="auto"/>
              <w:bottom w:val="single" w:sz="8" w:space="0" w:color="000000"/>
              <w:right w:val="single" w:sz="8" w:space="0" w:color="auto"/>
            </w:tcBorders>
            <w:vAlign w:val="center"/>
            <w:hideMark/>
          </w:tcPr>
          <w:p w:rsidR="00932B4B" w:rsidRPr="00E6375C" w:rsidRDefault="00932B4B" w:rsidP="00FD673F">
            <w:pPr>
              <w:spacing w:after="0"/>
              <w:rPr>
                <w:rFonts w:eastAsia="Times New Roman"/>
                <w:color w:val="000000"/>
                <w:szCs w:val="24"/>
                <w:lang w:eastAsia="en-NZ"/>
              </w:rPr>
            </w:pPr>
          </w:p>
        </w:tc>
        <w:tc>
          <w:tcPr>
            <w:tcW w:w="0" w:type="auto"/>
            <w:vMerge/>
            <w:tcBorders>
              <w:top w:val="single" w:sz="4" w:space="0" w:color="auto"/>
              <w:left w:val="single" w:sz="8" w:space="0" w:color="auto"/>
              <w:bottom w:val="single" w:sz="8" w:space="0" w:color="000000"/>
              <w:right w:val="single" w:sz="8" w:space="0" w:color="auto"/>
            </w:tcBorders>
            <w:vAlign w:val="center"/>
            <w:hideMark/>
          </w:tcPr>
          <w:p w:rsidR="00932B4B" w:rsidRPr="00E6375C" w:rsidRDefault="00932B4B" w:rsidP="00FD673F">
            <w:pPr>
              <w:spacing w:after="0"/>
              <w:rPr>
                <w:rFonts w:eastAsia="Times New Roman"/>
                <w:color w:val="000000"/>
                <w:szCs w:val="24"/>
                <w:lang w:eastAsia="en-NZ"/>
              </w:rPr>
            </w:pPr>
          </w:p>
        </w:tc>
        <w:tc>
          <w:tcPr>
            <w:tcW w:w="0" w:type="auto"/>
            <w:vMerge/>
            <w:tcBorders>
              <w:top w:val="single" w:sz="4" w:space="0" w:color="auto"/>
              <w:left w:val="single" w:sz="8" w:space="0" w:color="auto"/>
              <w:bottom w:val="single" w:sz="8" w:space="0" w:color="000000"/>
              <w:right w:val="single" w:sz="8" w:space="0" w:color="auto"/>
            </w:tcBorders>
            <w:vAlign w:val="center"/>
            <w:hideMark/>
          </w:tcPr>
          <w:p w:rsidR="00932B4B" w:rsidRPr="00E6375C" w:rsidRDefault="00932B4B" w:rsidP="00FD673F">
            <w:pPr>
              <w:spacing w:after="0"/>
              <w:rPr>
                <w:rFonts w:eastAsia="Times New Roman"/>
                <w:color w:val="000000"/>
                <w:szCs w:val="24"/>
                <w:lang w:eastAsia="en-NZ"/>
              </w:rPr>
            </w:pPr>
          </w:p>
        </w:tc>
        <w:tc>
          <w:tcPr>
            <w:tcW w:w="1257"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Value</w:t>
            </w:r>
          </w:p>
        </w:tc>
        <w:tc>
          <w:tcPr>
            <w:tcW w:w="1546" w:type="dxa"/>
            <w:tcBorders>
              <w:top w:val="nil"/>
              <w:left w:val="nil"/>
              <w:bottom w:val="single" w:sz="8" w:space="0" w:color="auto"/>
              <w:right w:val="single" w:sz="8" w:space="0" w:color="auto"/>
            </w:tcBorders>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Data source</w:t>
            </w:r>
          </w:p>
        </w:tc>
        <w:tc>
          <w:tcPr>
            <w:tcW w:w="133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Value</w:t>
            </w:r>
          </w:p>
        </w:tc>
        <w:tc>
          <w:tcPr>
            <w:tcW w:w="1874" w:type="dxa"/>
            <w:tcBorders>
              <w:top w:val="nil"/>
              <w:left w:val="nil"/>
              <w:bottom w:val="single" w:sz="8" w:space="0" w:color="auto"/>
              <w:right w:val="single" w:sz="8" w:space="0" w:color="auto"/>
            </w:tcBorders>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Data source</w:t>
            </w:r>
          </w:p>
        </w:tc>
      </w:tr>
      <w:tr w:rsidR="00932B4B" w:rsidRPr="00E6375C" w:rsidTr="00FD673F">
        <w:trPr>
          <w:trHeight w:val="138"/>
          <w:jc w:val="center"/>
        </w:trPr>
        <w:tc>
          <w:tcPr>
            <w:tcW w:w="697" w:type="dxa"/>
            <w:tcBorders>
              <w:top w:val="nil"/>
              <w:left w:val="single" w:sz="8" w:space="0" w:color="auto"/>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2005</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DZA</w:t>
            </w:r>
          </w:p>
        </w:tc>
        <w:tc>
          <w:tcPr>
            <w:tcW w:w="88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EGY</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Flows</w:t>
            </w:r>
          </w:p>
        </w:tc>
        <w:tc>
          <w:tcPr>
            <w:tcW w:w="1257"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108.2</w:t>
            </w:r>
          </w:p>
        </w:tc>
        <w:tc>
          <w:tcPr>
            <w:tcW w:w="1546"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origin</w:t>
            </w:r>
          </w:p>
        </w:tc>
        <w:tc>
          <w:tcPr>
            <w:tcW w:w="1335"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0</w:t>
            </w:r>
          </w:p>
        </w:tc>
        <w:tc>
          <w:tcPr>
            <w:tcW w:w="1874"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mirror</w:t>
            </w:r>
          </w:p>
        </w:tc>
      </w:tr>
      <w:tr w:rsidR="00932B4B" w:rsidRPr="00E6375C" w:rsidTr="00FD673F">
        <w:trPr>
          <w:trHeight w:val="138"/>
          <w:jc w:val="center"/>
        </w:trPr>
        <w:tc>
          <w:tcPr>
            <w:tcW w:w="697" w:type="dxa"/>
            <w:tcBorders>
              <w:top w:val="nil"/>
              <w:left w:val="single" w:sz="8" w:space="0" w:color="auto"/>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2006</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DZA</w:t>
            </w:r>
          </w:p>
        </w:tc>
        <w:tc>
          <w:tcPr>
            <w:tcW w:w="88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EGY</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Flows</w:t>
            </w:r>
          </w:p>
        </w:tc>
        <w:tc>
          <w:tcPr>
            <w:tcW w:w="1257"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157.1</w:t>
            </w:r>
          </w:p>
        </w:tc>
        <w:tc>
          <w:tcPr>
            <w:tcW w:w="1546"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origin</w:t>
            </w:r>
          </w:p>
        </w:tc>
        <w:tc>
          <w:tcPr>
            <w:tcW w:w="1335"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0</w:t>
            </w:r>
          </w:p>
        </w:tc>
        <w:tc>
          <w:tcPr>
            <w:tcW w:w="1874"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mirror</w:t>
            </w:r>
          </w:p>
        </w:tc>
      </w:tr>
      <w:tr w:rsidR="00932B4B" w:rsidRPr="00E6375C" w:rsidTr="00FD673F">
        <w:trPr>
          <w:trHeight w:val="138"/>
          <w:jc w:val="center"/>
        </w:trPr>
        <w:tc>
          <w:tcPr>
            <w:tcW w:w="697" w:type="dxa"/>
            <w:tcBorders>
              <w:top w:val="nil"/>
              <w:left w:val="single" w:sz="8" w:space="0" w:color="auto"/>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2006</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MMR</w:t>
            </w:r>
          </w:p>
        </w:tc>
        <w:tc>
          <w:tcPr>
            <w:tcW w:w="88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SGP</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Flows</w:t>
            </w:r>
          </w:p>
        </w:tc>
        <w:tc>
          <w:tcPr>
            <w:tcW w:w="1257"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160.8</w:t>
            </w:r>
          </w:p>
        </w:tc>
        <w:tc>
          <w:tcPr>
            <w:tcW w:w="1546"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origin</w:t>
            </w:r>
          </w:p>
        </w:tc>
        <w:tc>
          <w:tcPr>
            <w:tcW w:w="1335"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0</w:t>
            </w:r>
          </w:p>
        </w:tc>
        <w:tc>
          <w:tcPr>
            <w:tcW w:w="1874"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mirror</w:t>
            </w:r>
          </w:p>
        </w:tc>
      </w:tr>
      <w:tr w:rsidR="00932B4B" w:rsidRPr="00E6375C" w:rsidTr="00FD673F">
        <w:trPr>
          <w:trHeight w:val="138"/>
          <w:jc w:val="center"/>
        </w:trPr>
        <w:tc>
          <w:tcPr>
            <w:tcW w:w="697" w:type="dxa"/>
            <w:tcBorders>
              <w:top w:val="nil"/>
              <w:left w:val="single" w:sz="8" w:space="0" w:color="auto"/>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2007</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DZA</w:t>
            </w:r>
          </w:p>
        </w:tc>
        <w:tc>
          <w:tcPr>
            <w:tcW w:w="88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EGY</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Flows</w:t>
            </w:r>
          </w:p>
        </w:tc>
        <w:tc>
          <w:tcPr>
            <w:tcW w:w="1257"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102.3</w:t>
            </w:r>
          </w:p>
        </w:tc>
        <w:tc>
          <w:tcPr>
            <w:tcW w:w="1546"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origin</w:t>
            </w:r>
          </w:p>
        </w:tc>
        <w:tc>
          <w:tcPr>
            <w:tcW w:w="1335"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0</w:t>
            </w:r>
          </w:p>
        </w:tc>
        <w:tc>
          <w:tcPr>
            <w:tcW w:w="1874"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mirror</w:t>
            </w:r>
          </w:p>
        </w:tc>
      </w:tr>
      <w:tr w:rsidR="00932B4B" w:rsidRPr="00E6375C" w:rsidTr="00FD673F">
        <w:trPr>
          <w:trHeight w:val="138"/>
          <w:jc w:val="center"/>
        </w:trPr>
        <w:tc>
          <w:tcPr>
            <w:tcW w:w="697" w:type="dxa"/>
            <w:tcBorders>
              <w:top w:val="nil"/>
              <w:left w:val="single" w:sz="8" w:space="0" w:color="auto"/>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2012</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CYM</w:t>
            </w:r>
          </w:p>
        </w:tc>
        <w:tc>
          <w:tcPr>
            <w:tcW w:w="88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KOR</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Stock</w:t>
            </w:r>
          </w:p>
        </w:tc>
        <w:tc>
          <w:tcPr>
            <w:tcW w:w="1257"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0</w:t>
            </w:r>
          </w:p>
        </w:tc>
        <w:tc>
          <w:tcPr>
            <w:tcW w:w="1546"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mirror</w:t>
            </w:r>
          </w:p>
        </w:tc>
        <w:tc>
          <w:tcPr>
            <w:tcW w:w="1335"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2788.9</w:t>
            </w:r>
          </w:p>
        </w:tc>
        <w:tc>
          <w:tcPr>
            <w:tcW w:w="1874"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origin</w:t>
            </w:r>
          </w:p>
        </w:tc>
      </w:tr>
      <w:tr w:rsidR="00932B4B" w:rsidRPr="00E6375C" w:rsidTr="00FD673F">
        <w:trPr>
          <w:trHeight w:val="138"/>
          <w:jc w:val="center"/>
        </w:trPr>
        <w:tc>
          <w:tcPr>
            <w:tcW w:w="697" w:type="dxa"/>
            <w:tcBorders>
              <w:top w:val="nil"/>
              <w:left w:val="single" w:sz="8" w:space="0" w:color="auto"/>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2012</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MHL</w:t>
            </w:r>
          </w:p>
        </w:tc>
        <w:tc>
          <w:tcPr>
            <w:tcW w:w="88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KOR</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Stock</w:t>
            </w:r>
          </w:p>
        </w:tc>
        <w:tc>
          <w:tcPr>
            <w:tcW w:w="1257"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0</w:t>
            </w:r>
          </w:p>
        </w:tc>
        <w:tc>
          <w:tcPr>
            <w:tcW w:w="1546"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mirror</w:t>
            </w:r>
          </w:p>
        </w:tc>
        <w:tc>
          <w:tcPr>
            <w:tcW w:w="1335"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540.1</w:t>
            </w:r>
          </w:p>
        </w:tc>
        <w:tc>
          <w:tcPr>
            <w:tcW w:w="1874"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origin</w:t>
            </w:r>
          </w:p>
        </w:tc>
      </w:tr>
      <w:tr w:rsidR="00932B4B" w:rsidRPr="00E6375C" w:rsidTr="00FD673F">
        <w:trPr>
          <w:trHeight w:val="138"/>
          <w:jc w:val="center"/>
        </w:trPr>
        <w:tc>
          <w:tcPr>
            <w:tcW w:w="697" w:type="dxa"/>
            <w:tcBorders>
              <w:top w:val="nil"/>
              <w:left w:val="single" w:sz="8" w:space="0" w:color="auto"/>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2012</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MMR</w:t>
            </w:r>
          </w:p>
        </w:tc>
        <w:tc>
          <w:tcPr>
            <w:tcW w:w="88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KOR</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Stock</w:t>
            </w:r>
          </w:p>
        </w:tc>
        <w:tc>
          <w:tcPr>
            <w:tcW w:w="1257"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0</w:t>
            </w:r>
          </w:p>
        </w:tc>
        <w:tc>
          <w:tcPr>
            <w:tcW w:w="1546"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mirror</w:t>
            </w:r>
          </w:p>
        </w:tc>
        <w:tc>
          <w:tcPr>
            <w:tcW w:w="1335"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1326.8</w:t>
            </w:r>
          </w:p>
        </w:tc>
        <w:tc>
          <w:tcPr>
            <w:tcW w:w="1874"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origin</w:t>
            </w:r>
          </w:p>
        </w:tc>
      </w:tr>
      <w:tr w:rsidR="00932B4B" w:rsidRPr="00E6375C" w:rsidTr="00FD673F">
        <w:trPr>
          <w:trHeight w:val="138"/>
          <w:jc w:val="center"/>
        </w:trPr>
        <w:tc>
          <w:tcPr>
            <w:tcW w:w="697" w:type="dxa"/>
            <w:tcBorders>
              <w:top w:val="nil"/>
              <w:left w:val="single" w:sz="8" w:space="0" w:color="auto"/>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2012</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VNM</w:t>
            </w:r>
          </w:p>
        </w:tc>
        <w:tc>
          <w:tcPr>
            <w:tcW w:w="88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KOR</w:t>
            </w:r>
          </w:p>
        </w:tc>
        <w:tc>
          <w:tcPr>
            <w:tcW w:w="805"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Stock</w:t>
            </w:r>
          </w:p>
        </w:tc>
        <w:tc>
          <w:tcPr>
            <w:tcW w:w="1257"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0</w:t>
            </w:r>
          </w:p>
        </w:tc>
        <w:tc>
          <w:tcPr>
            <w:tcW w:w="1546"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mirror</w:t>
            </w:r>
          </w:p>
        </w:tc>
        <w:tc>
          <w:tcPr>
            <w:tcW w:w="1335" w:type="dxa"/>
            <w:tcBorders>
              <w:top w:val="nil"/>
              <w:left w:val="nil"/>
              <w:bottom w:val="single" w:sz="8" w:space="0" w:color="auto"/>
              <w:right w:val="single" w:sz="8" w:space="0" w:color="auto"/>
            </w:tcBorders>
            <w:noWrap/>
            <w:vAlign w:val="center"/>
            <w:hideMark/>
          </w:tcPr>
          <w:p w:rsidR="00932B4B" w:rsidRPr="00E6375C" w:rsidRDefault="00932B4B" w:rsidP="007E78BF">
            <w:pPr>
              <w:spacing w:after="0" w:line="240" w:lineRule="auto"/>
              <w:jc w:val="right"/>
              <w:rPr>
                <w:rFonts w:eastAsia="Times New Roman"/>
                <w:color w:val="000000"/>
                <w:szCs w:val="24"/>
                <w:lang w:eastAsia="en-NZ"/>
              </w:rPr>
            </w:pPr>
            <w:r w:rsidRPr="00E6375C">
              <w:rPr>
                <w:rFonts w:eastAsia="Times New Roman"/>
                <w:color w:val="000000"/>
                <w:szCs w:val="24"/>
                <w:lang w:eastAsia="en-NZ"/>
              </w:rPr>
              <w:t>7181.7</w:t>
            </w:r>
          </w:p>
        </w:tc>
        <w:tc>
          <w:tcPr>
            <w:tcW w:w="1874" w:type="dxa"/>
            <w:tcBorders>
              <w:top w:val="nil"/>
              <w:left w:val="nil"/>
              <w:bottom w:val="single" w:sz="8" w:space="0" w:color="auto"/>
              <w:right w:val="single" w:sz="8" w:space="0" w:color="auto"/>
            </w:tcBorders>
            <w:noWrap/>
            <w:vAlign w:val="center"/>
            <w:hideMark/>
          </w:tcPr>
          <w:p w:rsidR="00932B4B" w:rsidRPr="00E6375C" w:rsidRDefault="00932B4B" w:rsidP="00FD673F">
            <w:pPr>
              <w:spacing w:after="0" w:line="240" w:lineRule="auto"/>
              <w:jc w:val="center"/>
              <w:rPr>
                <w:rFonts w:eastAsia="Times New Roman"/>
                <w:color w:val="000000"/>
                <w:szCs w:val="24"/>
                <w:lang w:eastAsia="en-NZ"/>
              </w:rPr>
            </w:pPr>
            <w:r w:rsidRPr="00E6375C">
              <w:rPr>
                <w:rFonts w:eastAsia="Times New Roman"/>
                <w:color w:val="000000"/>
                <w:szCs w:val="24"/>
                <w:lang w:eastAsia="en-NZ"/>
              </w:rPr>
              <w:t>origin</w:t>
            </w:r>
          </w:p>
        </w:tc>
      </w:tr>
    </w:tbl>
    <w:p w:rsidR="00D01F6B" w:rsidRPr="00E6375C" w:rsidRDefault="00D01F6B" w:rsidP="00517F2F">
      <w:pPr>
        <w:spacing w:after="240"/>
        <w:jc w:val="both"/>
        <w:rPr>
          <w:sz w:val="6"/>
          <w:szCs w:val="6"/>
        </w:rPr>
      </w:pPr>
    </w:p>
    <w:p w:rsidR="00517F2F" w:rsidRPr="00E6375C" w:rsidRDefault="00517F2F" w:rsidP="00517F2F">
      <w:pPr>
        <w:spacing w:after="240"/>
        <w:jc w:val="both"/>
      </w:pPr>
      <w:r w:rsidRPr="00E6375C">
        <w:t>In addition, although UNCTAD generally reports country pairs that do have an FDI relationship in at least one year over the period (2001 – 2012), in some countries’ data series, they also include in th</w:t>
      </w:r>
      <w:r w:rsidR="00D01F6B" w:rsidRPr="00E6375C">
        <w:t>e list of partner countries several</w:t>
      </w:r>
      <w:r w:rsidRPr="00E6375C">
        <w:t xml:space="preserve"> economies that have absolute zero or negligible value reported as zero FDI over the period. For example, Georgia is in the list of </w:t>
      </w:r>
      <w:r w:rsidRPr="00E6375C">
        <w:lastRenderedPageBreak/>
        <w:t xml:space="preserve">Denmark’s inflows series but all inflows to Denmark from Georgia are zero over the period. Technically, these zeros are not different from no FDI to other countries outside the list and therefore I do not include these observations in counting the number of reported observations </w:t>
      </w:r>
      <w:r w:rsidR="00347C83" w:rsidRPr="00E6375C">
        <w:t>in Table A3.</w:t>
      </w:r>
    </w:p>
    <w:p w:rsidR="00517F2F" w:rsidRPr="00E6375C" w:rsidRDefault="00517F2F" w:rsidP="00517F2F">
      <w:pPr>
        <w:spacing w:after="240"/>
        <w:jc w:val="both"/>
      </w:pPr>
      <w:r w:rsidRPr="00E6375C">
        <w:t>Lastly, in b</w:t>
      </w:r>
      <w:r w:rsidR="007061F6" w:rsidRPr="00E6375C">
        <w:t>oth UNCTAD and OECD databases, some</w:t>
      </w:r>
      <w:r w:rsidRPr="00E6375C">
        <w:t xml:space="preserve"> countries report </w:t>
      </w:r>
      <w:r w:rsidR="00F67C3A" w:rsidRPr="00E6375C">
        <w:t xml:space="preserve">non-zero </w:t>
      </w:r>
      <w:r w:rsidRPr="00E6375C">
        <w:t xml:space="preserve">FDI sent to themselves such as Japan in OECD and Austria in UNCTAD. There is no explanation for these data and I exclude them in my analyses. </w:t>
      </w:r>
    </w:p>
    <w:p w:rsidR="00517F2F" w:rsidRPr="00E6375C" w:rsidRDefault="00D01F6B" w:rsidP="00517F2F">
      <w:pPr>
        <w:pStyle w:val="ListParagraph"/>
        <w:numPr>
          <w:ilvl w:val="1"/>
          <w:numId w:val="13"/>
        </w:numPr>
        <w:spacing w:after="240"/>
        <w:jc w:val="both"/>
        <w:rPr>
          <w:b/>
        </w:rPr>
      </w:pPr>
      <w:r w:rsidRPr="00E6375C">
        <w:rPr>
          <w:b/>
        </w:rPr>
        <w:t xml:space="preserve"> </w:t>
      </w:r>
      <w:r w:rsidR="00517F2F" w:rsidRPr="00E6375C">
        <w:rPr>
          <w:b/>
        </w:rPr>
        <w:t>Inconsistency Between Data Series</w:t>
      </w:r>
    </w:p>
    <w:p w:rsidR="00517F2F" w:rsidRPr="00E6375C" w:rsidRDefault="00517F2F" w:rsidP="00517F2F">
      <w:pPr>
        <w:spacing w:after="240"/>
        <w:jc w:val="both"/>
      </w:pPr>
      <w:r w:rsidRPr="00E6375C">
        <w:t xml:space="preserve">In principle, FDI inflows to country </w:t>
      </w:r>
      <w:proofErr w:type="spellStart"/>
      <w:r w:rsidRPr="00E6375C">
        <w:rPr>
          <w:i/>
        </w:rPr>
        <w:t>i</w:t>
      </w:r>
      <w:proofErr w:type="spellEnd"/>
      <w:r w:rsidRPr="00E6375C">
        <w:t xml:space="preserve"> from country </w:t>
      </w:r>
      <w:r w:rsidRPr="00E6375C">
        <w:rPr>
          <w:i/>
        </w:rPr>
        <w:t>j</w:t>
      </w:r>
      <w:r w:rsidRPr="00E6375C">
        <w:t xml:space="preserve">, reported by country </w:t>
      </w:r>
      <w:proofErr w:type="spellStart"/>
      <w:r w:rsidRPr="00E6375C">
        <w:rPr>
          <w:i/>
        </w:rPr>
        <w:t>i</w:t>
      </w:r>
      <w:proofErr w:type="spellEnd"/>
      <w:r w:rsidRPr="00E6375C">
        <w:t xml:space="preserve">, should equal FDI outflows from country </w:t>
      </w:r>
      <w:r w:rsidRPr="00E6375C">
        <w:rPr>
          <w:i/>
        </w:rPr>
        <w:t>j</w:t>
      </w:r>
      <w:r w:rsidRPr="00E6375C">
        <w:t xml:space="preserve"> to country </w:t>
      </w:r>
      <w:proofErr w:type="spellStart"/>
      <w:r w:rsidRPr="00E6375C">
        <w:rPr>
          <w:i/>
        </w:rPr>
        <w:t>i</w:t>
      </w:r>
      <w:proofErr w:type="spellEnd"/>
      <w:r w:rsidRPr="00E6375C">
        <w:t xml:space="preserve">, reported by country </w:t>
      </w:r>
      <w:r w:rsidRPr="00E6375C">
        <w:rPr>
          <w:i/>
        </w:rPr>
        <w:t>j</w:t>
      </w:r>
      <w:r w:rsidRPr="00E6375C">
        <w:t xml:space="preserve"> [i.e. presuming they are all measured in the same currency and converted consistently]. And, the sum of all FDI inflows should match the sum of all FDI outflows. </w:t>
      </w:r>
      <w:proofErr w:type="gramStart"/>
      <w:r w:rsidRPr="00E6375C">
        <w:t>Similarly</w:t>
      </w:r>
      <w:proofErr w:type="gramEnd"/>
      <w:r w:rsidRPr="00E6375C">
        <w:t xml:space="preserve"> for inward and outward stock</w:t>
      </w:r>
      <w:r w:rsidR="00F67C3A" w:rsidRPr="00E6375C">
        <w:t>s</w:t>
      </w:r>
      <w:r w:rsidRPr="00E6375C">
        <w:t xml:space="preserve">. Unfortunately, because of the variations in interpretation of the definition of FDI and in the data compiling methodologies, inbound and outbound FDI data rarely match </w:t>
      </w:r>
      <w:r w:rsidRPr="00E6375C">
        <w:fldChar w:fldCharType="begin"/>
      </w:r>
      <w:r w:rsidR="00CB3E6E" w:rsidRPr="00E6375C">
        <w:instrText xml:space="preserve"> ADDIN EN.CITE &lt;EndNote&gt;&lt;Cite&gt;&lt;Author&gt;Fujita&lt;/Author&gt;&lt;Year&gt;2008&lt;/Year&gt;&lt;RecNum&gt;185&lt;/RecNum&gt;&lt;DisplayText&gt;(Fujita, 2008; Gouel et al., 2012)&lt;/DisplayText&gt;&lt;record&gt;&lt;rec-number&gt;185&lt;/rec-number&gt;&lt;foreign-keys&gt;&lt;key app="EN" db-id="fx0srvwzktwrpse5rpz5pda3vf5vr952vza2" timestamp="1508710756"&gt;185&lt;/key&gt;&lt;key app="ENWeb" db-id=""&gt;0&lt;/key&gt;&lt;/foreign-keys&gt;&lt;ref-type name="Journal Article"&gt;17&lt;/ref-type&gt;&lt;contributors&gt;&lt;authors&gt;&lt;author&gt;Masataka Fujita&lt;/author&gt;&lt;/authors&gt;&lt;/contributors&gt;&lt;titles&gt;&lt;title&gt;A critical assessment of FDI data and policy implications&lt;/title&gt;&lt;secondary-title&gt;Transnational Corporations&lt;/secondary-title&gt;&lt;/titles&gt;&lt;periodical&gt;&lt;full-title&gt;Transnational Corporations&lt;/full-title&gt;&lt;/periodical&gt;&lt;pages&gt;107-126&lt;/pages&gt;&lt;volume&gt;17&lt;/volume&gt;&lt;number&gt;2&lt;/number&gt;&lt;dates&gt;&lt;year&gt;2008&lt;/year&gt;&lt;/dates&gt;&lt;urls&gt;&lt;/urls&gt;&lt;/record&gt;&lt;/Cite&gt;&lt;Cite&gt;&lt;Author&gt;Gouel&lt;/Author&gt;&lt;Year&gt;2012&lt;/Year&gt;&lt;RecNum&gt;250&lt;/RecNum&gt;&lt;record&gt;&lt;rec-number&gt;250&lt;/rec-number&gt;&lt;foreign-keys&gt;&lt;key app="EN" db-id="fx0srvwzktwrpse5rpz5pda3vf5vr952vza2" timestamp="1508710987"&gt;250&lt;/key&gt;&lt;key app="ENWeb" db-id=""&gt;0&lt;/key&gt;&lt;/foreign-keys&gt;&lt;ref-type name="Report"&gt;27&lt;/ref-type&gt;&lt;contributors&gt;&lt;authors&gt;&lt;author&gt;Christophe Gouel&lt;/author&gt;&lt;author&gt;Houssein Guimbard&lt;/author&gt;&lt;author&gt;David Laborde&lt;/author&gt;&lt;/authors&gt;&lt;/contributors&gt;&lt;titles&gt;&lt;title&gt;A Foreign Direct Investment database for global CGE models.  Working Paper 2012&lt;/title&gt;&lt;/titles&gt;&lt;number&gt;08&lt;/number&gt;&lt;dates&gt;&lt;year&gt;2012&lt;/year&gt;&lt;/dates&gt;&lt;pub-location&gt;Paris&lt;/pub-location&gt;&lt;publisher&gt;CEPII&lt;/publisher&gt;&lt;urls&gt;&lt;/urls&gt;&lt;/record&gt;&lt;/Cite&gt;&lt;/EndNote&gt;</w:instrText>
      </w:r>
      <w:r w:rsidRPr="00E6375C">
        <w:fldChar w:fldCharType="separate"/>
      </w:r>
      <w:r w:rsidR="005A0A8A" w:rsidRPr="00E6375C">
        <w:rPr>
          <w:noProof/>
        </w:rPr>
        <w:t>(Fujita, 2008; Gouel et al., 2012)</w:t>
      </w:r>
      <w:r w:rsidRPr="00E6375C">
        <w:fldChar w:fldCharType="end"/>
      </w:r>
      <w:r w:rsidR="002F734E" w:rsidRPr="00E6375C">
        <w:t>. This</w:t>
      </w:r>
      <w:r w:rsidRPr="00E6375C">
        <w:t xml:space="preserve"> is </w:t>
      </w:r>
      <w:proofErr w:type="gramStart"/>
      <w:r w:rsidRPr="00E6375C">
        <w:t>similar to</w:t>
      </w:r>
      <w:proofErr w:type="gramEnd"/>
      <w:r w:rsidRPr="00E6375C">
        <w:t xml:space="preserve"> trade data. However, statistic publications give a very general picture of the discrepancies in total global inward and outward FDI but do not scrutinise the problem in detail. </w:t>
      </w:r>
    </w:p>
    <w:p w:rsidR="00517F2F" w:rsidRPr="00E6375C" w:rsidRDefault="00517F2F" w:rsidP="00517F2F">
      <w:pPr>
        <w:spacing w:after="240"/>
        <w:jc w:val="both"/>
      </w:pPr>
      <w:r w:rsidRPr="00E6375C">
        <w:t>Data discrepancies in bilateral FDI data have not been investigated or well-documented in any empirical studies. Empirical researchers may or may not be aware of this problem and simply use one data series for flows (inflows or outflows) and/or one series for stock</w:t>
      </w:r>
      <w:r w:rsidR="00F3468E" w:rsidRPr="00E6375C">
        <w:t>s</w:t>
      </w:r>
      <w:r w:rsidRPr="00E6375C">
        <w:t xml:space="preserve"> (</w:t>
      </w:r>
      <w:proofErr w:type="spellStart"/>
      <w:r w:rsidRPr="00E6375C">
        <w:t>instock</w:t>
      </w:r>
      <w:proofErr w:type="spellEnd"/>
      <w:r w:rsidRPr="00E6375C">
        <w:t xml:space="preserve"> or </w:t>
      </w:r>
      <w:proofErr w:type="spellStart"/>
      <w:r w:rsidRPr="00E6375C">
        <w:t>outstock</w:t>
      </w:r>
      <w:proofErr w:type="spellEnd"/>
      <w:r w:rsidRPr="00E6375C">
        <w:t xml:space="preserve">) without justifying their choice. Therefore, this section aims to fill this gap, and give researchers a clearer idea about the choice of bilateral FDI data, i.e. what data series to use: flows or stocks, inbound or outbound, and why? </w:t>
      </w:r>
    </w:p>
    <w:p w:rsidR="00517F2F" w:rsidRPr="00E6375C" w:rsidRDefault="00517F2F" w:rsidP="00517F2F">
      <w:pPr>
        <w:pStyle w:val="ListParagraph"/>
        <w:numPr>
          <w:ilvl w:val="0"/>
          <w:numId w:val="15"/>
        </w:numPr>
        <w:spacing w:after="240"/>
        <w:jc w:val="both"/>
        <w:rPr>
          <w:b/>
        </w:rPr>
      </w:pPr>
      <w:r w:rsidRPr="00E6375C">
        <w:rPr>
          <w:b/>
        </w:rPr>
        <w:t>Stock</w:t>
      </w:r>
      <w:r w:rsidR="00D01F6B" w:rsidRPr="00E6375C">
        <w:rPr>
          <w:b/>
        </w:rPr>
        <w:t>s</w:t>
      </w:r>
      <w:r w:rsidRPr="00E6375C">
        <w:rPr>
          <w:b/>
        </w:rPr>
        <w:t xml:space="preserve"> or Flow</w:t>
      </w:r>
      <w:r w:rsidR="00D01F6B" w:rsidRPr="00E6375C">
        <w:rPr>
          <w:b/>
        </w:rPr>
        <w:t>s</w:t>
      </w:r>
      <w:r w:rsidRPr="00E6375C">
        <w:rPr>
          <w:b/>
        </w:rPr>
        <w:t>?</w:t>
      </w:r>
    </w:p>
    <w:p w:rsidR="00517F2F" w:rsidRPr="00E6375C" w:rsidRDefault="0044243A" w:rsidP="00517F2F">
      <w:pPr>
        <w:spacing w:after="240"/>
        <w:jc w:val="both"/>
      </w:pPr>
      <w:r w:rsidRPr="00E6375C">
        <w:t>Table A2</w:t>
      </w:r>
      <w:r w:rsidR="00517F2F" w:rsidRPr="00E6375C">
        <w:t xml:space="preserve"> demonstrates the correlations and maximum differences in data series from UNCTAD and OECD. </w:t>
      </w:r>
      <w:r w:rsidR="00E3648C" w:rsidRPr="00E6375C">
        <w:t>T</w:t>
      </w:r>
      <w:r w:rsidR="00517F2F" w:rsidRPr="00E6375C">
        <w:t xml:space="preserve">he number of countries in UNCTAD database decreases to 201 after I exclude all mirror data and </w:t>
      </w:r>
      <w:r w:rsidR="00347C83" w:rsidRPr="00E6375C">
        <w:t>the countries that do not report any data series originally</w:t>
      </w:r>
      <w:r w:rsidR="00517F2F" w:rsidRPr="00E6375C">
        <w:t xml:space="preserve">. In addition, although there are more than 200 economies in the whole OECD database, the number of countries entering the correlation is only 35 which are all the reporters of OECD </w:t>
      </w:r>
      <w:r w:rsidR="00517F2F" w:rsidRPr="00E6375C">
        <w:lastRenderedPageBreak/>
        <w:t>data, i.e. 35 OECD members. This is because only the country pairs with both in the OECD report data from both directions (inbound and outbound).</w:t>
      </w:r>
    </w:p>
    <w:p w:rsidR="00517F2F" w:rsidRPr="00E6375C" w:rsidRDefault="00517F2F" w:rsidP="00517F2F">
      <w:pPr>
        <w:spacing w:after="240"/>
        <w:jc w:val="both"/>
      </w:pPr>
      <w:r w:rsidRPr="00E6375C">
        <w:t xml:space="preserve">As demonstrated in </w:t>
      </w:r>
      <w:r w:rsidR="0044243A" w:rsidRPr="00E6375C">
        <w:t>Table A2</w:t>
      </w:r>
      <w:r w:rsidRPr="00E6375C">
        <w:t xml:space="preserve">, the discrepancies in FDI data series from either OECD or UNCTAD are almost the same although UNCTAD does have </w:t>
      </w:r>
      <w:r w:rsidR="00D01F6B" w:rsidRPr="00E6375C">
        <w:t>considerably</w:t>
      </w:r>
      <w:r w:rsidRPr="00E6375C">
        <w:t xml:space="preserve"> more developing countries originally reporting data in their database. </w:t>
      </w:r>
      <w:proofErr w:type="gramStart"/>
      <w:r w:rsidRPr="00E6375C">
        <w:t>In particular, between</w:t>
      </w:r>
      <w:proofErr w:type="gramEnd"/>
      <w:r w:rsidRPr="00E6375C">
        <w:t xml:space="preserve"> outflows and inflows data series the correlation is less than 0.5 and the maximum difference is more than 100 million USD in both data sources. If we looked only at the data from UNCTAD, we would think that the discrepancies come from low quality data reported by developing countries compared to the same data reported by developed countries. But</w:t>
      </w:r>
      <w:r w:rsidR="007061F6" w:rsidRPr="00E6375C">
        <w:t>,</w:t>
      </w:r>
      <w:r w:rsidRPr="00E6375C">
        <w:t xml:space="preserve"> </w:t>
      </w:r>
      <w:r w:rsidR="0044243A" w:rsidRPr="00E6375C">
        <w:t>Table A2</w:t>
      </w:r>
      <w:r w:rsidRPr="00E6375C">
        <w:t xml:space="preserve"> shows that data discrepancies in bilateral FDI are a problem in both databases. Moreover, </w:t>
      </w:r>
      <w:proofErr w:type="gramStart"/>
      <w:r w:rsidRPr="00E6375C">
        <w:t>the majority of</w:t>
      </w:r>
      <w:proofErr w:type="gramEnd"/>
      <w:r w:rsidRPr="00E6375C">
        <w:t xml:space="preserve"> the pairs that have large differences actually come from developed country pairs. For instance, Belgium reports inflows from Luxemburg in 2008 at around 63</w:t>
      </w:r>
      <w:r w:rsidR="000545A4" w:rsidRPr="00E6375C">
        <w:t>.8</w:t>
      </w:r>
      <w:r w:rsidRPr="00E6375C">
        <w:t xml:space="preserve"> billion USD while Luxemburg reports outflows to Belgium in the same year at approximately -48 billion USD in both databases. Moreover, </w:t>
      </w:r>
      <w:r w:rsidR="00F3468E" w:rsidRPr="00E6375C">
        <w:t xml:space="preserve">though not shown in the table, </w:t>
      </w:r>
      <w:r w:rsidRPr="00E6375C">
        <w:t>the correlation between the same data series reported by UNCTAD and OECD is very high, i.e. above 0.97 for flow series and above 0.99 for stock series. Thus, discrepancies in bilateral FDI data are a problem for both developed and developing countries.</w:t>
      </w:r>
    </w:p>
    <w:p w:rsidR="00517F2F" w:rsidRPr="00E6375C" w:rsidRDefault="0044243A" w:rsidP="00517F2F">
      <w:pPr>
        <w:spacing w:after="240"/>
        <w:jc w:val="both"/>
        <w:rPr>
          <w:b/>
        </w:rPr>
      </w:pPr>
      <w:r w:rsidRPr="00E6375C">
        <w:rPr>
          <w:b/>
        </w:rPr>
        <w:t>Table A2</w:t>
      </w:r>
      <w:r w:rsidR="00517F2F" w:rsidRPr="00E6375C">
        <w:rPr>
          <w:b/>
        </w:rPr>
        <w:t xml:space="preserve">: Correlations and Differences </w:t>
      </w:r>
      <w:r w:rsidR="00FD673F" w:rsidRPr="00E6375C">
        <w:rPr>
          <w:b/>
        </w:rPr>
        <w:t>between</w:t>
      </w:r>
      <w:r w:rsidR="00517F2F" w:rsidRPr="00E6375C">
        <w:rPr>
          <w:b/>
        </w:rPr>
        <w:t xml:space="preserve"> Data Series</w:t>
      </w:r>
    </w:p>
    <w:tbl>
      <w:tblPr>
        <w:tblW w:w="8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340"/>
        <w:gridCol w:w="2277"/>
        <w:gridCol w:w="2346"/>
      </w:tblGrid>
      <w:tr w:rsidR="00517F2F" w:rsidRPr="00E6375C" w:rsidTr="00FE1CCE">
        <w:trPr>
          <w:trHeight w:val="260"/>
          <w:jc w:val="center"/>
        </w:trPr>
        <w:tc>
          <w:tcPr>
            <w:tcW w:w="1908"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rPr>
                <w:b/>
              </w:rPr>
            </w:pP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rPr>
                <w:sz w:val="20"/>
                <w:szCs w:val="20"/>
                <w:lang w:eastAsia="en-NZ"/>
              </w:rPr>
            </w:pPr>
          </w:p>
        </w:tc>
        <w:tc>
          <w:tcPr>
            <w:tcW w:w="2277"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jc w:val="center"/>
              <w:rPr>
                <w:rFonts w:eastAsia="Times New Roman"/>
                <w:color w:val="000000"/>
                <w:lang w:eastAsia="en-NZ"/>
              </w:rPr>
            </w:pPr>
            <w:r w:rsidRPr="00E6375C">
              <w:rPr>
                <w:rFonts w:eastAsia="Times New Roman"/>
                <w:color w:val="000000"/>
                <w:lang w:eastAsia="en-NZ"/>
              </w:rPr>
              <w:t>UNCTAD</w:t>
            </w:r>
          </w:p>
        </w:tc>
        <w:tc>
          <w:tcPr>
            <w:tcW w:w="2346"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jc w:val="center"/>
              <w:rPr>
                <w:rFonts w:eastAsia="Times New Roman"/>
                <w:color w:val="000000"/>
                <w:lang w:eastAsia="en-NZ"/>
              </w:rPr>
            </w:pPr>
            <w:r w:rsidRPr="00E6375C">
              <w:rPr>
                <w:rFonts w:eastAsia="Times New Roman"/>
                <w:color w:val="000000"/>
                <w:lang w:eastAsia="en-NZ"/>
              </w:rPr>
              <w:t>OECD</w:t>
            </w:r>
          </w:p>
        </w:tc>
      </w:tr>
      <w:tr w:rsidR="00517F2F" w:rsidRPr="00E6375C" w:rsidTr="00FE1CCE">
        <w:trPr>
          <w:trHeight w:val="262"/>
          <w:jc w:val="center"/>
        </w:trPr>
        <w:tc>
          <w:tcPr>
            <w:tcW w:w="1908" w:type="dxa"/>
            <w:vMerge w:val="restart"/>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517F2F">
            <w:pPr>
              <w:spacing w:after="0" w:line="240" w:lineRule="auto"/>
              <w:rPr>
                <w:rFonts w:eastAsia="Times New Roman"/>
                <w:color w:val="000000"/>
                <w:lang w:eastAsia="en-NZ"/>
              </w:rPr>
            </w:pPr>
            <w:r w:rsidRPr="00E6375C">
              <w:rPr>
                <w:rFonts w:eastAsia="Times New Roman"/>
                <w:color w:val="000000"/>
                <w:lang w:eastAsia="en-NZ"/>
              </w:rPr>
              <w:t>Between inflows and outflows</w:t>
            </w: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rPr>
                <w:rFonts w:eastAsia="Times New Roman"/>
                <w:color w:val="000000"/>
                <w:lang w:eastAsia="en-NZ"/>
              </w:rPr>
            </w:pPr>
            <w:r w:rsidRPr="00E6375C">
              <w:rPr>
                <w:rFonts w:eastAsia="Times New Roman"/>
                <w:color w:val="000000"/>
                <w:lang w:eastAsia="en-NZ"/>
              </w:rPr>
              <w:t>Correlations</w:t>
            </w:r>
          </w:p>
        </w:tc>
        <w:tc>
          <w:tcPr>
            <w:tcW w:w="2277"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7E78BF">
            <w:pPr>
              <w:spacing w:after="0" w:line="240" w:lineRule="auto"/>
              <w:jc w:val="right"/>
              <w:rPr>
                <w:rFonts w:eastAsia="Times New Roman"/>
                <w:color w:val="000000"/>
                <w:lang w:eastAsia="en-NZ"/>
              </w:rPr>
            </w:pPr>
            <w:r w:rsidRPr="00E6375C">
              <w:rPr>
                <w:rFonts w:eastAsia="Times New Roman"/>
                <w:color w:val="000000"/>
                <w:lang w:eastAsia="en-NZ"/>
              </w:rPr>
              <w:t>0.475</w:t>
            </w:r>
          </w:p>
        </w:tc>
        <w:tc>
          <w:tcPr>
            <w:tcW w:w="2346"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1A4C7C" w:rsidP="007E78BF">
            <w:pPr>
              <w:spacing w:after="0" w:line="240" w:lineRule="auto"/>
              <w:jc w:val="right"/>
              <w:rPr>
                <w:rFonts w:eastAsia="Times New Roman"/>
                <w:color w:val="000000"/>
                <w:lang w:eastAsia="en-NZ"/>
              </w:rPr>
            </w:pPr>
            <w:r w:rsidRPr="00E6375C">
              <w:rPr>
                <w:rFonts w:eastAsia="Times New Roman"/>
                <w:color w:val="000000"/>
                <w:lang w:eastAsia="en-NZ"/>
              </w:rPr>
              <w:t>0.409</w:t>
            </w:r>
          </w:p>
        </w:tc>
      </w:tr>
      <w:tr w:rsidR="00517F2F" w:rsidRPr="00E6375C" w:rsidTr="00FE1CCE">
        <w:trPr>
          <w:trHeight w:val="262"/>
          <w:jc w:val="center"/>
        </w:trPr>
        <w:tc>
          <w:tcPr>
            <w:tcW w:w="1908" w:type="dxa"/>
            <w:vMerge/>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517F2F">
            <w:pPr>
              <w:spacing w:after="0"/>
              <w:rPr>
                <w:rFonts w:eastAsia="Times New Roman"/>
                <w:color w:val="000000"/>
                <w:lang w:eastAsia="en-NZ"/>
              </w:rPr>
            </w:pP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rPr>
                <w:rFonts w:eastAsia="Times New Roman"/>
                <w:color w:val="000000"/>
                <w:lang w:eastAsia="en-NZ"/>
              </w:rPr>
            </w:pPr>
            <w:r w:rsidRPr="00E6375C">
              <w:rPr>
                <w:rFonts w:eastAsia="Times New Roman"/>
                <w:color w:val="000000"/>
                <w:lang w:eastAsia="en-NZ"/>
              </w:rPr>
              <w:t>Maximum difference</w:t>
            </w:r>
          </w:p>
        </w:tc>
        <w:tc>
          <w:tcPr>
            <w:tcW w:w="2277"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FE1CCE" w:rsidP="007E78BF">
            <w:pPr>
              <w:spacing w:after="0" w:line="240" w:lineRule="auto"/>
              <w:jc w:val="right"/>
              <w:rPr>
                <w:rFonts w:eastAsia="Times New Roman"/>
                <w:color w:val="000000"/>
                <w:lang w:eastAsia="en-NZ"/>
              </w:rPr>
            </w:pPr>
            <w:r w:rsidRPr="00E6375C">
              <w:rPr>
                <w:rFonts w:eastAsia="Times New Roman"/>
                <w:color w:val="000000"/>
                <w:lang w:eastAsia="en-NZ"/>
              </w:rPr>
              <w:t>111.854</w:t>
            </w:r>
            <w:r w:rsidR="00517F2F" w:rsidRPr="00E6375C">
              <w:rPr>
                <w:rFonts w:eastAsia="Times New Roman"/>
                <w:color w:val="000000"/>
                <w:lang w:eastAsia="en-NZ"/>
              </w:rPr>
              <w:t xml:space="preserve"> billion USD</w:t>
            </w:r>
          </w:p>
        </w:tc>
        <w:tc>
          <w:tcPr>
            <w:tcW w:w="2346"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7E78BF">
            <w:pPr>
              <w:spacing w:after="0" w:line="240" w:lineRule="auto"/>
              <w:jc w:val="right"/>
              <w:rPr>
                <w:rFonts w:eastAsia="Times New Roman"/>
                <w:color w:val="000000"/>
                <w:lang w:eastAsia="en-NZ"/>
              </w:rPr>
            </w:pPr>
            <w:r w:rsidRPr="00E6375C">
              <w:rPr>
                <w:rFonts w:eastAsia="Times New Roman"/>
                <w:color w:val="000000"/>
                <w:lang w:eastAsia="en-NZ"/>
              </w:rPr>
              <w:t>1</w:t>
            </w:r>
            <w:r w:rsidR="00FE1CCE" w:rsidRPr="00E6375C">
              <w:rPr>
                <w:rFonts w:eastAsia="Times New Roman"/>
                <w:color w:val="000000"/>
                <w:lang w:eastAsia="en-NZ"/>
              </w:rPr>
              <w:t>10.819</w:t>
            </w:r>
            <w:r w:rsidRPr="00E6375C">
              <w:rPr>
                <w:rFonts w:eastAsia="Times New Roman"/>
                <w:color w:val="000000"/>
                <w:lang w:eastAsia="en-NZ"/>
              </w:rPr>
              <w:t xml:space="preserve"> billion USD</w:t>
            </w:r>
          </w:p>
        </w:tc>
      </w:tr>
      <w:tr w:rsidR="00517F2F" w:rsidRPr="00E6375C" w:rsidTr="00FE1CCE">
        <w:trPr>
          <w:trHeight w:val="262"/>
          <w:jc w:val="center"/>
        </w:trPr>
        <w:tc>
          <w:tcPr>
            <w:tcW w:w="1908" w:type="dxa"/>
            <w:vMerge w:val="restart"/>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517F2F">
            <w:pPr>
              <w:spacing w:after="0" w:line="240" w:lineRule="auto"/>
              <w:rPr>
                <w:rFonts w:eastAsia="Times New Roman"/>
                <w:color w:val="000000"/>
                <w:lang w:eastAsia="en-NZ"/>
              </w:rPr>
            </w:pPr>
            <w:r w:rsidRPr="00E6375C">
              <w:rPr>
                <w:rFonts w:eastAsia="Times New Roman"/>
                <w:color w:val="000000"/>
                <w:lang w:eastAsia="en-NZ"/>
              </w:rPr>
              <w:t xml:space="preserve">Between </w:t>
            </w:r>
            <w:proofErr w:type="spellStart"/>
            <w:r w:rsidRPr="00E6375C">
              <w:rPr>
                <w:rFonts w:eastAsia="Times New Roman"/>
                <w:color w:val="000000"/>
                <w:lang w:eastAsia="en-NZ"/>
              </w:rPr>
              <w:t>instock</w:t>
            </w:r>
            <w:proofErr w:type="spellEnd"/>
            <w:r w:rsidRPr="00E6375C">
              <w:rPr>
                <w:rFonts w:eastAsia="Times New Roman"/>
                <w:color w:val="000000"/>
                <w:lang w:eastAsia="en-NZ"/>
              </w:rPr>
              <w:t xml:space="preserve"> and </w:t>
            </w:r>
            <w:proofErr w:type="spellStart"/>
            <w:r w:rsidRPr="00E6375C">
              <w:rPr>
                <w:rFonts w:eastAsia="Times New Roman"/>
                <w:color w:val="000000"/>
                <w:lang w:eastAsia="en-NZ"/>
              </w:rPr>
              <w:t>outstock</w:t>
            </w:r>
            <w:proofErr w:type="spellEnd"/>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rPr>
                <w:rFonts w:eastAsia="Times New Roman"/>
                <w:color w:val="000000"/>
                <w:lang w:eastAsia="en-NZ"/>
              </w:rPr>
            </w:pPr>
            <w:r w:rsidRPr="00E6375C">
              <w:rPr>
                <w:rFonts w:eastAsia="Times New Roman"/>
                <w:color w:val="000000"/>
                <w:lang w:eastAsia="en-NZ"/>
              </w:rPr>
              <w:t>Correlations</w:t>
            </w:r>
          </w:p>
        </w:tc>
        <w:tc>
          <w:tcPr>
            <w:tcW w:w="2277"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7E78BF">
            <w:pPr>
              <w:spacing w:after="0" w:line="240" w:lineRule="auto"/>
              <w:jc w:val="right"/>
              <w:rPr>
                <w:rFonts w:eastAsia="Times New Roman"/>
                <w:color w:val="000000"/>
                <w:lang w:eastAsia="en-NZ"/>
              </w:rPr>
            </w:pPr>
            <w:r w:rsidRPr="00E6375C">
              <w:rPr>
                <w:rFonts w:eastAsia="Times New Roman"/>
                <w:color w:val="000000"/>
                <w:lang w:eastAsia="en-NZ"/>
              </w:rPr>
              <w:t>0.795</w:t>
            </w:r>
          </w:p>
        </w:tc>
        <w:tc>
          <w:tcPr>
            <w:tcW w:w="2346"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1A4C7C" w:rsidP="007E78BF">
            <w:pPr>
              <w:spacing w:after="0" w:line="240" w:lineRule="auto"/>
              <w:jc w:val="right"/>
              <w:rPr>
                <w:rFonts w:eastAsia="Times New Roman"/>
                <w:color w:val="000000"/>
                <w:lang w:eastAsia="en-NZ"/>
              </w:rPr>
            </w:pPr>
            <w:r w:rsidRPr="00E6375C">
              <w:rPr>
                <w:rFonts w:eastAsia="Times New Roman"/>
                <w:color w:val="000000"/>
                <w:lang w:eastAsia="en-NZ"/>
              </w:rPr>
              <w:t>0.775</w:t>
            </w:r>
          </w:p>
        </w:tc>
      </w:tr>
      <w:tr w:rsidR="00517F2F" w:rsidRPr="00E6375C" w:rsidTr="00FE1CCE">
        <w:trPr>
          <w:trHeight w:val="262"/>
          <w:jc w:val="center"/>
        </w:trPr>
        <w:tc>
          <w:tcPr>
            <w:tcW w:w="1908" w:type="dxa"/>
            <w:vMerge/>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517F2F">
            <w:pPr>
              <w:spacing w:after="0"/>
              <w:rPr>
                <w:rFonts w:eastAsia="Times New Roman"/>
                <w:color w:val="000000"/>
                <w:lang w:eastAsia="en-NZ"/>
              </w:rPr>
            </w:pPr>
          </w:p>
        </w:tc>
        <w:tc>
          <w:tcPr>
            <w:tcW w:w="2340"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rPr>
                <w:rFonts w:eastAsia="Times New Roman"/>
                <w:color w:val="000000"/>
                <w:lang w:eastAsia="en-NZ"/>
              </w:rPr>
            </w:pPr>
            <w:r w:rsidRPr="00E6375C">
              <w:rPr>
                <w:rFonts w:eastAsia="Times New Roman"/>
                <w:color w:val="000000"/>
                <w:lang w:eastAsia="en-NZ"/>
              </w:rPr>
              <w:t>Maximum difference</w:t>
            </w:r>
          </w:p>
        </w:tc>
        <w:tc>
          <w:tcPr>
            <w:tcW w:w="2277"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FE1CCE" w:rsidP="007E78BF">
            <w:pPr>
              <w:spacing w:after="0" w:line="240" w:lineRule="auto"/>
              <w:jc w:val="right"/>
              <w:rPr>
                <w:rFonts w:eastAsia="Times New Roman"/>
                <w:color w:val="000000"/>
                <w:lang w:eastAsia="en-NZ"/>
              </w:rPr>
            </w:pPr>
            <w:r w:rsidRPr="00E6375C">
              <w:rPr>
                <w:rFonts w:eastAsia="Times New Roman"/>
                <w:color w:val="000000"/>
                <w:lang w:eastAsia="en-NZ"/>
              </w:rPr>
              <w:t>574.718</w:t>
            </w:r>
            <w:r w:rsidR="00517F2F" w:rsidRPr="00E6375C">
              <w:rPr>
                <w:rFonts w:eastAsia="Times New Roman"/>
                <w:color w:val="000000"/>
                <w:lang w:eastAsia="en-NZ"/>
              </w:rPr>
              <w:t xml:space="preserve"> billion USD</w:t>
            </w:r>
          </w:p>
        </w:tc>
        <w:tc>
          <w:tcPr>
            <w:tcW w:w="2346"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FE1CCE" w:rsidP="007E78BF">
            <w:pPr>
              <w:spacing w:after="0" w:line="240" w:lineRule="auto"/>
              <w:jc w:val="right"/>
              <w:rPr>
                <w:rFonts w:eastAsia="Times New Roman"/>
                <w:color w:val="000000"/>
                <w:lang w:eastAsia="en-NZ"/>
              </w:rPr>
            </w:pPr>
            <w:r w:rsidRPr="00E6375C">
              <w:rPr>
                <w:rFonts w:eastAsia="Times New Roman"/>
                <w:color w:val="000000"/>
                <w:lang w:eastAsia="en-NZ"/>
              </w:rPr>
              <w:t>562.902</w:t>
            </w:r>
            <w:r w:rsidR="00517F2F" w:rsidRPr="00E6375C">
              <w:rPr>
                <w:rFonts w:eastAsia="Times New Roman"/>
                <w:color w:val="000000"/>
                <w:lang w:eastAsia="en-NZ"/>
              </w:rPr>
              <w:t xml:space="preserve"> billion USD</w:t>
            </w:r>
          </w:p>
        </w:tc>
      </w:tr>
      <w:tr w:rsidR="00517F2F" w:rsidRPr="00E6375C" w:rsidTr="00FE1CCE">
        <w:trPr>
          <w:trHeight w:val="301"/>
          <w:jc w:val="center"/>
        </w:trPr>
        <w:tc>
          <w:tcPr>
            <w:tcW w:w="4248" w:type="dxa"/>
            <w:gridSpan w:val="2"/>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rPr>
                <w:rFonts w:eastAsia="Times New Roman"/>
                <w:color w:val="000000"/>
                <w:lang w:eastAsia="en-NZ"/>
              </w:rPr>
            </w:pPr>
            <w:r w:rsidRPr="00E6375C">
              <w:rPr>
                <w:rFonts w:eastAsia="Times New Roman"/>
                <w:color w:val="000000"/>
                <w:lang w:eastAsia="en-NZ"/>
              </w:rPr>
              <w:t>Coverage of countries</w:t>
            </w:r>
          </w:p>
        </w:tc>
        <w:tc>
          <w:tcPr>
            <w:tcW w:w="2277"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7E78BF">
            <w:pPr>
              <w:spacing w:after="0" w:line="240" w:lineRule="auto"/>
              <w:jc w:val="right"/>
              <w:rPr>
                <w:rFonts w:eastAsia="Times New Roman"/>
                <w:color w:val="000000"/>
                <w:lang w:eastAsia="en-NZ"/>
              </w:rPr>
            </w:pPr>
            <w:r w:rsidRPr="00E6375C">
              <w:rPr>
                <w:rFonts w:eastAsia="Times New Roman"/>
                <w:color w:val="000000"/>
                <w:lang w:eastAsia="en-NZ"/>
              </w:rPr>
              <w:t>201 economies</w:t>
            </w:r>
          </w:p>
        </w:tc>
        <w:tc>
          <w:tcPr>
            <w:tcW w:w="2346" w:type="dxa"/>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7E78BF">
            <w:pPr>
              <w:spacing w:after="0" w:line="240" w:lineRule="auto"/>
              <w:jc w:val="right"/>
              <w:rPr>
                <w:rFonts w:eastAsia="Times New Roman"/>
                <w:color w:val="000000"/>
                <w:lang w:eastAsia="en-NZ"/>
              </w:rPr>
            </w:pPr>
            <w:r w:rsidRPr="00E6375C">
              <w:rPr>
                <w:rFonts w:eastAsia="Times New Roman"/>
                <w:color w:val="000000"/>
                <w:lang w:eastAsia="en-NZ"/>
              </w:rPr>
              <w:t xml:space="preserve">35 OECD economies </w:t>
            </w:r>
          </w:p>
        </w:tc>
      </w:tr>
    </w:tbl>
    <w:p w:rsidR="00517F2F" w:rsidRPr="00E6375C" w:rsidRDefault="00517F2F" w:rsidP="00517F2F">
      <w:pPr>
        <w:spacing w:after="240"/>
        <w:jc w:val="both"/>
        <w:rPr>
          <w:sz w:val="6"/>
          <w:szCs w:val="6"/>
        </w:rPr>
      </w:pPr>
    </w:p>
    <w:p w:rsidR="00FD673F" w:rsidRPr="00E6375C" w:rsidRDefault="00517F2F" w:rsidP="00517F2F">
      <w:pPr>
        <w:spacing w:after="240"/>
        <w:jc w:val="both"/>
        <w:rPr>
          <w:rFonts w:eastAsiaTheme="minorEastAsia"/>
          <w:szCs w:val="24"/>
        </w:rPr>
      </w:pPr>
      <w:r w:rsidRPr="00E6375C">
        <w:t xml:space="preserve">However, according to </w:t>
      </w:r>
      <w:r w:rsidR="0044243A" w:rsidRPr="00E6375C">
        <w:t>Table A2</w:t>
      </w:r>
      <w:r w:rsidRPr="00E6375C">
        <w:t>, using data on FDI stock</w:t>
      </w:r>
      <w:r w:rsidR="00DE3963" w:rsidRPr="00E6375C">
        <w:t>s</w:t>
      </w:r>
      <w:r w:rsidRPr="00E6375C">
        <w:t xml:space="preserve"> is likely to </w:t>
      </w:r>
      <w:r w:rsidR="005A0A8A" w:rsidRPr="00E6375C">
        <w:t>give</w:t>
      </w:r>
      <w:r w:rsidRPr="00E6375C">
        <w:t xml:space="preserve"> more reliable and consistent </w:t>
      </w:r>
      <w:r w:rsidR="005A0A8A" w:rsidRPr="00E6375C">
        <w:t xml:space="preserve">results </w:t>
      </w:r>
      <w:r w:rsidRPr="00E6375C">
        <w:t>than FDI flows as the bilateral stock data reported by different countries are much more highly correlated than flow data. Also, FDI stock</w:t>
      </w:r>
      <w:r w:rsidR="00F3468E" w:rsidRPr="00E6375C">
        <w:t xml:space="preserve">s </w:t>
      </w:r>
      <w:proofErr w:type="gramStart"/>
      <w:r w:rsidR="00F3468E" w:rsidRPr="00E6375C">
        <w:t>are</w:t>
      </w:r>
      <w:r w:rsidRPr="00E6375C">
        <w:t xml:space="preserve"> considered to be</w:t>
      </w:r>
      <w:proofErr w:type="gramEnd"/>
      <w:r w:rsidRPr="00E6375C">
        <w:t xml:space="preserve"> more stable with less fluctuation than FDI flows. These findings agrees with </w:t>
      </w:r>
      <w:r w:rsidRPr="00E6375C">
        <w:rPr>
          <w:rFonts w:eastAsiaTheme="minorEastAsia"/>
          <w:szCs w:val="24"/>
        </w:rPr>
        <w:fldChar w:fldCharType="begin"/>
      </w:r>
      <w:r w:rsidRPr="00E6375C">
        <w:rPr>
          <w:rFonts w:eastAsiaTheme="minorEastAsia"/>
          <w:szCs w:val="24"/>
        </w:rPr>
        <w:instrText xml:space="preserve"> ADDIN EN.CITE &lt;EndNote&gt;&lt;Cite AuthorYear="1"&gt;&lt;Author&gt;Wacker&lt;/Author&gt;&lt;Year&gt;2016&lt;/Year&gt;&lt;RecNum&gt;482&lt;/RecNum&gt;&lt;DisplayText&gt;Wacker (2016)&lt;/DisplayText&gt;&lt;record&gt;&lt;rec-number&gt;482&lt;/rec-number&gt;&lt;foreign-keys&gt;&lt;key app="EN" db-id="fx0srvwzktwrpse5rpz5pda3vf5vr952vza2" timestamp="1510519147"&gt;482&lt;/key&gt;&lt;/foreign-keys&gt;&lt;ref-type name="Journal Article"&gt;17&lt;/ref-type&gt;&lt;contributors&gt;&lt;authors&gt;&lt;author&gt;Wacker, K. M.&lt;/author&gt;&lt;/authors&gt;&lt;/contributors&gt;&lt;titles&gt;&lt;title&gt;(When) Should We Use Foreign Direct Investment Data to Measure the Activities of Multinational Corporations? Theory and Evidence&lt;/title&gt;&lt;secondary-title&gt;Review of International Economics&lt;/secondary-title&gt;&lt;/titles&gt;&lt;periodical&gt;&lt;full-title&gt;Review of International Economics&lt;/full-title&gt;&lt;/periodical&gt;&lt;pages&gt;980-999&lt;/pages&gt;&lt;volume&gt;24&lt;/volume&gt;&lt;number&gt;5&lt;/number&gt;&lt;dates&gt;&lt;year&gt;2016&lt;/year&gt;&lt;/dates&gt;&lt;isbn&gt;1467-9396&lt;/isbn&gt;&lt;urls&gt;&lt;related-urls&gt;&lt;url&gt;http://dx.doi.org/10.1111/roie.12244&lt;/url&gt;&lt;/related-urls&gt;&lt;/urls&gt;&lt;electronic-resource-num&gt;10.1111/roie.12244&lt;/electronic-resource-num&gt;&lt;/record&gt;&lt;/Cite&gt;&lt;/EndNote&gt;</w:instrText>
      </w:r>
      <w:r w:rsidRPr="00E6375C">
        <w:rPr>
          <w:rFonts w:eastAsiaTheme="minorEastAsia"/>
          <w:szCs w:val="24"/>
        </w:rPr>
        <w:fldChar w:fldCharType="separate"/>
      </w:r>
      <w:r w:rsidRPr="00E6375C">
        <w:rPr>
          <w:rFonts w:eastAsiaTheme="minorEastAsia"/>
          <w:noProof/>
          <w:szCs w:val="24"/>
        </w:rPr>
        <w:t>Wacker (2016)</w:t>
      </w:r>
      <w:r w:rsidRPr="00E6375C">
        <w:rPr>
          <w:rFonts w:eastAsiaTheme="minorEastAsia"/>
          <w:szCs w:val="24"/>
        </w:rPr>
        <w:fldChar w:fldCharType="end"/>
      </w:r>
      <w:r w:rsidRPr="00E6375C">
        <w:rPr>
          <w:rFonts w:eastAsiaTheme="minorEastAsia"/>
          <w:szCs w:val="24"/>
        </w:rPr>
        <w:t xml:space="preserve"> who also shows that FDI stock is a better proxy for measuring multinational firms’ activities. </w:t>
      </w:r>
    </w:p>
    <w:p w:rsidR="00517F2F" w:rsidRPr="00E6375C" w:rsidRDefault="00FD673F" w:rsidP="00517F2F">
      <w:pPr>
        <w:spacing w:after="240"/>
        <w:jc w:val="both"/>
      </w:pPr>
      <w:r w:rsidRPr="00E6375C">
        <w:t>On the other hand</w:t>
      </w:r>
      <w:r w:rsidR="00517F2F" w:rsidRPr="00E6375C">
        <w:t>, FDI flows still possess some important advantages. First, values of FDI flows are more current and matching with other ye</w:t>
      </w:r>
      <w:r w:rsidR="00E72D50" w:rsidRPr="00E6375C">
        <w:t>arly data series, especially those</w:t>
      </w:r>
      <w:r w:rsidR="00517F2F" w:rsidRPr="00E6375C">
        <w:t xml:space="preserve"> in </w:t>
      </w:r>
      <w:r w:rsidR="00517F2F" w:rsidRPr="00E6375C">
        <w:lastRenderedPageBreak/>
        <w:t>monetary units such as</w:t>
      </w:r>
      <w:r w:rsidR="00F3468E" w:rsidRPr="00E6375C">
        <w:t xml:space="preserve"> annual</w:t>
      </w:r>
      <w:r w:rsidR="00517F2F" w:rsidRPr="00E6375C">
        <w:t xml:space="preserve"> GDPs a</w:t>
      </w:r>
      <w:r w:rsidR="00F67C3A" w:rsidRPr="00E6375C">
        <w:t>nd wages.</w:t>
      </w:r>
      <w:r w:rsidR="00E15694" w:rsidRPr="00E6375C">
        <w:t xml:space="preserve"> According to UNCTAD, many countries report FDI stocks by the cumulative sum of FDI flows over </w:t>
      </w:r>
      <w:proofErr w:type="gramStart"/>
      <w:r w:rsidR="00E15694" w:rsidRPr="00E6375C">
        <w:t>a number of</w:t>
      </w:r>
      <w:proofErr w:type="gramEnd"/>
      <w:r w:rsidR="00E15694" w:rsidRPr="00E6375C">
        <w:t xml:space="preserve"> years.</w:t>
      </w:r>
      <w:r w:rsidR="00F67C3A" w:rsidRPr="00E6375C">
        <w:t xml:space="preserve"> FDI stocks this year may be</w:t>
      </w:r>
      <w:r w:rsidR="00517F2F" w:rsidRPr="00E6375C">
        <w:t xml:space="preserve"> calculated by </w:t>
      </w:r>
      <w:r w:rsidR="00F67C3A" w:rsidRPr="00E6375C">
        <w:t xml:space="preserve">simply </w:t>
      </w:r>
      <w:r w:rsidR="00517F2F" w:rsidRPr="00E6375C">
        <w:t>adding curr</w:t>
      </w:r>
      <w:r w:rsidR="00E72D50" w:rsidRPr="00E6375C">
        <w:t>ent FDI flows to</w:t>
      </w:r>
      <w:r w:rsidR="00517F2F" w:rsidRPr="00E6375C">
        <w:t xml:space="preserve"> FDI stock value last year. </w:t>
      </w:r>
      <w:r w:rsidR="00E15694" w:rsidRPr="00E6375C">
        <w:t>T</w:t>
      </w:r>
      <w:r w:rsidR="00517F2F" w:rsidRPr="00E6375C">
        <w:t>he past value of FDI stock</w:t>
      </w:r>
      <w:r w:rsidR="00F67C3A" w:rsidRPr="00E6375C">
        <w:t>s</w:t>
      </w:r>
      <w:r w:rsidR="00517F2F" w:rsidRPr="00E6375C">
        <w:t xml:space="preserve"> is not adjusted</w:t>
      </w:r>
      <w:r w:rsidR="00E72D50" w:rsidRPr="00E6375C">
        <w:t xml:space="preserve"> for</w:t>
      </w:r>
      <w:r w:rsidR="00517F2F" w:rsidRPr="00E6375C">
        <w:t xml:space="preserve"> inflation and thus </w:t>
      </w:r>
      <w:r w:rsidR="00E72D50" w:rsidRPr="00E6375C">
        <w:t xml:space="preserve">the </w:t>
      </w:r>
      <w:r w:rsidR="00517F2F" w:rsidRPr="00E6375C">
        <w:t xml:space="preserve">FDI stock value this year does not reflect the current value of the investment made </w:t>
      </w:r>
      <w:r w:rsidR="00E72D50" w:rsidRPr="00E6375C">
        <w:t xml:space="preserve">a </w:t>
      </w:r>
      <w:r w:rsidR="00517F2F" w:rsidRPr="00E6375C">
        <w:t xml:space="preserve">few years ago. </w:t>
      </w:r>
      <w:r w:rsidR="00F67C3A" w:rsidRPr="00E6375C">
        <w:t xml:space="preserve">Additionally, FDI flow </w:t>
      </w:r>
      <w:r w:rsidR="00517F2F" w:rsidRPr="00E6375C">
        <w:t xml:space="preserve">data can provide more accurate information for the yearly binary response of </w:t>
      </w:r>
      <w:proofErr w:type="gramStart"/>
      <w:r w:rsidR="00517F2F" w:rsidRPr="00E6375C">
        <w:t>whether or not</w:t>
      </w:r>
      <w:proofErr w:type="gramEnd"/>
      <w:r w:rsidR="00517F2F" w:rsidRPr="00E6375C">
        <w:t xml:space="preserve"> to invest as there are cases where the value of FDI stock</w:t>
      </w:r>
      <w:r w:rsidR="00F67C3A" w:rsidRPr="00E6375C">
        <w:t>s</w:t>
      </w:r>
      <w:r w:rsidR="00517F2F" w:rsidRPr="00E6375C">
        <w:t xml:space="preserve"> can be positive but the amount of FDI flow</w:t>
      </w:r>
      <w:r w:rsidR="00F67C3A" w:rsidRPr="00E6375C">
        <w:t>s</w:t>
      </w:r>
      <w:r w:rsidR="00517F2F" w:rsidRPr="00E6375C">
        <w:t xml:space="preserve"> in the same year is actually zero. Simply speaking, both data series have their own advantages and disadvantages and research should employ both data series to draw concrete conclusions. </w:t>
      </w:r>
    </w:p>
    <w:p w:rsidR="00517F2F" w:rsidRPr="00E6375C" w:rsidRDefault="00517F2F" w:rsidP="00517F2F">
      <w:pPr>
        <w:pStyle w:val="ListParagraph"/>
        <w:numPr>
          <w:ilvl w:val="0"/>
          <w:numId w:val="15"/>
        </w:numPr>
        <w:spacing w:after="240"/>
        <w:jc w:val="both"/>
        <w:rPr>
          <w:b/>
        </w:rPr>
      </w:pPr>
      <w:r w:rsidRPr="00E6375C">
        <w:rPr>
          <w:b/>
        </w:rPr>
        <w:t>Negative FDI</w:t>
      </w:r>
    </w:p>
    <w:p w:rsidR="00517F2F" w:rsidRPr="00E6375C" w:rsidRDefault="000545A4" w:rsidP="00517F2F">
      <w:pPr>
        <w:spacing w:after="240"/>
        <w:jc w:val="both"/>
      </w:pPr>
      <w:r w:rsidRPr="00E6375C">
        <w:t xml:space="preserve">More complicated than </w:t>
      </w:r>
      <w:r w:rsidR="00517F2F" w:rsidRPr="00E6375C">
        <w:t>trade data, bilateral FDI data do not only contain excessive zeros but also have negative values. In this study, I ignore negative FDI as these ob</w:t>
      </w:r>
      <w:r w:rsidR="005404A1" w:rsidRPr="00E6375C">
        <w:t>servations are included in the participation equation</w:t>
      </w:r>
      <w:r w:rsidR="00517F2F" w:rsidRPr="00E6375C">
        <w:t xml:space="preserve"> only and considered as “no investment” outcome. Negative FDI stock</w:t>
      </w:r>
      <w:r w:rsidR="00F3468E" w:rsidRPr="00E6375C">
        <w:t>s are</w:t>
      </w:r>
      <w:r w:rsidR="00517F2F" w:rsidRPr="00E6375C">
        <w:t xml:space="preserve"> generally the consequences of calculating methods </w:t>
      </w:r>
      <w:r w:rsidR="00517F2F" w:rsidRPr="00E6375C">
        <w:fldChar w:fldCharType="begin"/>
      </w:r>
      <w:r w:rsidR="00CB3E6E" w:rsidRPr="00E6375C">
        <w:instrText xml:space="preserve"> ADDIN EN.CITE &lt;EndNote&gt;&lt;Cite&gt;&lt;Author&gt;Gouel&lt;/Author&gt;&lt;Year&gt;2012&lt;/Year&gt;&lt;RecNum&gt;250&lt;/RecNum&gt;&lt;DisplayText&gt;(Gouel et al., 2012)&lt;/DisplayText&gt;&lt;record&gt;&lt;rec-number&gt;250&lt;/rec-number&gt;&lt;foreign-keys&gt;&lt;key app="EN" db-id="fx0srvwzktwrpse5rpz5pda3vf5vr952vza2" timestamp="1508710987"&gt;250&lt;/key&gt;&lt;key app="ENWeb" db-id=""&gt;0&lt;/key&gt;&lt;/foreign-keys&gt;&lt;ref-type name="Report"&gt;27&lt;/ref-type&gt;&lt;contributors&gt;&lt;authors&gt;&lt;author&gt;Christophe Gouel&lt;/author&gt;&lt;author&gt;Houssein Guimbard&lt;/author&gt;&lt;author&gt;David Laborde&lt;/author&gt;&lt;/authors&gt;&lt;/contributors&gt;&lt;titles&gt;&lt;title&gt;A Foreign Direct Investment database for global CGE models.  Working Paper 2012&lt;/title&gt;&lt;/titles&gt;&lt;number&gt;08&lt;/number&gt;&lt;dates&gt;&lt;year&gt;2012&lt;/year&gt;&lt;/dates&gt;&lt;pub-location&gt;Paris&lt;/pub-location&gt;&lt;publisher&gt;CEPII&lt;/publisher&gt;&lt;urls&gt;&lt;/urls&gt;&lt;/record&gt;&lt;/Cite&gt;&lt;/EndNote&gt;</w:instrText>
      </w:r>
      <w:r w:rsidR="00517F2F" w:rsidRPr="00E6375C">
        <w:fldChar w:fldCharType="separate"/>
      </w:r>
      <w:r w:rsidR="00517F2F" w:rsidRPr="00E6375C">
        <w:rPr>
          <w:noProof/>
        </w:rPr>
        <w:t>(Gouel et al., 2012)</w:t>
      </w:r>
      <w:r w:rsidR="00517F2F" w:rsidRPr="00E6375C">
        <w:fldChar w:fldCharType="end"/>
      </w:r>
      <w:r w:rsidR="00517F2F" w:rsidRPr="00E6375C">
        <w:t>, i.e. FDI stock</w:t>
      </w:r>
      <w:r w:rsidR="00F3468E" w:rsidRPr="00E6375C">
        <w:t>s</w:t>
      </w:r>
      <w:r w:rsidR="00517F2F" w:rsidRPr="00E6375C">
        <w:t xml:space="preserve"> may equal the accumulation of negative F</w:t>
      </w:r>
      <w:r w:rsidRPr="00E6375C">
        <w:t xml:space="preserve">DI flows over a period of time, </w:t>
      </w:r>
      <w:r w:rsidR="00517F2F" w:rsidRPr="00E6375C">
        <w:t xml:space="preserve">and these negative values do not have any real economic meaning. Meanwhile, According to UNCTAD, negative FDI flows are explained as disinvestment and they have a real economic meaning. </w:t>
      </w:r>
      <w:r w:rsidR="00E72D50" w:rsidRPr="00E6375C">
        <w:t xml:space="preserve">In the scope of this study, I do not examine disinvestment. </w:t>
      </w:r>
    </w:p>
    <w:p w:rsidR="00517F2F" w:rsidRPr="00E6375C" w:rsidRDefault="00517F2F" w:rsidP="00517F2F">
      <w:pPr>
        <w:pStyle w:val="ListParagraph"/>
        <w:numPr>
          <w:ilvl w:val="0"/>
          <w:numId w:val="15"/>
        </w:numPr>
        <w:spacing w:after="240"/>
        <w:jc w:val="both"/>
        <w:rPr>
          <w:b/>
        </w:rPr>
      </w:pPr>
      <w:r w:rsidRPr="00E6375C">
        <w:rPr>
          <w:b/>
        </w:rPr>
        <w:t>Inward or Outward?</w:t>
      </w:r>
    </w:p>
    <w:p w:rsidR="00517F2F" w:rsidRPr="00E6375C" w:rsidRDefault="00517F2F" w:rsidP="00517F2F">
      <w:pPr>
        <w:spacing w:after="240"/>
        <w:jc w:val="both"/>
      </w:pPr>
      <w:r w:rsidRPr="00E6375C">
        <w:t xml:space="preserve">Inward/inbound data series (inflows and </w:t>
      </w:r>
      <w:proofErr w:type="spellStart"/>
      <w:r w:rsidRPr="00E6375C">
        <w:t>instock</w:t>
      </w:r>
      <w:proofErr w:type="spellEnd"/>
      <w:r w:rsidRPr="00E6375C">
        <w:t xml:space="preserve">) are reported by the host/receiving country while outward/outbound data series (outflows and </w:t>
      </w:r>
      <w:proofErr w:type="spellStart"/>
      <w:r w:rsidRPr="00E6375C">
        <w:t>outstock</w:t>
      </w:r>
      <w:proofErr w:type="spellEnd"/>
      <w:r w:rsidRPr="00E6375C">
        <w:t xml:space="preserve">) are reported by the source/parent country. </w:t>
      </w:r>
      <w:proofErr w:type="gramStart"/>
      <w:r w:rsidRPr="00E6375C">
        <w:t>Generally speaking, inbound</w:t>
      </w:r>
      <w:proofErr w:type="gramEnd"/>
      <w:r w:rsidRPr="00E6375C">
        <w:t xml:space="preserve"> data reported by the receiving country are usually recorded with more accuracy because foreign investors have to go through a number of registration processes and pay local taxes and fees when investing in that country. Therefore</w:t>
      </w:r>
      <w:r w:rsidR="00091259" w:rsidRPr="00E6375C">
        <w:t>,</w:t>
      </w:r>
      <w:r w:rsidRPr="00E6375C">
        <w:t xml:space="preserve"> the host country government can keep track of the flows or stocks going to their country and the MNE’s activities to some extent. Meanwhile</w:t>
      </w:r>
      <w:r w:rsidR="007061F6" w:rsidRPr="00E6375C">
        <w:t>,</w:t>
      </w:r>
      <w:r w:rsidRPr="00E6375C">
        <w:t xml:space="preserve"> outbound data are more difficult to track from the parent country’s point of view as the investment activity happens abroad. This is </w:t>
      </w:r>
      <w:proofErr w:type="gramStart"/>
      <w:r w:rsidRPr="00E6375C">
        <w:t>similar to</w:t>
      </w:r>
      <w:proofErr w:type="gramEnd"/>
      <w:r w:rsidRPr="00E6375C">
        <w:t xml:space="preserve"> the case of bilateral trade where import data are more accurate than export data because imports create tariff revenues in the destination country while exports do not. Inbound data series are not only more accurate but also provide more observations than </w:t>
      </w:r>
      <w:r w:rsidRPr="00E6375C">
        <w:lastRenderedPageBreak/>
        <w:t xml:space="preserve">outbound data series. This is not surprising as countries tend to report more data on the series they can observe with less difficulty. This is shown in </w:t>
      </w:r>
      <w:r w:rsidR="0044243A" w:rsidRPr="00E6375C">
        <w:t>Table A3</w:t>
      </w:r>
      <w:r w:rsidR="00513D6B" w:rsidRPr="00E6375C">
        <w:t>. The number of observations of</w:t>
      </w:r>
      <w:r w:rsidRPr="00E6375C">
        <w:t xml:space="preserve"> inbound data series is always higher than that of outbound data series for both stock</w:t>
      </w:r>
      <w:r w:rsidR="00DE3963" w:rsidRPr="00E6375C">
        <w:t>s</w:t>
      </w:r>
      <w:r w:rsidRPr="00E6375C">
        <w:t xml:space="preserve"> and flows in </w:t>
      </w:r>
      <w:r w:rsidR="00E72D50" w:rsidRPr="00E6375C">
        <w:t xml:space="preserve">the </w:t>
      </w:r>
      <w:r w:rsidRPr="00E6375C">
        <w:t>UNCTAD database.</w:t>
      </w:r>
    </w:p>
    <w:p w:rsidR="00517F2F" w:rsidRPr="00E6375C" w:rsidRDefault="0044243A" w:rsidP="00517F2F">
      <w:pPr>
        <w:spacing w:after="240"/>
        <w:jc w:val="both"/>
        <w:rPr>
          <w:b/>
        </w:rPr>
      </w:pPr>
      <w:r w:rsidRPr="00E6375C">
        <w:rPr>
          <w:b/>
        </w:rPr>
        <w:t>Table A3</w:t>
      </w:r>
      <w:r w:rsidR="00517F2F" w:rsidRPr="00E6375C">
        <w:rPr>
          <w:b/>
        </w:rPr>
        <w:t xml:space="preserve">: </w:t>
      </w:r>
      <w:r w:rsidR="00395A73" w:rsidRPr="00E6375C">
        <w:rPr>
          <w:b/>
        </w:rPr>
        <w:t xml:space="preserve">Descriptive Statistics on FDI data from </w:t>
      </w:r>
      <w:r w:rsidR="00513D6B" w:rsidRPr="00E6375C">
        <w:rPr>
          <w:b/>
        </w:rPr>
        <w:t xml:space="preserve">UNCTAD Database (million </w:t>
      </w:r>
      <w:r w:rsidR="005404A1" w:rsidRPr="00E6375C">
        <w:rPr>
          <w:b/>
        </w:rPr>
        <w:t>USD</w:t>
      </w:r>
      <w:r w:rsidR="00513D6B" w:rsidRPr="00E6375C">
        <w:rPr>
          <w:b/>
        </w:rPr>
        <w:t>)</w:t>
      </w:r>
    </w:p>
    <w:tbl>
      <w:tblPr>
        <w:tblW w:w="8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466"/>
        <w:gridCol w:w="1100"/>
        <w:gridCol w:w="1100"/>
        <w:gridCol w:w="1141"/>
        <w:gridCol w:w="1141"/>
        <w:gridCol w:w="1278"/>
      </w:tblGrid>
      <w:tr w:rsidR="00517F2F" w:rsidRPr="00E6375C" w:rsidTr="009C0886">
        <w:trPr>
          <w:trHeight w:val="313"/>
          <w:jc w:val="center"/>
        </w:trPr>
        <w:tc>
          <w:tcPr>
            <w:tcW w:w="1100"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rPr>
                <w:b/>
              </w:rPr>
            </w:pPr>
          </w:p>
        </w:tc>
        <w:tc>
          <w:tcPr>
            <w:tcW w:w="1466"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3D6B" w:rsidP="00517F2F">
            <w:pPr>
              <w:spacing w:after="0" w:line="240" w:lineRule="auto"/>
              <w:jc w:val="center"/>
              <w:rPr>
                <w:rFonts w:eastAsia="Times New Roman"/>
                <w:color w:val="000000"/>
                <w:lang w:eastAsia="en-NZ"/>
              </w:rPr>
            </w:pPr>
            <w:r w:rsidRPr="00E6375C">
              <w:rPr>
                <w:rFonts w:eastAsia="Times New Roman"/>
                <w:color w:val="000000"/>
                <w:lang w:eastAsia="en-NZ"/>
              </w:rPr>
              <w:t>Series</w:t>
            </w:r>
          </w:p>
        </w:tc>
        <w:tc>
          <w:tcPr>
            <w:tcW w:w="1100"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jc w:val="center"/>
              <w:rPr>
                <w:rFonts w:eastAsia="Times New Roman"/>
                <w:color w:val="000000"/>
                <w:lang w:eastAsia="en-NZ"/>
              </w:rPr>
            </w:pPr>
            <w:proofErr w:type="spellStart"/>
            <w:r w:rsidRPr="00E6375C">
              <w:rPr>
                <w:rFonts w:eastAsia="Times New Roman"/>
                <w:color w:val="000000"/>
                <w:lang w:eastAsia="en-NZ"/>
              </w:rPr>
              <w:t>Obs</w:t>
            </w:r>
            <w:proofErr w:type="spellEnd"/>
          </w:p>
        </w:tc>
        <w:tc>
          <w:tcPr>
            <w:tcW w:w="1100"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jc w:val="center"/>
              <w:rPr>
                <w:rFonts w:eastAsia="Times New Roman"/>
                <w:color w:val="000000"/>
                <w:lang w:eastAsia="en-NZ"/>
              </w:rPr>
            </w:pPr>
            <w:r w:rsidRPr="00E6375C">
              <w:rPr>
                <w:rFonts w:eastAsia="Times New Roman"/>
                <w:color w:val="000000"/>
                <w:lang w:eastAsia="en-NZ"/>
              </w:rPr>
              <w:t>Mean</w:t>
            </w:r>
          </w:p>
        </w:tc>
        <w:tc>
          <w:tcPr>
            <w:tcW w:w="1141"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jc w:val="center"/>
              <w:rPr>
                <w:rFonts w:eastAsia="Times New Roman"/>
                <w:color w:val="000000"/>
                <w:lang w:eastAsia="en-NZ"/>
              </w:rPr>
            </w:pPr>
            <w:r w:rsidRPr="00E6375C">
              <w:rPr>
                <w:rFonts w:eastAsia="Times New Roman"/>
                <w:color w:val="000000"/>
                <w:lang w:eastAsia="en-NZ"/>
              </w:rPr>
              <w:t>Std. Dev.</w:t>
            </w:r>
          </w:p>
        </w:tc>
        <w:tc>
          <w:tcPr>
            <w:tcW w:w="1141"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jc w:val="center"/>
              <w:rPr>
                <w:rFonts w:eastAsia="Times New Roman"/>
                <w:color w:val="000000"/>
                <w:lang w:eastAsia="en-NZ"/>
              </w:rPr>
            </w:pPr>
            <w:r w:rsidRPr="00E6375C">
              <w:rPr>
                <w:rFonts w:eastAsia="Times New Roman"/>
                <w:color w:val="000000"/>
                <w:lang w:eastAsia="en-NZ"/>
              </w:rPr>
              <w:t>Min</w:t>
            </w:r>
          </w:p>
        </w:tc>
        <w:tc>
          <w:tcPr>
            <w:tcW w:w="1278"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jc w:val="center"/>
              <w:rPr>
                <w:rFonts w:eastAsia="Times New Roman"/>
                <w:color w:val="000000"/>
                <w:lang w:eastAsia="en-NZ"/>
              </w:rPr>
            </w:pPr>
            <w:r w:rsidRPr="00E6375C">
              <w:rPr>
                <w:rFonts w:eastAsia="Times New Roman"/>
                <w:color w:val="000000"/>
                <w:lang w:eastAsia="en-NZ"/>
              </w:rPr>
              <w:t>Max</w:t>
            </w:r>
          </w:p>
        </w:tc>
      </w:tr>
      <w:tr w:rsidR="00517F2F" w:rsidRPr="00E6375C" w:rsidTr="002F734E">
        <w:trPr>
          <w:trHeight w:val="255"/>
          <w:jc w:val="center"/>
        </w:trPr>
        <w:tc>
          <w:tcPr>
            <w:tcW w:w="1100" w:type="dxa"/>
            <w:vMerge w:val="restart"/>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jc w:val="center"/>
              <w:rPr>
                <w:rFonts w:eastAsia="Times New Roman"/>
                <w:color w:val="000000"/>
                <w:lang w:eastAsia="en-NZ"/>
              </w:rPr>
            </w:pPr>
            <w:r w:rsidRPr="00E6375C">
              <w:rPr>
                <w:rFonts w:eastAsia="Times New Roman"/>
                <w:color w:val="000000"/>
                <w:lang w:eastAsia="en-NZ"/>
              </w:rPr>
              <w:t>Flows</w:t>
            </w:r>
          </w:p>
        </w:tc>
        <w:tc>
          <w:tcPr>
            <w:tcW w:w="1466"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rPr>
                <w:rFonts w:eastAsia="Times New Roman"/>
                <w:color w:val="000000"/>
                <w:lang w:eastAsia="en-NZ"/>
              </w:rPr>
            </w:pPr>
            <w:r w:rsidRPr="00E6375C">
              <w:rPr>
                <w:rFonts w:eastAsia="Times New Roman"/>
                <w:color w:val="000000"/>
                <w:lang w:eastAsia="en-NZ"/>
              </w:rPr>
              <w:t>Inflows</w:t>
            </w:r>
          </w:p>
        </w:tc>
        <w:tc>
          <w:tcPr>
            <w:tcW w:w="1100"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58583</w:t>
            </w:r>
          </w:p>
        </w:tc>
        <w:tc>
          <w:tcPr>
            <w:tcW w:w="1100"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235.9</w:t>
            </w:r>
          </w:p>
        </w:tc>
        <w:tc>
          <w:tcPr>
            <w:tcW w:w="1141"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2290.4</w:t>
            </w:r>
          </w:p>
        </w:tc>
        <w:tc>
          <w:tcPr>
            <w:tcW w:w="1141"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-59599.4</w:t>
            </w:r>
          </w:p>
        </w:tc>
        <w:tc>
          <w:tcPr>
            <w:tcW w:w="1278"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117617.9</w:t>
            </w:r>
          </w:p>
        </w:tc>
      </w:tr>
      <w:tr w:rsidR="00517F2F" w:rsidRPr="00E6375C" w:rsidTr="002F734E">
        <w:trPr>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517F2F">
            <w:pPr>
              <w:spacing w:after="0"/>
              <w:rPr>
                <w:rFonts w:eastAsia="Times New Roman"/>
                <w:color w:val="000000"/>
                <w:lang w:eastAsia="en-NZ"/>
              </w:rPr>
            </w:pPr>
          </w:p>
        </w:tc>
        <w:tc>
          <w:tcPr>
            <w:tcW w:w="1466"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rPr>
                <w:rFonts w:eastAsia="Times New Roman"/>
                <w:color w:val="000000"/>
                <w:lang w:eastAsia="en-NZ"/>
              </w:rPr>
            </w:pPr>
            <w:r w:rsidRPr="00E6375C">
              <w:rPr>
                <w:rFonts w:eastAsia="Times New Roman"/>
                <w:color w:val="000000"/>
                <w:lang w:eastAsia="en-NZ"/>
              </w:rPr>
              <w:t>Outflows</w:t>
            </w:r>
          </w:p>
        </w:tc>
        <w:tc>
          <w:tcPr>
            <w:tcW w:w="1100"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40312</w:t>
            </w:r>
          </w:p>
        </w:tc>
        <w:tc>
          <w:tcPr>
            <w:tcW w:w="1100"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350.1</w:t>
            </w:r>
          </w:p>
        </w:tc>
        <w:tc>
          <w:tcPr>
            <w:tcW w:w="1141"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2859.7</w:t>
            </w:r>
          </w:p>
        </w:tc>
        <w:tc>
          <w:tcPr>
            <w:tcW w:w="1141"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-51212.0</w:t>
            </w:r>
          </w:p>
        </w:tc>
        <w:tc>
          <w:tcPr>
            <w:tcW w:w="1278"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109097.0</w:t>
            </w:r>
          </w:p>
        </w:tc>
      </w:tr>
      <w:tr w:rsidR="00517F2F" w:rsidRPr="00E6375C" w:rsidTr="002F734E">
        <w:trPr>
          <w:trHeight w:val="255"/>
          <w:jc w:val="center"/>
        </w:trPr>
        <w:tc>
          <w:tcPr>
            <w:tcW w:w="1100" w:type="dxa"/>
            <w:vMerge w:val="restart"/>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jc w:val="center"/>
              <w:rPr>
                <w:rFonts w:eastAsia="Times New Roman"/>
                <w:color w:val="000000"/>
                <w:lang w:eastAsia="en-NZ"/>
              </w:rPr>
            </w:pPr>
            <w:r w:rsidRPr="00E6375C">
              <w:rPr>
                <w:rFonts w:eastAsia="Times New Roman"/>
                <w:color w:val="000000"/>
                <w:lang w:eastAsia="en-NZ"/>
              </w:rPr>
              <w:t>Stock</w:t>
            </w:r>
            <w:r w:rsidR="008E2C60" w:rsidRPr="00E6375C">
              <w:rPr>
                <w:rFonts w:eastAsia="Times New Roman"/>
                <w:color w:val="000000"/>
                <w:lang w:eastAsia="en-NZ"/>
              </w:rPr>
              <w:t>s</w:t>
            </w:r>
          </w:p>
        </w:tc>
        <w:tc>
          <w:tcPr>
            <w:tcW w:w="1466"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rPr>
                <w:rFonts w:eastAsia="Times New Roman"/>
                <w:color w:val="000000"/>
                <w:lang w:eastAsia="en-NZ"/>
              </w:rPr>
            </w:pPr>
            <w:proofErr w:type="spellStart"/>
            <w:r w:rsidRPr="00E6375C">
              <w:rPr>
                <w:rFonts w:eastAsia="Times New Roman"/>
                <w:color w:val="000000"/>
                <w:lang w:eastAsia="en-NZ"/>
              </w:rPr>
              <w:t>Instock</w:t>
            </w:r>
            <w:proofErr w:type="spellEnd"/>
          </w:p>
        </w:tc>
        <w:tc>
          <w:tcPr>
            <w:tcW w:w="1100"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52279</w:t>
            </w:r>
          </w:p>
        </w:tc>
        <w:tc>
          <w:tcPr>
            <w:tcW w:w="1100"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2661.1</w:t>
            </w:r>
          </w:p>
        </w:tc>
        <w:tc>
          <w:tcPr>
            <w:tcW w:w="1141"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16694.15</w:t>
            </w:r>
          </w:p>
        </w:tc>
        <w:tc>
          <w:tcPr>
            <w:tcW w:w="1141"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-12850.9</w:t>
            </w:r>
          </w:p>
        </w:tc>
        <w:tc>
          <w:tcPr>
            <w:tcW w:w="1278"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592273.2</w:t>
            </w:r>
          </w:p>
        </w:tc>
      </w:tr>
      <w:tr w:rsidR="00517F2F" w:rsidRPr="00E6375C" w:rsidTr="002F734E">
        <w:trPr>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517F2F">
            <w:pPr>
              <w:spacing w:after="0"/>
              <w:rPr>
                <w:rFonts w:eastAsia="Times New Roman"/>
                <w:color w:val="000000"/>
                <w:lang w:eastAsia="en-NZ"/>
              </w:rPr>
            </w:pPr>
          </w:p>
        </w:tc>
        <w:tc>
          <w:tcPr>
            <w:tcW w:w="1466" w:type="dxa"/>
            <w:tcBorders>
              <w:top w:val="single" w:sz="4" w:space="0" w:color="auto"/>
              <w:left w:val="single" w:sz="4" w:space="0" w:color="auto"/>
              <w:bottom w:val="single" w:sz="4" w:space="0" w:color="auto"/>
              <w:right w:val="single" w:sz="4" w:space="0" w:color="auto"/>
            </w:tcBorders>
            <w:noWrap/>
            <w:vAlign w:val="center"/>
            <w:hideMark/>
          </w:tcPr>
          <w:p w:rsidR="00517F2F" w:rsidRPr="00E6375C" w:rsidRDefault="00517F2F" w:rsidP="00517F2F">
            <w:pPr>
              <w:spacing w:after="0" w:line="240" w:lineRule="auto"/>
              <w:rPr>
                <w:rFonts w:eastAsia="Times New Roman"/>
                <w:color w:val="000000"/>
                <w:lang w:eastAsia="en-NZ"/>
              </w:rPr>
            </w:pPr>
            <w:proofErr w:type="spellStart"/>
            <w:r w:rsidRPr="00E6375C">
              <w:rPr>
                <w:rFonts w:eastAsia="Times New Roman"/>
                <w:color w:val="000000"/>
                <w:lang w:eastAsia="en-NZ"/>
              </w:rPr>
              <w:t>Outstock</w:t>
            </w:r>
            <w:proofErr w:type="spellEnd"/>
          </w:p>
        </w:tc>
        <w:tc>
          <w:tcPr>
            <w:tcW w:w="1100"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41452</w:t>
            </w:r>
          </w:p>
        </w:tc>
        <w:tc>
          <w:tcPr>
            <w:tcW w:w="1100"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3633.8</w:t>
            </w:r>
          </w:p>
        </w:tc>
        <w:tc>
          <w:tcPr>
            <w:tcW w:w="1141"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20836.49</w:t>
            </w:r>
          </w:p>
        </w:tc>
        <w:tc>
          <w:tcPr>
            <w:tcW w:w="1141"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-30237.1</w:t>
            </w:r>
          </w:p>
        </w:tc>
        <w:tc>
          <w:tcPr>
            <w:tcW w:w="1278" w:type="dxa"/>
            <w:tcBorders>
              <w:top w:val="single" w:sz="4" w:space="0" w:color="auto"/>
              <w:left w:val="single" w:sz="4" w:space="0" w:color="auto"/>
              <w:bottom w:val="single" w:sz="4" w:space="0" w:color="auto"/>
              <w:right w:val="single" w:sz="4" w:space="0" w:color="auto"/>
            </w:tcBorders>
            <w:noWrap/>
            <w:vAlign w:val="center"/>
          </w:tcPr>
          <w:p w:rsidR="00517F2F" w:rsidRPr="00E6375C" w:rsidRDefault="00395A73" w:rsidP="007E78BF">
            <w:pPr>
              <w:spacing w:after="0" w:line="240" w:lineRule="auto"/>
              <w:jc w:val="right"/>
              <w:rPr>
                <w:rFonts w:eastAsia="Times New Roman"/>
                <w:color w:val="000000"/>
                <w:lang w:eastAsia="en-NZ"/>
              </w:rPr>
            </w:pPr>
            <w:r w:rsidRPr="00E6375C">
              <w:rPr>
                <w:rFonts w:eastAsia="Times New Roman"/>
                <w:color w:val="000000"/>
                <w:lang w:eastAsia="en-NZ"/>
              </w:rPr>
              <w:t>645098.0</w:t>
            </w:r>
          </w:p>
        </w:tc>
      </w:tr>
    </w:tbl>
    <w:p w:rsidR="009C0886" w:rsidRPr="00E6375C" w:rsidRDefault="009C0886" w:rsidP="00517F2F">
      <w:pPr>
        <w:spacing w:after="240"/>
        <w:jc w:val="both"/>
        <w:rPr>
          <w:sz w:val="6"/>
          <w:szCs w:val="6"/>
        </w:rPr>
      </w:pPr>
    </w:p>
    <w:p w:rsidR="00517F2F" w:rsidRPr="00E6375C" w:rsidRDefault="00517F2F" w:rsidP="00517F2F">
      <w:pPr>
        <w:spacing w:after="240"/>
        <w:jc w:val="both"/>
      </w:pPr>
      <w:r w:rsidRPr="00E6375C">
        <w:t xml:space="preserve">Nevertheless, relying only on one data series (either inbound or outbound) as most previous empirical papers have done is also problematic. For example, United Arab Emirates (ARE) originally reports inflows from a total of 10 countries (ARE’s inflows series). However, according to outflows series reported by other countries, apart from that list of 10 countries, there are another 25 economies that </w:t>
      </w:r>
      <w:proofErr w:type="gramStart"/>
      <w:r w:rsidRPr="00E6375C">
        <w:t>actually have</w:t>
      </w:r>
      <w:proofErr w:type="gramEnd"/>
      <w:r w:rsidRPr="00E6375C">
        <w:t xml:space="preserve"> FDI flows sent to ARE such as Belgium, Switzerland, China, Cyprus, Korea, etc. over the period 2001-2012. Therefore, using only one data series</w:t>
      </w:r>
      <w:r w:rsidR="00E72D50" w:rsidRPr="00E6375C">
        <w:t xml:space="preserve"> </w:t>
      </w:r>
      <w:r w:rsidRPr="00E6375C">
        <w:t xml:space="preserve">and </w:t>
      </w:r>
      <w:proofErr w:type="gramStart"/>
      <w:r w:rsidRPr="00E6375C">
        <w:t>assuming that</w:t>
      </w:r>
      <w:proofErr w:type="gramEnd"/>
      <w:r w:rsidRPr="00E6375C">
        <w:t xml:space="preserve"> any country not in the list has no FDI with that reporting country is incorrect. </w:t>
      </w:r>
    </w:p>
    <w:p w:rsidR="00395A73" w:rsidRPr="00E6375C" w:rsidRDefault="00517F2F" w:rsidP="00517F2F">
      <w:pPr>
        <w:spacing w:after="240"/>
        <w:jc w:val="both"/>
        <w:rPr>
          <w:rFonts w:eastAsiaTheme="minorEastAsia"/>
          <w:szCs w:val="24"/>
        </w:rPr>
      </w:pPr>
      <w:r w:rsidRPr="00E6375C">
        <w:t xml:space="preserve">The </w:t>
      </w:r>
      <w:r w:rsidR="008E2C60" w:rsidRPr="00E6375C">
        <w:t>above imperfections</w:t>
      </w:r>
      <w:r w:rsidRPr="00E6375C">
        <w:t xml:space="preserve"> in bilateral FDI encourage me to create more comprehensive data series on bilateral FDI from the UNCTAD database. </w:t>
      </w:r>
      <w:r w:rsidRPr="00E6375C">
        <w:rPr>
          <w:rFonts w:eastAsiaTheme="minorEastAsia"/>
          <w:szCs w:val="24"/>
        </w:rPr>
        <w:t xml:space="preserve">I first remove all the mirror values reported by UNTACD and create a variable </w:t>
      </w:r>
      <w:r w:rsidRPr="00E6375C">
        <w:rPr>
          <w:rFonts w:eastAsiaTheme="minorEastAsia"/>
          <w:i/>
          <w:szCs w:val="24"/>
        </w:rPr>
        <w:t>stock</w:t>
      </w:r>
      <w:r w:rsidRPr="00E6375C">
        <w:rPr>
          <w:rFonts w:eastAsiaTheme="minorEastAsia"/>
          <w:szCs w:val="24"/>
        </w:rPr>
        <w:t xml:space="preserve"> equalling inward stock series. This mean I give the </w:t>
      </w:r>
      <w:proofErr w:type="gramStart"/>
      <w:r w:rsidRPr="00E6375C">
        <w:rPr>
          <w:rFonts w:eastAsiaTheme="minorEastAsia"/>
          <w:szCs w:val="24"/>
        </w:rPr>
        <w:t>first priority</w:t>
      </w:r>
      <w:proofErr w:type="gramEnd"/>
      <w:r w:rsidRPr="00E6375C">
        <w:rPr>
          <w:rFonts w:eastAsiaTheme="minorEastAsia"/>
          <w:szCs w:val="24"/>
        </w:rPr>
        <w:t xml:space="preserve"> to inbound data. Then, it is replaced by the outward stock series if inward stock is missing or non-positive. Afterwards, in any year when the data are missing or negative, according to reports from both countries in th</w:t>
      </w:r>
      <w:r w:rsidR="003C49F3" w:rsidRPr="00E6375C">
        <w:rPr>
          <w:rFonts w:eastAsiaTheme="minorEastAsia"/>
          <w:szCs w:val="24"/>
        </w:rPr>
        <w:t>e pair, it is considered no FDI</w:t>
      </w:r>
      <w:r w:rsidRPr="00E6375C">
        <w:rPr>
          <w:rFonts w:eastAsiaTheme="minorEastAsia"/>
          <w:szCs w:val="24"/>
        </w:rPr>
        <w:t>. This me</w:t>
      </w:r>
      <w:r w:rsidR="00E72D50" w:rsidRPr="00E6375C">
        <w:rPr>
          <w:rFonts w:eastAsiaTheme="minorEastAsia"/>
          <w:szCs w:val="24"/>
        </w:rPr>
        <w:t>ans there are no missing data for</w:t>
      </w:r>
      <w:r w:rsidRPr="00E6375C">
        <w:rPr>
          <w:rFonts w:eastAsiaTheme="minorEastAsia"/>
          <w:szCs w:val="24"/>
        </w:rPr>
        <w:t xml:space="preserve"> the dependent variable in this study. Other studies that use data from UNCTAD and claim that they rely on only one series, either inward or outward, without further clarification, </w:t>
      </w:r>
      <w:proofErr w:type="gramStart"/>
      <w:r w:rsidRPr="00E6375C">
        <w:rPr>
          <w:rFonts w:eastAsiaTheme="minorEastAsia"/>
          <w:szCs w:val="24"/>
        </w:rPr>
        <w:t xml:space="preserve">actually </w:t>
      </w:r>
      <w:r w:rsidR="00A539FC" w:rsidRPr="00E6375C">
        <w:rPr>
          <w:rFonts w:eastAsiaTheme="minorEastAsia"/>
          <w:szCs w:val="24"/>
        </w:rPr>
        <w:t>partly</w:t>
      </w:r>
      <w:proofErr w:type="gramEnd"/>
      <w:r w:rsidRPr="00E6375C">
        <w:rPr>
          <w:rFonts w:eastAsiaTheme="minorEastAsia"/>
          <w:szCs w:val="24"/>
        </w:rPr>
        <w:t xml:space="preserve"> follow this practice. This is because the original data from UNCTAD </w:t>
      </w:r>
      <w:r w:rsidR="00E72D50" w:rsidRPr="00E6375C">
        <w:rPr>
          <w:rFonts w:eastAsiaTheme="minorEastAsia"/>
          <w:szCs w:val="24"/>
        </w:rPr>
        <w:t>may</w:t>
      </w:r>
      <w:r w:rsidRPr="00E6375C">
        <w:rPr>
          <w:rFonts w:eastAsiaTheme="minorEastAsia"/>
          <w:szCs w:val="24"/>
        </w:rPr>
        <w:t xml:space="preserve"> include mirror data</w:t>
      </w:r>
      <w:r w:rsidR="00E72D50" w:rsidRPr="00E6375C">
        <w:rPr>
          <w:rFonts w:eastAsiaTheme="minorEastAsia"/>
          <w:szCs w:val="24"/>
        </w:rPr>
        <w:t xml:space="preserve"> in some countries</w:t>
      </w:r>
      <w:r w:rsidRPr="00E6375C">
        <w:rPr>
          <w:rFonts w:eastAsiaTheme="minorEastAsia"/>
          <w:szCs w:val="24"/>
        </w:rPr>
        <w:t xml:space="preserve"> when reporters do not report that series in their database. A similar process is applied to create a variable </w:t>
      </w:r>
      <w:r w:rsidRPr="00E6375C">
        <w:rPr>
          <w:rFonts w:eastAsiaTheme="minorEastAsia"/>
          <w:i/>
          <w:szCs w:val="24"/>
        </w:rPr>
        <w:t>flow</w:t>
      </w:r>
      <w:r w:rsidRPr="00E6375C">
        <w:rPr>
          <w:rFonts w:eastAsiaTheme="minorEastAsia"/>
          <w:szCs w:val="24"/>
        </w:rPr>
        <w:t xml:space="preserve"> with the highest number of positive dyadic observations. </w:t>
      </w:r>
    </w:p>
    <w:p w:rsidR="00517F2F" w:rsidRPr="00E6375C" w:rsidRDefault="00517F2F" w:rsidP="00517F2F">
      <w:pPr>
        <w:pStyle w:val="ListParagraph"/>
        <w:numPr>
          <w:ilvl w:val="0"/>
          <w:numId w:val="13"/>
        </w:numPr>
        <w:jc w:val="both"/>
        <w:rPr>
          <w:rFonts w:eastAsiaTheme="minorEastAsia"/>
          <w:b/>
          <w:szCs w:val="24"/>
        </w:rPr>
      </w:pPr>
      <w:r w:rsidRPr="00E6375C">
        <w:rPr>
          <w:rFonts w:eastAsiaTheme="minorEastAsia"/>
          <w:b/>
          <w:szCs w:val="24"/>
        </w:rPr>
        <w:t>Bilateral Investment Treaty</w:t>
      </w:r>
    </w:p>
    <w:p w:rsidR="00517F2F" w:rsidRPr="00E6375C" w:rsidRDefault="00517F2F" w:rsidP="00517F2F">
      <w:pPr>
        <w:jc w:val="both"/>
      </w:pPr>
      <w:r w:rsidRPr="00E6375C">
        <w:lastRenderedPageBreak/>
        <w:t xml:space="preserve">UNCTAD provides data on </w:t>
      </w:r>
      <w:r w:rsidR="00513D6B" w:rsidRPr="00E6375C">
        <w:t>BITs</w:t>
      </w:r>
      <w:r w:rsidRPr="00E6375C">
        <w:t xml:space="preserve"> between 233 economies. </w:t>
      </w:r>
      <w:r w:rsidR="004543E1" w:rsidRPr="00E6375C">
        <w:t>E</w:t>
      </w:r>
      <w:r w:rsidRPr="00E6375C">
        <w:t xml:space="preserve">mpirical studies employing data on BITs </w:t>
      </w:r>
      <w:r w:rsidR="004543E1" w:rsidRPr="00E6375C">
        <w:t xml:space="preserve">often </w:t>
      </w:r>
      <w:r w:rsidRPr="00E6375C">
        <w:t xml:space="preserve">assume that the BITs are forever into force after the year of entry into force. </w:t>
      </w:r>
      <w:r w:rsidR="00256FCE" w:rsidRPr="00E6375C">
        <w:t xml:space="preserve">Thus, the dummy for BITs </w:t>
      </w:r>
      <w:r w:rsidRPr="00E6375C">
        <w:t xml:space="preserve">is set to equal 1 for all the years after the BITs come into force. </w:t>
      </w:r>
      <w:r w:rsidR="00E72D50" w:rsidRPr="00E6375C">
        <w:t>However, inspecting BIT data shows that this is not the case.</w:t>
      </w:r>
    </w:p>
    <w:p w:rsidR="00517F2F" w:rsidRPr="00E6375C" w:rsidRDefault="0044243A" w:rsidP="00517F2F">
      <w:pPr>
        <w:jc w:val="both"/>
        <w:rPr>
          <w:b/>
        </w:rPr>
      </w:pPr>
      <w:r w:rsidRPr="00E6375C">
        <w:rPr>
          <w:b/>
        </w:rPr>
        <w:t>Table A4</w:t>
      </w:r>
      <w:r w:rsidR="00517F2F" w:rsidRPr="00E6375C">
        <w:rPr>
          <w:b/>
        </w:rPr>
        <w:t xml:space="preserve">: Descriptive </w:t>
      </w:r>
      <w:r w:rsidR="00DE3963" w:rsidRPr="00E6375C">
        <w:rPr>
          <w:b/>
        </w:rPr>
        <w:t>Statistics on BITs from UNCTAD D</w:t>
      </w:r>
      <w:r w:rsidR="00517F2F" w:rsidRPr="00E6375C">
        <w:rPr>
          <w:b/>
        </w:rPr>
        <w:t>atabase</w:t>
      </w:r>
      <w:r w:rsidR="003C49F3" w:rsidRPr="00E6375C">
        <w:rPr>
          <w:rStyle w:val="FootnoteReference"/>
          <w:b/>
        </w:rPr>
        <w:footnoteReference w:id="3"/>
      </w:r>
    </w:p>
    <w:tbl>
      <w:tblPr>
        <w:tblW w:w="7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2925"/>
        <w:gridCol w:w="1609"/>
      </w:tblGrid>
      <w:tr w:rsidR="00517F2F" w:rsidRPr="00E6375C" w:rsidTr="00517F2F">
        <w:trPr>
          <w:trHeight w:val="242"/>
          <w:jc w:val="center"/>
        </w:trPr>
        <w:tc>
          <w:tcPr>
            <w:tcW w:w="5865" w:type="dxa"/>
            <w:gridSpan w:val="2"/>
            <w:tcBorders>
              <w:top w:val="single" w:sz="4" w:space="0" w:color="auto"/>
              <w:left w:val="single" w:sz="4" w:space="0" w:color="auto"/>
              <w:bottom w:val="single" w:sz="4" w:space="0" w:color="auto"/>
              <w:right w:val="single" w:sz="4" w:space="0" w:color="auto"/>
            </w:tcBorders>
            <w:vAlign w:val="bottom"/>
            <w:hideMark/>
          </w:tcPr>
          <w:p w:rsidR="00517F2F" w:rsidRPr="00E6375C" w:rsidRDefault="00517F2F" w:rsidP="00517F2F">
            <w:pPr>
              <w:spacing w:after="0" w:line="240" w:lineRule="auto"/>
              <w:rPr>
                <w:rFonts w:eastAsia="Times New Roman"/>
                <w:lang w:eastAsia="en-NZ"/>
              </w:rPr>
            </w:pPr>
            <w:r w:rsidRPr="00E6375C">
              <w:rPr>
                <w:rFonts w:eastAsia="Times New Roman"/>
                <w:lang w:eastAsia="en-NZ"/>
              </w:rPr>
              <w:t>Time span</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jc w:val="right"/>
              <w:rPr>
                <w:rFonts w:eastAsia="Times New Roman"/>
                <w:lang w:eastAsia="en-NZ"/>
              </w:rPr>
            </w:pPr>
            <w:r w:rsidRPr="00E6375C">
              <w:rPr>
                <w:rFonts w:eastAsia="Times New Roman"/>
                <w:lang w:eastAsia="en-NZ"/>
              </w:rPr>
              <w:t>1962-2017</w:t>
            </w:r>
          </w:p>
        </w:tc>
      </w:tr>
      <w:tr w:rsidR="00517F2F" w:rsidRPr="00E6375C" w:rsidTr="00517F2F">
        <w:trPr>
          <w:trHeight w:val="242"/>
          <w:jc w:val="center"/>
        </w:trPr>
        <w:tc>
          <w:tcPr>
            <w:tcW w:w="5865" w:type="dxa"/>
            <w:gridSpan w:val="2"/>
            <w:tcBorders>
              <w:top w:val="single" w:sz="4" w:space="0" w:color="auto"/>
              <w:left w:val="single" w:sz="4" w:space="0" w:color="auto"/>
              <w:bottom w:val="single" w:sz="4" w:space="0" w:color="auto"/>
              <w:right w:val="single" w:sz="4" w:space="0" w:color="auto"/>
            </w:tcBorders>
            <w:hideMark/>
          </w:tcPr>
          <w:p w:rsidR="00517F2F" w:rsidRPr="00E6375C" w:rsidRDefault="00517F2F" w:rsidP="00517F2F">
            <w:pPr>
              <w:spacing w:after="0" w:line="240" w:lineRule="auto"/>
              <w:rPr>
                <w:rFonts w:eastAsia="Times New Roman"/>
                <w:lang w:eastAsia="en-NZ"/>
              </w:rPr>
            </w:pPr>
            <w:r w:rsidRPr="00E6375C">
              <w:rPr>
                <w:rFonts w:eastAsia="Times New Roman"/>
                <w:lang w:eastAsia="en-NZ"/>
              </w:rPr>
              <w:t>Number of economies</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jc w:val="right"/>
              <w:rPr>
                <w:rFonts w:eastAsia="Times New Roman"/>
                <w:lang w:eastAsia="en-NZ"/>
              </w:rPr>
            </w:pPr>
            <w:r w:rsidRPr="00E6375C">
              <w:rPr>
                <w:rFonts w:eastAsia="Times New Roman"/>
                <w:lang w:eastAsia="en-NZ"/>
              </w:rPr>
              <w:t>233</w:t>
            </w:r>
          </w:p>
        </w:tc>
      </w:tr>
      <w:tr w:rsidR="00517F2F" w:rsidRPr="00E6375C" w:rsidTr="00517F2F">
        <w:trPr>
          <w:trHeight w:val="242"/>
          <w:jc w:val="center"/>
        </w:trPr>
        <w:tc>
          <w:tcPr>
            <w:tcW w:w="5865" w:type="dxa"/>
            <w:gridSpan w:val="2"/>
            <w:tcBorders>
              <w:top w:val="single" w:sz="4" w:space="0" w:color="auto"/>
              <w:left w:val="single" w:sz="4" w:space="0" w:color="auto"/>
              <w:bottom w:val="single" w:sz="4" w:space="0" w:color="auto"/>
              <w:right w:val="single" w:sz="4" w:space="0" w:color="auto"/>
            </w:tcBorders>
            <w:vAlign w:val="bottom"/>
            <w:hideMark/>
          </w:tcPr>
          <w:p w:rsidR="00517F2F" w:rsidRPr="00E6375C" w:rsidRDefault="00517F2F" w:rsidP="00517F2F">
            <w:pPr>
              <w:spacing w:after="0" w:line="240" w:lineRule="auto"/>
              <w:rPr>
                <w:rFonts w:eastAsia="Times New Roman"/>
                <w:lang w:eastAsia="en-NZ"/>
              </w:rPr>
            </w:pPr>
            <w:r w:rsidRPr="00E6375C">
              <w:rPr>
                <w:rFonts w:eastAsia="Times New Roman"/>
                <w:lang w:eastAsia="en-NZ"/>
              </w:rPr>
              <w:t>Number of BITs</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jc w:val="right"/>
              <w:rPr>
                <w:rFonts w:eastAsia="Times New Roman"/>
                <w:lang w:eastAsia="en-NZ"/>
              </w:rPr>
            </w:pPr>
            <w:r w:rsidRPr="00E6375C">
              <w:rPr>
                <w:rFonts w:eastAsia="Times New Roman"/>
                <w:lang w:eastAsia="en-NZ"/>
              </w:rPr>
              <w:t>3220</w:t>
            </w:r>
          </w:p>
        </w:tc>
      </w:tr>
      <w:tr w:rsidR="00517F2F" w:rsidRPr="00E6375C" w:rsidTr="00517F2F">
        <w:trPr>
          <w:trHeight w:val="242"/>
          <w:jc w:val="center"/>
        </w:trPr>
        <w:tc>
          <w:tcPr>
            <w:tcW w:w="2940" w:type="dxa"/>
            <w:vMerge w:val="restart"/>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517F2F">
            <w:pPr>
              <w:spacing w:after="0" w:line="240" w:lineRule="auto"/>
              <w:rPr>
                <w:rFonts w:eastAsia="Times New Roman"/>
                <w:lang w:eastAsia="en-NZ"/>
              </w:rPr>
            </w:pPr>
            <w:r w:rsidRPr="00E6375C">
              <w:rPr>
                <w:rFonts w:eastAsia="Times New Roman"/>
                <w:lang w:eastAsia="en-NZ"/>
              </w:rPr>
              <w:t>Number of terminated BITs by reasons of termination</w:t>
            </w:r>
          </w:p>
        </w:tc>
        <w:tc>
          <w:tcPr>
            <w:tcW w:w="2925"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rPr>
                <w:rFonts w:eastAsia="Times New Roman"/>
                <w:lang w:eastAsia="en-NZ"/>
              </w:rPr>
            </w:pPr>
            <w:r w:rsidRPr="00E6375C">
              <w:rPr>
                <w:rFonts w:eastAsia="Times New Roman"/>
                <w:lang w:eastAsia="en-NZ"/>
              </w:rPr>
              <w:t>Replaced by new treaty</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jc w:val="right"/>
              <w:rPr>
                <w:rFonts w:eastAsia="Times New Roman"/>
                <w:lang w:eastAsia="en-NZ"/>
              </w:rPr>
            </w:pPr>
            <w:r w:rsidRPr="00E6375C">
              <w:rPr>
                <w:rFonts w:eastAsia="Times New Roman"/>
                <w:lang w:eastAsia="en-NZ"/>
              </w:rPr>
              <w:t>130</w:t>
            </w:r>
          </w:p>
        </w:tc>
      </w:tr>
      <w:tr w:rsidR="00517F2F" w:rsidRPr="00E6375C" w:rsidTr="00517F2F">
        <w:trPr>
          <w:trHeight w:val="24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517F2F">
            <w:pPr>
              <w:spacing w:after="0"/>
              <w:rPr>
                <w:rFonts w:eastAsia="Times New Roman"/>
                <w:lang w:eastAsia="en-NZ"/>
              </w:rPr>
            </w:pPr>
          </w:p>
        </w:tc>
        <w:tc>
          <w:tcPr>
            <w:tcW w:w="2925"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rPr>
                <w:rFonts w:eastAsia="Times New Roman"/>
                <w:lang w:eastAsia="en-NZ"/>
              </w:rPr>
            </w:pPr>
            <w:r w:rsidRPr="00E6375C">
              <w:rPr>
                <w:rFonts w:eastAsia="Times New Roman"/>
                <w:lang w:eastAsia="en-NZ"/>
              </w:rPr>
              <w:t>Unilaterally denounced</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jc w:val="right"/>
              <w:rPr>
                <w:rFonts w:eastAsia="Times New Roman"/>
                <w:lang w:eastAsia="en-NZ"/>
              </w:rPr>
            </w:pPr>
            <w:r w:rsidRPr="00E6375C">
              <w:rPr>
                <w:rFonts w:eastAsia="Times New Roman"/>
                <w:lang w:eastAsia="en-NZ"/>
              </w:rPr>
              <w:t>64</w:t>
            </w:r>
          </w:p>
        </w:tc>
      </w:tr>
      <w:tr w:rsidR="00517F2F" w:rsidRPr="00E6375C" w:rsidTr="00517F2F">
        <w:trPr>
          <w:trHeight w:val="24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517F2F">
            <w:pPr>
              <w:spacing w:after="0"/>
              <w:rPr>
                <w:rFonts w:eastAsia="Times New Roman"/>
                <w:lang w:eastAsia="en-NZ"/>
              </w:rPr>
            </w:pPr>
          </w:p>
        </w:tc>
        <w:tc>
          <w:tcPr>
            <w:tcW w:w="2925"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rPr>
                <w:rFonts w:eastAsia="Times New Roman"/>
                <w:lang w:eastAsia="en-NZ"/>
              </w:rPr>
            </w:pPr>
            <w:r w:rsidRPr="00E6375C">
              <w:rPr>
                <w:rFonts w:eastAsia="Times New Roman"/>
                <w:lang w:eastAsia="en-NZ"/>
              </w:rPr>
              <w:t>Terminated by consent</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jc w:val="right"/>
              <w:rPr>
                <w:rFonts w:eastAsia="Times New Roman"/>
                <w:lang w:eastAsia="en-NZ"/>
              </w:rPr>
            </w:pPr>
            <w:r w:rsidRPr="00E6375C">
              <w:rPr>
                <w:rFonts w:eastAsia="Times New Roman"/>
                <w:lang w:eastAsia="en-NZ"/>
              </w:rPr>
              <w:t>19</w:t>
            </w:r>
          </w:p>
        </w:tc>
      </w:tr>
      <w:tr w:rsidR="00517F2F" w:rsidRPr="00E6375C" w:rsidTr="00517F2F">
        <w:trPr>
          <w:trHeight w:val="24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517F2F">
            <w:pPr>
              <w:spacing w:after="0"/>
              <w:rPr>
                <w:rFonts w:eastAsia="Times New Roman"/>
                <w:lang w:eastAsia="en-NZ"/>
              </w:rPr>
            </w:pPr>
          </w:p>
        </w:tc>
        <w:tc>
          <w:tcPr>
            <w:tcW w:w="2925"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rPr>
                <w:rFonts w:eastAsia="Times New Roman"/>
                <w:lang w:eastAsia="en-NZ"/>
              </w:rPr>
            </w:pPr>
            <w:r w:rsidRPr="00E6375C">
              <w:rPr>
                <w:rFonts w:eastAsia="Times New Roman"/>
                <w:lang w:eastAsia="en-NZ"/>
              </w:rPr>
              <w:t>Expired</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jc w:val="right"/>
              <w:rPr>
                <w:rFonts w:eastAsia="Times New Roman"/>
                <w:lang w:eastAsia="en-NZ"/>
              </w:rPr>
            </w:pPr>
            <w:r w:rsidRPr="00E6375C">
              <w:rPr>
                <w:rFonts w:eastAsia="Times New Roman"/>
                <w:lang w:eastAsia="en-NZ"/>
              </w:rPr>
              <w:t>3</w:t>
            </w:r>
          </w:p>
        </w:tc>
      </w:tr>
      <w:tr w:rsidR="00517F2F" w:rsidRPr="00E6375C" w:rsidTr="00517F2F">
        <w:trPr>
          <w:trHeight w:val="24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7F2F" w:rsidRPr="00E6375C" w:rsidRDefault="00517F2F" w:rsidP="00517F2F">
            <w:pPr>
              <w:spacing w:after="0"/>
              <w:rPr>
                <w:rFonts w:eastAsia="Times New Roman"/>
                <w:lang w:eastAsia="en-NZ"/>
              </w:rPr>
            </w:pPr>
          </w:p>
        </w:tc>
        <w:tc>
          <w:tcPr>
            <w:tcW w:w="2925"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rPr>
                <w:rFonts w:eastAsia="Times New Roman"/>
                <w:lang w:eastAsia="en-NZ"/>
              </w:rPr>
            </w:pPr>
            <w:r w:rsidRPr="00E6375C">
              <w:rPr>
                <w:rFonts w:eastAsia="Times New Roman"/>
                <w:lang w:eastAsia="en-NZ"/>
              </w:rPr>
              <w:t>Total</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517F2F" w:rsidRPr="00E6375C" w:rsidRDefault="00517F2F" w:rsidP="00517F2F">
            <w:pPr>
              <w:spacing w:after="0" w:line="240" w:lineRule="auto"/>
              <w:jc w:val="right"/>
              <w:rPr>
                <w:rFonts w:eastAsia="Times New Roman"/>
                <w:lang w:eastAsia="en-NZ"/>
              </w:rPr>
            </w:pPr>
            <w:r w:rsidRPr="00E6375C">
              <w:rPr>
                <w:rFonts w:eastAsia="Times New Roman"/>
                <w:lang w:eastAsia="en-NZ"/>
              </w:rPr>
              <w:t>216</w:t>
            </w:r>
          </w:p>
        </w:tc>
      </w:tr>
    </w:tbl>
    <w:p w:rsidR="00517F2F" w:rsidRPr="00E6375C" w:rsidRDefault="00517F2F" w:rsidP="00517F2F">
      <w:pPr>
        <w:jc w:val="both"/>
        <w:rPr>
          <w:sz w:val="6"/>
          <w:szCs w:val="6"/>
        </w:rPr>
      </w:pPr>
    </w:p>
    <w:p w:rsidR="00517F2F" w:rsidRPr="00E6375C" w:rsidRDefault="0044243A" w:rsidP="00517F2F">
      <w:pPr>
        <w:jc w:val="both"/>
        <w:rPr>
          <w:rFonts w:eastAsiaTheme="minorEastAsia"/>
          <w:b/>
          <w:szCs w:val="24"/>
        </w:rPr>
      </w:pPr>
      <w:r w:rsidRPr="00E6375C">
        <w:t>Table A4</w:t>
      </w:r>
      <w:r w:rsidR="00513D6B" w:rsidRPr="00E6375C">
        <w:t xml:space="preserve"> </w:t>
      </w:r>
      <w:r w:rsidR="00517F2F" w:rsidRPr="00E6375C">
        <w:t xml:space="preserve">shows that nearly 7% of BITs are terminated. However, more than half of these terminated BITs are replaced by a new treaty coming into force in the same year as the year of termination. This means in these cases the dummy variable for BITs for that pair of country still takes the value of 1 and </w:t>
      </w:r>
      <w:r w:rsidR="00E05200" w:rsidRPr="00E6375C">
        <w:t xml:space="preserve">is </w:t>
      </w:r>
      <w:r w:rsidR="00517F2F" w:rsidRPr="00E6375C">
        <w:t xml:space="preserve">not affected by the termination. </w:t>
      </w:r>
      <w:r w:rsidR="00DE3963" w:rsidRPr="00E6375C">
        <w:t>On the other hand</w:t>
      </w:r>
      <w:r w:rsidR="00517F2F" w:rsidRPr="00E6375C">
        <w:t>, approximately 3% of BITs are terminated without a consecutive new treaty</w:t>
      </w:r>
      <w:r w:rsidR="00E05200" w:rsidRPr="00E6375C">
        <w:t xml:space="preserve"> coming</w:t>
      </w:r>
      <w:r w:rsidR="00517F2F" w:rsidRPr="00E6375C">
        <w:t xml:space="preserve"> into force and leads to wrong values of variables related to BITs. In my dataset, </w:t>
      </w:r>
      <w:r w:rsidR="007061F6" w:rsidRPr="00E6375C">
        <w:t xml:space="preserve">the </w:t>
      </w:r>
      <w:r w:rsidR="00517F2F" w:rsidRPr="00E6375C">
        <w:t>dummy for BITs receive</w:t>
      </w:r>
      <w:r w:rsidR="007061F6" w:rsidRPr="00E6375C">
        <w:t>s</w:t>
      </w:r>
      <w:r w:rsidR="00517F2F" w:rsidRPr="00E6375C">
        <w:t xml:space="preserve"> </w:t>
      </w:r>
      <w:r w:rsidR="007061F6" w:rsidRPr="00E6375C">
        <w:t xml:space="preserve">the </w:t>
      </w:r>
      <w:r w:rsidR="00517F2F" w:rsidRPr="00E6375C">
        <w:t xml:space="preserve">value of 1 between the year of entry into force to the year before (if </w:t>
      </w:r>
      <w:r w:rsidR="00E05200" w:rsidRPr="00E6375C">
        <w:t>relevant</w:t>
      </w:r>
      <w:r w:rsidR="00517F2F" w:rsidRPr="00E6375C">
        <w:t xml:space="preserve">) </w:t>
      </w:r>
      <w:r w:rsidR="00DE3963" w:rsidRPr="00E6375C">
        <w:t xml:space="preserve">the </w:t>
      </w:r>
      <w:r w:rsidR="00517F2F" w:rsidRPr="00E6375C">
        <w:t>termination year.</w:t>
      </w:r>
    </w:p>
    <w:p w:rsidR="00517F2F" w:rsidRPr="00E6375C" w:rsidRDefault="00517F2F" w:rsidP="00517F2F">
      <w:pPr>
        <w:pStyle w:val="ListParagraph"/>
        <w:numPr>
          <w:ilvl w:val="0"/>
          <w:numId w:val="13"/>
        </w:numPr>
        <w:jc w:val="both"/>
        <w:rPr>
          <w:rFonts w:eastAsiaTheme="minorEastAsia"/>
          <w:b/>
          <w:szCs w:val="24"/>
        </w:rPr>
      </w:pPr>
      <w:r w:rsidRPr="00E6375C">
        <w:rPr>
          <w:rFonts w:eastAsiaTheme="minorEastAsia"/>
          <w:b/>
          <w:szCs w:val="24"/>
        </w:rPr>
        <w:t>Common Religion and Legal Origin</w:t>
      </w:r>
    </w:p>
    <w:p w:rsidR="00E06806" w:rsidRPr="00E6375C" w:rsidRDefault="00517F2F" w:rsidP="00517F2F">
      <w:pPr>
        <w:jc w:val="both"/>
      </w:pPr>
      <w:r w:rsidRPr="00E6375C">
        <w:t>There are two var</w:t>
      </w:r>
      <w:r w:rsidR="00E05200" w:rsidRPr="00E6375C">
        <w:t xml:space="preserve">iables that I construct, </w:t>
      </w:r>
      <w:r w:rsidRPr="00E6375C">
        <w:t xml:space="preserve">common legal origin and common religion index, following the ideas of </w:t>
      </w:r>
      <w:r w:rsidR="00E05200" w:rsidRPr="00E6375C">
        <w:fldChar w:fldCharType="begin"/>
      </w:r>
      <w:r w:rsidR="00E05200" w:rsidRPr="00E6375C">
        <w:instrText xml:space="preserve"> ADDIN EN.CITE &lt;EndNote&gt;&lt;Cite AuthorYear="1"&gt;&lt;Author&gt;Helpman&lt;/Author&gt;&lt;Year&gt;2008&lt;/Year&gt;&lt;RecNum&gt;148&lt;/RecNum&gt;&lt;DisplayText&gt;Helpman et al. (2008)&lt;/DisplayText&gt;&lt;record&gt;&lt;rec-number&gt;148&lt;/rec-number&gt;&lt;foreign-keys&gt;&lt;key app="EN" db-id="fx0srvwzktwrpse5rpz5pda3vf5vr952vza2" timestamp="1508710585"&gt;148&lt;/key&gt;&lt;key app="ENWeb" db-id=""&gt;0&lt;/key&gt;&lt;/foreign-keys&gt;&lt;ref-type name="Journal Article"&gt;17&lt;/ref-type&gt;&lt;contributors&gt;&lt;authors&gt;&lt;author&gt;Helpman, Elhanan&lt;/author&gt;&lt;author&gt;Melitz, Marc&lt;/author&gt;&lt;author&gt;Rubinstein, Yona&lt;/author&gt;&lt;/authors&gt;&lt;/contributors&gt;&lt;titles&gt;&lt;title&gt;Estimating trade flows: Trading partners and trading volumes&lt;/title&gt;&lt;secondary-title&gt;The Quarterly Journal of Economics&lt;/secondary-title&gt;&lt;/titles&gt;&lt;periodical&gt;&lt;full-title&gt;The Quarterly Journal of Economics&lt;/full-title&gt;&lt;/periodical&gt;&lt;pages&gt;441-487&lt;/pages&gt;&lt;volume&gt;123&lt;/volume&gt;&lt;number&gt;2&lt;/number&gt;&lt;dates&gt;&lt;year&gt;2008&lt;/year&gt;&lt;/dates&gt;&lt;isbn&gt;0033-5533&lt;/isbn&gt;&lt;urls&gt;&lt;/urls&gt;&lt;/record&gt;&lt;/Cite&gt;&lt;/EndNote&gt;</w:instrText>
      </w:r>
      <w:r w:rsidR="00E05200" w:rsidRPr="00E6375C">
        <w:fldChar w:fldCharType="separate"/>
      </w:r>
      <w:r w:rsidR="00E05200" w:rsidRPr="00E6375C">
        <w:rPr>
          <w:noProof/>
        </w:rPr>
        <w:t>Helpman et al. (2008)</w:t>
      </w:r>
      <w:r w:rsidR="00E05200" w:rsidRPr="00E6375C">
        <w:fldChar w:fldCharType="end"/>
      </w:r>
      <w:r w:rsidR="00E05200" w:rsidRPr="00E6375C">
        <w:t xml:space="preserve">, </w:t>
      </w:r>
      <w:r w:rsidRPr="00E6375C">
        <w:fldChar w:fldCharType="begin"/>
      </w:r>
      <w:r w:rsidR="005A0A8A" w:rsidRPr="00E6375C">
        <w:instrText xml:space="preserve"> ADDIN EN.CITE &lt;EndNote&gt;&lt;Cite AuthorYear="1"&gt;&lt;Author&gt;Santos Silva&lt;/Author&gt;&lt;Year&gt;2014&lt;/Year&gt;&lt;RecNum&gt;455&lt;/RecNum&gt;&lt;DisplayText&gt;Santos Silva et al. (2014)&lt;/DisplayText&gt;&lt;record&gt;&lt;rec-number&gt;455&lt;/rec-number&gt;&lt;foreign-keys&gt;&lt;key app="EN" db-id="fx0srvwzktwrpse5rpz5pda3vf5vr952vza2" timestamp="1508712048"&gt;455&lt;/key&gt;&lt;key app="ENWeb" db-id=""&gt;0&lt;/key&gt;&lt;/foreign-keys&gt;&lt;ref-type name="Journal Article"&gt;17&lt;/ref-type&gt;&lt;contributors&gt;&lt;authors&gt;&lt;author&gt;Santos Silva, J. M. C.&lt;/author&gt;&lt;author&gt;Tenreyro, Silvana&lt;/author&gt;&lt;author&gt;Wei, Kehai&lt;/author&gt;&lt;/authors&gt;&lt;/contributors&gt;&lt;titles&gt;&lt;title&gt;Estimating the extensive margin of trade&lt;/title&gt;&lt;secondary-title&gt;Journal of International Economics&lt;/secondary-title&gt;&lt;/titles&gt;&lt;periodical&gt;&lt;full-title&gt;Journal of International Economics&lt;/full-title&gt;&lt;/periodical&gt;&lt;pages&gt;67-75&lt;/pages&gt;&lt;volume&gt;93&lt;/volume&gt;&lt;number&gt;1&lt;/number&gt;&lt;keywords&gt;&lt;keyword&gt;Bounded data&lt;/keyword&gt;&lt;keyword&gt;Estimation of trade models&lt;/keyword&gt;&lt;keyword&gt;Number of sectors&lt;/keyword&gt;&lt;/keywords&gt;&lt;dates&gt;&lt;year&gt;2014&lt;/year&gt;&lt;pub-dates&gt;&lt;date&gt;2014/05/01/&lt;/date&gt;&lt;/pub-dates&gt;&lt;/dates&gt;&lt;isbn&gt;0022-1996&lt;/isbn&gt;&lt;urls&gt;&lt;related-urls&gt;&lt;url&gt;http://www.sciencedirect.com/science/article/pii/S002219961300130X&lt;/url&gt;&lt;/related-urls&gt;&lt;/urls&gt;&lt;electronic-resource-num&gt;10.1016/j.jinteco.2013.12.001&lt;/electronic-resource-num&gt;&lt;/record&gt;&lt;/Cite&gt;&lt;/EndNote&gt;</w:instrText>
      </w:r>
      <w:r w:rsidRPr="00E6375C">
        <w:fldChar w:fldCharType="separate"/>
      </w:r>
      <w:r w:rsidRPr="00E6375C">
        <w:rPr>
          <w:noProof/>
        </w:rPr>
        <w:t>Santos Silva et al. (2014)</w:t>
      </w:r>
      <w:r w:rsidRPr="00E6375C">
        <w:fldChar w:fldCharType="end"/>
      </w:r>
      <w:r w:rsidRPr="00E6375C">
        <w:t xml:space="preserve">, and </w:t>
      </w:r>
      <w:r w:rsidRPr="00E6375C">
        <w:fldChar w:fldCharType="begin"/>
      </w:r>
      <w:r w:rsidR="00CB3E6E" w:rsidRPr="00E6375C">
        <w:instrText xml:space="preserve"> ADDIN EN.CITE &lt;EndNote&gt;&lt;Cite AuthorYear="1"&gt;&lt;Author&gt;Garrett&lt;/Author&gt;&lt;Year&gt;2016&lt;/Year&gt;&lt;RecNum&gt;103&lt;/RecNum&gt;&lt;DisplayText&gt;Garrett (2016)&lt;/DisplayText&gt;&lt;record&gt;&lt;rec-number&gt;103&lt;/rec-number&gt;&lt;foreign-keys&gt;&lt;key app="EN" db-id="fx0srvwzktwrpse5rpz5pda3vf5vr952vza2" timestamp="1508710428"&gt;103&lt;/key&gt;&lt;key app="ENWeb" db-id=""&gt;0&lt;/key&gt;&lt;/foreign-keys&gt;&lt;ref-type name="Journal Article"&gt;17&lt;/ref-type&gt;&lt;contributors&gt;&lt;authors&gt;&lt;author&gt;Garrett, Jinzhuo Z.&lt;/author&gt;&lt;/authors&gt;&lt;/contributors&gt;&lt;titles&gt;&lt;title&gt;Explaining Asymmetries in Bilateral FDI Flows&lt;/title&gt;&lt;secondary-title&gt;International Review of Economics &amp;amp; Finance&lt;/secondary-title&gt;&lt;/titles&gt;&lt;periodical&gt;&lt;full-title&gt;International Review of Economics &amp;amp; Finance&lt;/full-title&gt;&lt;/periodical&gt;&lt;pages&gt;155-171&lt;/pages&gt;&lt;volume&gt;41&lt;/volume&gt;&lt;number&gt;2016&lt;/number&gt;&lt;keywords&gt;&lt;keyword&gt;Bilateral foreign direct investment&lt;/keyword&gt;&lt;keyword&gt;Multinationals&lt;/keyword&gt;&lt;keyword&gt;Intra-industry firm heterogeneity&lt;/keyword&gt;&lt;/keywords&gt;&lt;dates&gt;&lt;year&gt;2016&lt;/year&gt;&lt;pub-dates&gt;&lt;date&gt;1//&lt;/date&gt;&lt;/pub-dates&gt;&lt;/dates&gt;&lt;isbn&gt;1059-0560&lt;/isbn&gt;&lt;urls&gt;&lt;related-urls&gt;&lt;url&gt;http://www.sciencedirect.com/science/article/pii/S1059056015001410&lt;/url&gt;&lt;/related-urls&gt;&lt;/urls&gt;&lt;electronic-resource-num&gt;10.1016/j.iref.2015.08.014&lt;/electronic-resource-num&gt;&lt;/record&gt;&lt;/Cite&gt;&lt;/EndNote&gt;</w:instrText>
      </w:r>
      <w:r w:rsidRPr="00E6375C">
        <w:fldChar w:fldCharType="separate"/>
      </w:r>
      <w:r w:rsidRPr="00E6375C">
        <w:rPr>
          <w:noProof/>
        </w:rPr>
        <w:t>Garrett (2016)</w:t>
      </w:r>
      <w:r w:rsidRPr="00E6375C">
        <w:fldChar w:fldCharType="end"/>
      </w:r>
      <w:r w:rsidRPr="00E6375C">
        <w:t xml:space="preserve">. </w:t>
      </w:r>
      <w:r w:rsidR="00513D6B" w:rsidRPr="00E6375C">
        <w:t>T</w:t>
      </w:r>
      <w:r w:rsidRPr="00E6375C">
        <w:t>h</w:t>
      </w:r>
      <w:r w:rsidR="00513D6B" w:rsidRPr="00E6375C">
        <w:t>e</w:t>
      </w:r>
      <w:r w:rsidRPr="00E6375C">
        <w:t>se studies construct a common religion index by multiplying the percentages of the population of source and host countries that share o</w:t>
      </w:r>
      <w:r w:rsidR="00D26A17" w:rsidRPr="00E6375C">
        <w:t xml:space="preserve">ne of the three main religions - </w:t>
      </w:r>
      <w:r w:rsidRPr="00E6375C">
        <w:t xml:space="preserve">Muslim, Protestant, and Catholic. As this index is originally proposed by </w:t>
      </w:r>
      <w:proofErr w:type="spellStart"/>
      <w:r w:rsidRPr="00E6375C">
        <w:t>Helpman</w:t>
      </w:r>
      <w:proofErr w:type="spellEnd"/>
      <w:r w:rsidRPr="00E6375C">
        <w:t xml:space="preserve"> et al. (2008), I will refer to as the </w:t>
      </w:r>
      <w:proofErr w:type="spellStart"/>
      <w:r w:rsidRPr="00E6375C">
        <w:t>Helpman</w:t>
      </w:r>
      <w:proofErr w:type="spellEnd"/>
      <w:r w:rsidRPr="00E6375C">
        <w:t xml:space="preserve"> religion index. This index leads to misleading results in many cases, especially for Asian countries. For example, according to the </w:t>
      </w:r>
      <w:proofErr w:type="spellStart"/>
      <w:r w:rsidRPr="00E6375C">
        <w:t>Helpman</w:t>
      </w:r>
      <w:proofErr w:type="spellEnd"/>
      <w:r w:rsidRPr="00E6375C">
        <w:t xml:space="preserve"> index, Japan and Thailand’s common religion index is absolute zero as the two countries do not share any of the above three religions. However, Japan has 66.8% of its population following Buddhism and the number for Thailand is 94.6%. If Buddhism was included in the </w:t>
      </w:r>
      <w:proofErr w:type="spellStart"/>
      <w:r w:rsidRPr="00E6375C">
        <w:t>Helpman</w:t>
      </w:r>
      <w:proofErr w:type="spellEnd"/>
      <w:r w:rsidRPr="00E6375C">
        <w:t xml:space="preserve"> index, the </w:t>
      </w:r>
      <w:r w:rsidRPr="00E6375C">
        <w:lastRenderedPageBreak/>
        <w:t xml:space="preserve">common religion index for the two countries would be 63.19. Therefore, for a more </w:t>
      </w:r>
      <w:r w:rsidR="00E06806" w:rsidRPr="00E6375C">
        <w:t>accurate index, the common religion index in this study equals to:</w:t>
      </w:r>
    </w:p>
    <w:p w:rsidR="00E05200" w:rsidRPr="00E6375C" w:rsidRDefault="00E05200" w:rsidP="00E06806">
      <w:pPr>
        <w:ind w:left="720" w:firstLine="720"/>
        <w:rPr>
          <w:rFonts w:eastAsiaTheme="minorEastAsia"/>
          <w:sz w:val="28"/>
          <w:szCs w:val="28"/>
        </w:rPr>
      </w:pPr>
      <m:oMath>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nary>
              <m:naryPr>
                <m:chr m:val="∑"/>
                <m:limLoc m:val="undOvr"/>
                <m:supHide m:val="1"/>
                <m:ctrlPr>
                  <w:rPr>
                    <w:rFonts w:ascii="Cambria Math" w:eastAsiaTheme="minorEastAsia" w:hAnsi="Cambria Math"/>
                    <w:sz w:val="28"/>
                    <w:szCs w:val="28"/>
                  </w:rPr>
                </m:ctrlPr>
              </m:naryPr>
              <m:sub>
                <m:r>
                  <w:rPr>
                    <w:rFonts w:ascii="Cambria Math" w:eastAsiaTheme="minorEastAsia" w:hAnsi="Cambria Math"/>
                    <w:sz w:val="28"/>
                    <w:szCs w:val="28"/>
                  </w:rPr>
                  <m:t>k</m:t>
                </m:r>
              </m:sub>
              <m:sup/>
              <m:e>
                <m:r>
                  <m:rPr>
                    <m:sty m:val="p"/>
                  </m:rPr>
                  <w:rPr>
                    <w:rFonts w:ascii="Cambria Math" w:eastAsiaTheme="minorEastAsia" w:hAnsi="Cambria Math"/>
                    <w:sz w:val="28"/>
                    <w:szCs w:val="28"/>
                  </w:rPr>
                  <m:t xml:space="preserve">% religion </m:t>
                </m:r>
                <m:r>
                  <w:rPr>
                    <w:rFonts w:ascii="Cambria Math" w:eastAsiaTheme="minorEastAsia" w:hAnsi="Cambria Math"/>
                    <w:sz w:val="28"/>
                    <w:szCs w:val="28"/>
                  </w:rPr>
                  <m:t xml:space="preserve">k </m:t>
                </m:r>
                <m:r>
                  <m:rPr>
                    <m:sty m:val="p"/>
                  </m:rPr>
                  <w:rPr>
                    <w:rFonts w:ascii="Cambria Math" w:eastAsiaTheme="minorEastAsia" w:hAnsi="Cambria Math"/>
                    <w:sz w:val="28"/>
                    <w:szCs w:val="28"/>
                  </w:rPr>
                  <m:t xml:space="preserve">in source country  x  % religion </m:t>
                </m:r>
                <m:r>
                  <w:rPr>
                    <w:rFonts w:ascii="Cambria Math" w:eastAsiaTheme="minorEastAsia" w:hAnsi="Cambria Math"/>
                    <w:sz w:val="28"/>
                    <w:szCs w:val="28"/>
                  </w:rPr>
                  <m:t xml:space="preserve">k </m:t>
                </m:r>
                <m:r>
                  <m:rPr>
                    <m:sty m:val="p"/>
                  </m:rPr>
                  <w:rPr>
                    <w:rFonts w:ascii="Cambria Math" w:eastAsiaTheme="minorEastAsia" w:hAnsi="Cambria Math"/>
                    <w:sz w:val="28"/>
                    <w:szCs w:val="28"/>
                  </w:rPr>
                  <m:t>in host country</m:t>
                </m:r>
              </m:e>
            </m:nary>
          </m:num>
          <m:den>
            <m:r>
              <m:rPr>
                <m:sty m:val="p"/>
              </m:rPr>
              <w:rPr>
                <w:rFonts w:ascii="Cambria Math" w:eastAsiaTheme="minorEastAsia" w:hAnsi="Cambria Math"/>
                <w:sz w:val="28"/>
                <w:szCs w:val="28"/>
              </w:rPr>
              <m:t>100</m:t>
            </m:r>
          </m:den>
        </m:f>
      </m:oMath>
      <w:r w:rsidR="00E06806" w:rsidRPr="00E6375C">
        <w:rPr>
          <w:rFonts w:eastAsiaTheme="minorEastAsia"/>
          <w:sz w:val="28"/>
          <w:szCs w:val="28"/>
        </w:rPr>
        <w:tab/>
        <w:t xml:space="preserve">     </w:t>
      </w:r>
      <w:r w:rsidRPr="00E6375C">
        <w:rPr>
          <w:rFonts w:eastAsiaTheme="minorEastAsia"/>
          <w:szCs w:val="24"/>
        </w:rPr>
        <w:t>(A1)</w:t>
      </w:r>
    </w:p>
    <w:p w:rsidR="00517F2F" w:rsidRPr="00E6375C" w:rsidRDefault="00E05200" w:rsidP="00517F2F">
      <w:pPr>
        <w:jc w:val="both"/>
        <w:rPr>
          <w:rFonts w:eastAsiaTheme="minorEastAsia"/>
          <w:szCs w:val="24"/>
        </w:rPr>
      </w:pPr>
      <w:r w:rsidRPr="00E6375C">
        <w:rPr>
          <w:rFonts w:eastAsiaTheme="minorEastAsia"/>
          <w:szCs w:val="24"/>
        </w:rPr>
        <w:t>(A1)</w:t>
      </w:r>
      <w:r w:rsidR="00517F2F" w:rsidRPr="00E6375C">
        <w:rPr>
          <w:rFonts w:eastAsiaTheme="minorEastAsia"/>
          <w:szCs w:val="24"/>
        </w:rPr>
        <w:t xml:space="preserve"> captures all possible common religion between each pair of countries, which is the most accurate way to capture the share of common religions between two countries. </w:t>
      </w:r>
      <w:proofErr w:type="gramStart"/>
      <w:r w:rsidR="00517F2F" w:rsidRPr="00E6375C">
        <w:rPr>
          <w:rFonts w:eastAsiaTheme="minorEastAsia"/>
          <w:szCs w:val="24"/>
        </w:rPr>
        <w:t>But,</w:t>
      </w:r>
      <w:proofErr w:type="gramEnd"/>
      <w:r w:rsidR="00517F2F" w:rsidRPr="00E6375C">
        <w:rPr>
          <w:rFonts w:eastAsiaTheme="minorEastAsia"/>
          <w:szCs w:val="24"/>
        </w:rPr>
        <w:t xml:space="preserve"> it does not come without costs. Text data on religion from the CIA World Factbook</w:t>
      </w:r>
      <w:r w:rsidRPr="00E6375C">
        <w:rPr>
          <w:rStyle w:val="FootnoteReference"/>
          <w:rFonts w:eastAsiaTheme="minorEastAsia"/>
          <w:szCs w:val="24"/>
        </w:rPr>
        <w:footnoteReference w:id="4"/>
      </w:r>
      <w:r w:rsidR="00517F2F" w:rsidRPr="00E6375C">
        <w:rPr>
          <w:rFonts w:eastAsiaTheme="minorEastAsia"/>
          <w:szCs w:val="24"/>
        </w:rPr>
        <w:t xml:space="preserve"> are in fact very messy and lack precise information. First, in many cases they provide the total percentage of the population following </w:t>
      </w:r>
      <w:proofErr w:type="gramStart"/>
      <w:r w:rsidR="00517F2F" w:rsidRPr="00E6375C">
        <w:rPr>
          <w:rFonts w:eastAsiaTheme="minorEastAsia"/>
          <w:szCs w:val="24"/>
        </w:rPr>
        <w:t>a number of</w:t>
      </w:r>
      <w:proofErr w:type="gramEnd"/>
      <w:r w:rsidR="00517F2F" w:rsidRPr="00E6375C">
        <w:rPr>
          <w:rFonts w:eastAsiaTheme="minorEastAsia"/>
          <w:szCs w:val="24"/>
        </w:rPr>
        <w:t xml:space="preserve"> religions but not each separate religion. </w:t>
      </w:r>
      <w:r w:rsidR="00E06806" w:rsidRPr="00E6375C">
        <w:rPr>
          <w:rFonts w:eastAsiaTheme="minorEastAsia"/>
          <w:szCs w:val="24"/>
        </w:rPr>
        <w:t xml:space="preserve">In these cases, </w:t>
      </w:r>
      <w:r w:rsidR="00517F2F" w:rsidRPr="00E6375C">
        <w:rPr>
          <w:rFonts w:eastAsiaTheme="minorEastAsia"/>
          <w:szCs w:val="24"/>
        </w:rPr>
        <w:t xml:space="preserve">I manually collect and update the data for each religion in </w:t>
      </w:r>
      <w:r w:rsidR="00D26A17" w:rsidRPr="00E6375C">
        <w:rPr>
          <w:rFonts w:eastAsiaTheme="minorEastAsia"/>
          <w:szCs w:val="24"/>
        </w:rPr>
        <w:t xml:space="preserve">some countries from alternative </w:t>
      </w:r>
      <w:r w:rsidR="00517F2F" w:rsidRPr="00E6375C">
        <w:rPr>
          <w:rFonts w:eastAsiaTheme="minorEastAsia"/>
          <w:szCs w:val="24"/>
        </w:rPr>
        <w:t>data sources</w:t>
      </w:r>
      <w:r w:rsidR="00D26A17" w:rsidRPr="00E6375C">
        <w:rPr>
          <w:rFonts w:eastAsiaTheme="minorEastAsia"/>
          <w:szCs w:val="24"/>
        </w:rPr>
        <w:t>,</w:t>
      </w:r>
      <w:r w:rsidR="001E409E" w:rsidRPr="00E6375C">
        <w:rPr>
          <w:rFonts w:eastAsiaTheme="minorEastAsia"/>
          <w:szCs w:val="24"/>
        </w:rPr>
        <w:t xml:space="preserve"> such as </w:t>
      </w:r>
      <w:r w:rsidR="007A03F8" w:rsidRPr="00E6375C">
        <w:rPr>
          <w:rFonts w:eastAsiaTheme="minorEastAsia"/>
          <w:szCs w:val="24"/>
        </w:rPr>
        <w:t>Wikipedia</w:t>
      </w:r>
      <w:r w:rsidR="00256FCE" w:rsidRPr="00E6375C">
        <w:rPr>
          <w:rFonts w:eastAsiaTheme="minorEastAsia"/>
          <w:szCs w:val="24"/>
        </w:rPr>
        <w:t xml:space="preserve"> and countries’ statistics</w:t>
      </w:r>
      <w:r w:rsidR="00D26A17" w:rsidRPr="00E6375C">
        <w:rPr>
          <w:rFonts w:eastAsiaTheme="minorEastAsia"/>
          <w:szCs w:val="24"/>
        </w:rPr>
        <w:t xml:space="preserve">. It </w:t>
      </w:r>
      <w:r w:rsidR="003D1C1A" w:rsidRPr="00E6375C">
        <w:rPr>
          <w:rFonts w:eastAsiaTheme="minorEastAsia"/>
          <w:szCs w:val="24"/>
        </w:rPr>
        <w:t>is important that the manually imported information comes with clear and reliable references</w:t>
      </w:r>
      <w:r w:rsidR="00517F2F" w:rsidRPr="00E6375C">
        <w:rPr>
          <w:rFonts w:eastAsiaTheme="minorEastAsia"/>
          <w:szCs w:val="24"/>
        </w:rPr>
        <w:t xml:space="preserve">. If such data are not available, I equally divide the total percentage to each religion in the aggregate list. This process is time-consuming and may explain why the other studies follow the more restrictive </w:t>
      </w:r>
      <w:proofErr w:type="spellStart"/>
      <w:r w:rsidR="00517F2F" w:rsidRPr="00E6375C">
        <w:rPr>
          <w:rFonts w:eastAsiaTheme="minorEastAsia"/>
          <w:szCs w:val="24"/>
        </w:rPr>
        <w:t>Helpman</w:t>
      </w:r>
      <w:proofErr w:type="spellEnd"/>
      <w:r w:rsidR="00517F2F" w:rsidRPr="00E6375C">
        <w:rPr>
          <w:rFonts w:eastAsiaTheme="minorEastAsia"/>
          <w:szCs w:val="24"/>
        </w:rPr>
        <w:t xml:space="preserve"> religion index. However, </w:t>
      </w:r>
      <w:r w:rsidR="00A539FC" w:rsidRPr="00E6375C">
        <w:rPr>
          <w:rFonts w:eastAsiaTheme="minorEastAsia"/>
          <w:szCs w:val="24"/>
        </w:rPr>
        <w:t>d</w:t>
      </w:r>
      <w:r w:rsidR="00517F2F" w:rsidRPr="00E6375C">
        <w:rPr>
          <w:rFonts w:eastAsiaTheme="minorEastAsia"/>
          <w:szCs w:val="24"/>
        </w:rPr>
        <w:t xml:space="preserve">ata for the three religions in the </w:t>
      </w:r>
      <w:proofErr w:type="spellStart"/>
      <w:r w:rsidR="00517F2F" w:rsidRPr="00E6375C">
        <w:rPr>
          <w:rFonts w:eastAsiaTheme="minorEastAsia"/>
          <w:szCs w:val="24"/>
        </w:rPr>
        <w:t>Helpman</w:t>
      </w:r>
      <w:proofErr w:type="spellEnd"/>
      <w:r w:rsidR="00517F2F" w:rsidRPr="00E6375C">
        <w:rPr>
          <w:rFonts w:eastAsiaTheme="minorEastAsia"/>
          <w:szCs w:val="24"/>
        </w:rPr>
        <w:t xml:space="preserve"> index suffer from the same problem as other religions. For example, many countries report data </w:t>
      </w:r>
      <w:r w:rsidRPr="00E6375C">
        <w:rPr>
          <w:rFonts w:eastAsiaTheme="minorEastAsia"/>
          <w:szCs w:val="24"/>
        </w:rPr>
        <w:t xml:space="preserve">only </w:t>
      </w:r>
      <w:r w:rsidR="00517F2F" w:rsidRPr="00E6375C">
        <w:rPr>
          <w:rFonts w:eastAsiaTheme="minorEastAsia"/>
          <w:szCs w:val="24"/>
        </w:rPr>
        <w:t>on total percentages of people following Christianity (</w:t>
      </w:r>
      <w:proofErr w:type="spellStart"/>
      <w:r w:rsidR="00517F2F" w:rsidRPr="00E6375C">
        <w:rPr>
          <w:rFonts w:eastAsiaTheme="minorEastAsia"/>
          <w:szCs w:val="24"/>
        </w:rPr>
        <w:t>Tazania</w:t>
      </w:r>
      <w:proofErr w:type="spellEnd"/>
      <w:r w:rsidR="00517F2F" w:rsidRPr="00E6375C">
        <w:rPr>
          <w:rFonts w:eastAsiaTheme="minorEastAsia"/>
          <w:szCs w:val="24"/>
        </w:rPr>
        <w:t xml:space="preserve"> 61.4%, </w:t>
      </w:r>
      <w:proofErr w:type="spellStart"/>
      <w:r w:rsidR="00517F2F" w:rsidRPr="00E6375C">
        <w:rPr>
          <w:rFonts w:eastAsiaTheme="minorEastAsia"/>
          <w:szCs w:val="24"/>
        </w:rPr>
        <w:t>Tongo</w:t>
      </w:r>
      <w:proofErr w:type="spellEnd"/>
      <w:r w:rsidR="00517F2F" w:rsidRPr="00E6375C">
        <w:rPr>
          <w:rFonts w:eastAsiaTheme="minorEastAsia"/>
          <w:szCs w:val="24"/>
        </w:rPr>
        <w:t xml:space="preserve"> 29%, Nigeria 40%, and so on) without clarifying whether they are Protestant or Catholic.</w:t>
      </w:r>
      <w:r w:rsidR="0027634A" w:rsidRPr="00E6375C">
        <w:rPr>
          <w:rFonts w:eastAsiaTheme="minorEastAsia"/>
          <w:szCs w:val="24"/>
        </w:rPr>
        <w:t xml:space="preserve"> Hence,</w:t>
      </w:r>
      <w:r w:rsidR="003D1C1A" w:rsidRPr="00E6375C">
        <w:rPr>
          <w:rFonts w:eastAsiaTheme="minorEastAsia"/>
          <w:szCs w:val="24"/>
        </w:rPr>
        <w:t xml:space="preserve"> </w:t>
      </w:r>
      <w:r w:rsidR="00E245EE" w:rsidRPr="00E6375C">
        <w:rPr>
          <w:rFonts w:eastAsiaTheme="minorEastAsia"/>
          <w:szCs w:val="24"/>
        </w:rPr>
        <w:t xml:space="preserve">I also manually check other sources for these unclear values. </w:t>
      </w:r>
      <w:r w:rsidR="00C4028F" w:rsidRPr="00E6375C">
        <w:rPr>
          <w:rFonts w:eastAsiaTheme="minorEastAsia"/>
          <w:szCs w:val="24"/>
        </w:rPr>
        <w:t>D</w:t>
      </w:r>
      <w:r w:rsidR="00517F2F" w:rsidRPr="00E6375C">
        <w:rPr>
          <w:rFonts w:eastAsiaTheme="minorEastAsia"/>
          <w:szCs w:val="24"/>
        </w:rPr>
        <w:t>ue to the imprecis</w:t>
      </w:r>
      <w:r w:rsidRPr="00E6375C">
        <w:rPr>
          <w:rFonts w:eastAsiaTheme="minorEastAsia"/>
          <w:szCs w:val="24"/>
        </w:rPr>
        <w:t>ion</w:t>
      </w:r>
      <w:r w:rsidR="00517F2F" w:rsidRPr="00E6375C">
        <w:rPr>
          <w:rFonts w:eastAsiaTheme="minorEastAsia"/>
          <w:szCs w:val="24"/>
        </w:rPr>
        <w:t xml:space="preserve"> in religion data, the level of accuracy of this index has potential for future improvement. </w:t>
      </w:r>
    </w:p>
    <w:p w:rsidR="00517F2F" w:rsidRPr="00E6375C" w:rsidRDefault="00517F2F" w:rsidP="00517F2F">
      <w:pPr>
        <w:jc w:val="both"/>
      </w:pPr>
      <w:r w:rsidRPr="00E6375C">
        <w:rPr>
          <w:rFonts w:eastAsiaTheme="minorEastAsia"/>
          <w:szCs w:val="24"/>
        </w:rPr>
        <w:t xml:space="preserve">Lastly, data to construct the dummy for </w:t>
      </w:r>
      <w:r w:rsidR="001E409E" w:rsidRPr="00E6375C">
        <w:rPr>
          <w:rFonts w:eastAsiaTheme="minorEastAsia"/>
          <w:szCs w:val="24"/>
        </w:rPr>
        <w:t xml:space="preserve">a </w:t>
      </w:r>
      <w:r w:rsidRPr="00E6375C">
        <w:rPr>
          <w:rFonts w:eastAsiaTheme="minorEastAsia"/>
          <w:szCs w:val="24"/>
        </w:rPr>
        <w:t>common legal origin are also collected from the CIA World Factbook.</w:t>
      </w:r>
      <w:r w:rsidR="00E05200" w:rsidRPr="00E6375C">
        <w:rPr>
          <w:rStyle w:val="FootnoteReference"/>
          <w:rFonts w:eastAsiaTheme="minorEastAsia"/>
          <w:szCs w:val="24"/>
        </w:rPr>
        <w:footnoteReference w:id="5"/>
      </w:r>
      <w:r w:rsidRPr="00E6375C">
        <w:rPr>
          <w:rFonts w:eastAsiaTheme="minorEastAsia"/>
          <w:szCs w:val="24"/>
        </w:rPr>
        <w:t xml:space="preserve"> According to the CIA, t</w:t>
      </w:r>
      <w:r w:rsidRPr="00E6375C">
        <w:rPr>
          <w:rStyle w:val="categorydata"/>
        </w:rPr>
        <w:t xml:space="preserve">he legal systems of nearly all countries are generally modelled upon elements of five main types: civil law; common law; customary law; mixed or pluralistic law; and religious law. Among these, mixed or pluralistic law is just a combination of the other </w:t>
      </w:r>
      <w:r w:rsidR="004543E1" w:rsidRPr="00E6375C">
        <w:rPr>
          <w:rStyle w:val="categorydata"/>
        </w:rPr>
        <w:t xml:space="preserve">four </w:t>
      </w:r>
      <w:r w:rsidRPr="00E6375C">
        <w:rPr>
          <w:rStyle w:val="categorydata"/>
        </w:rPr>
        <w:t>systems. Therefore, the common legal origin is a dummy variable taking on a value of 1 if the two countries share at least one of the four roots in their legal system: civil law, common law, customary law and religious law.</w:t>
      </w:r>
      <w:r w:rsidRPr="00E6375C">
        <w:br w:type="page"/>
      </w:r>
    </w:p>
    <w:p w:rsidR="00517F2F" w:rsidRPr="00E6375C" w:rsidRDefault="00517F2F" w:rsidP="00517F2F">
      <w:pPr>
        <w:spacing w:after="0"/>
        <w:sectPr w:rsidR="00517F2F" w:rsidRPr="00E6375C" w:rsidSect="009C0886">
          <w:footerReference w:type="default" r:id="rId8"/>
          <w:pgSz w:w="11906" w:h="16838"/>
          <w:pgMar w:top="1440" w:right="1440" w:bottom="1440" w:left="1440" w:header="567" w:footer="708" w:gutter="0"/>
          <w:cols w:space="720"/>
          <w:docGrid w:linePitch="326"/>
        </w:sectPr>
      </w:pPr>
    </w:p>
    <w:p w:rsidR="00C3272B" w:rsidRPr="00E6375C" w:rsidRDefault="00C3272B" w:rsidP="00C3272B">
      <w:pPr>
        <w:widowControl w:val="0"/>
        <w:autoSpaceDE w:val="0"/>
        <w:autoSpaceDN w:val="0"/>
        <w:adjustRightInd w:val="0"/>
        <w:spacing w:after="0" w:line="240" w:lineRule="auto"/>
        <w:ind w:left="-426"/>
        <w:rPr>
          <w:sz w:val="20"/>
          <w:szCs w:val="20"/>
          <w:lang w:val="en-US"/>
        </w:rPr>
      </w:pPr>
      <w:r w:rsidRPr="00E6375C">
        <w:rPr>
          <w:b/>
          <w:sz w:val="20"/>
          <w:szCs w:val="20"/>
          <w:lang w:val="en-US"/>
        </w:rPr>
        <w:lastRenderedPageBreak/>
        <w:t>Table A5: Intensive Margin – Country Groups – FDI Stock</w:t>
      </w:r>
    </w:p>
    <w:tbl>
      <w:tblPr>
        <w:tblW w:w="9570" w:type="dxa"/>
        <w:jc w:val="center"/>
        <w:tblLayout w:type="fixed"/>
        <w:tblLook w:val="0000" w:firstRow="0" w:lastRow="0" w:firstColumn="0" w:lastColumn="0" w:noHBand="0" w:noVBand="0"/>
      </w:tblPr>
      <w:tblGrid>
        <w:gridCol w:w="1038"/>
        <w:gridCol w:w="716"/>
        <w:gridCol w:w="976"/>
        <w:gridCol w:w="977"/>
        <w:gridCol w:w="976"/>
        <w:gridCol w:w="979"/>
        <w:gridCol w:w="976"/>
        <w:gridCol w:w="977"/>
        <w:gridCol w:w="976"/>
        <w:gridCol w:w="979"/>
      </w:tblGrid>
      <w:tr w:rsidR="00C3272B" w:rsidRPr="00E6375C" w:rsidTr="006B16FA">
        <w:trPr>
          <w:trHeight w:val="261"/>
          <w:jc w:val="center"/>
        </w:trPr>
        <w:tc>
          <w:tcPr>
            <w:tcW w:w="1754" w:type="dxa"/>
            <w:gridSpan w:val="2"/>
            <w:tcBorders>
              <w:top w:val="single" w:sz="4" w:space="0" w:color="auto"/>
              <w:left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right"/>
              <w:rPr>
                <w:sz w:val="20"/>
                <w:szCs w:val="20"/>
                <w:lang w:val="en-US"/>
              </w:rPr>
            </w:pPr>
            <w:r w:rsidRPr="00E6375C">
              <w:rPr>
                <w:sz w:val="20"/>
                <w:szCs w:val="20"/>
                <w:lang w:val="en-US"/>
              </w:rPr>
              <w:t>Expected</w:t>
            </w:r>
          </w:p>
        </w:tc>
        <w:tc>
          <w:tcPr>
            <w:tcW w:w="1953" w:type="dxa"/>
            <w:gridSpan w:val="2"/>
            <w:tcBorders>
              <w:top w:val="single" w:sz="4" w:space="0" w:color="auto"/>
              <w:left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DCs to DCs</w:t>
            </w:r>
          </w:p>
        </w:tc>
        <w:tc>
          <w:tcPr>
            <w:tcW w:w="1955" w:type="dxa"/>
            <w:gridSpan w:val="2"/>
            <w:tcBorders>
              <w:top w:val="single" w:sz="4" w:space="0" w:color="auto"/>
              <w:left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DCs to LDCs</w:t>
            </w:r>
          </w:p>
        </w:tc>
        <w:tc>
          <w:tcPr>
            <w:tcW w:w="1953" w:type="dxa"/>
            <w:gridSpan w:val="2"/>
            <w:tcBorders>
              <w:top w:val="single" w:sz="4" w:space="0" w:color="auto"/>
              <w:left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LDCs to DCs</w:t>
            </w:r>
          </w:p>
        </w:tc>
        <w:tc>
          <w:tcPr>
            <w:tcW w:w="1955" w:type="dxa"/>
            <w:gridSpan w:val="2"/>
            <w:tcBorders>
              <w:top w:val="single" w:sz="4" w:space="0" w:color="auto"/>
              <w:left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LDCs to LDCs</w:t>
            </w:r>
          </w:p>
        </w:tc>
      </w:tr>
      <w:tr w:rsidR="00C3272B" w:rsidRPr="00E6375C" w:rsidTr="006B16FA">
        <w:trPr>
          <w:trHeight w:val="261"/>
          <w:jc w:val="center"/>
        </w:trPr>
        <w:tc>
          <w:tcPr>
            <w:tcW w:w="1754" w:type="dxa"/>
            <w:gridSpan w:val="2"/>
            <w:tcBorders>
              <w:left w:val="nil"/>
              <w:bottom w:val="single" w:sz="4" w:space="0" w:color="auto"/>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right"/>
              <w:rPr>
                <w:sz w:val="20"/>
                <w:szCs w:val="20"/>
                <w:lang w:val="en-US"/>
              </w:rPr>
            </w:pPr>
            <w:r w:rsidRPr="00E6375C">
              <w:rPr>
                <w:sz w:val="20"/>
                <w:szCs w:val="20"/>
                <w:lang w:val="en-US"/>
              </w:rPr>
              <w:t>Sign</w:t>
            </w:r>
          </w:p>
        </w:tc>
        <w:tc>
          <w:tcPr>
            <w:tcW w:w="976" w:type="dxa"/>
            <w:tcBorders>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FE</w:t>
            </w:r>
          </w:p>
        </w:tc>
        <w:tc>
          <w:tcPr>
            <w:tcW w:w="977" w:type="dxa"/>
            <w:tcBorders>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CMRE</w:t>
            </w:r>
          </w:p>
        </w:tc>
        <w:tc>
          <w:tcPr>
            <w:tcW w:w="976" w:type="dxa"/>
            <w:tcBorders>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FE</w:t>
            </w:r>
          </w:p>
        </w:tc>
        <w:tc>
          <w:tcPr>
            <w:tcW w:w="979" w:type="dxa"/>
            <w:tcBorders>
              <w:left w:val="nil"/>
              <w:bottom w:val="single" w:sz="4" w:space="0" w:color="auto"/>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CMRE</w:t>
            </w:r>
          </w:p>
        </w:tc>
        <w:tc>
          <w:tcPr>
            <w:tcW w:w="976" w:type="dxa"/>
            <w:tcBorders>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FE</w:t>
            </w:r>
          </w:p>
        </w:tc>
        <w:tc>
          <w:tcPr>
            <w:tcW w:w="977" w:type="dxa"/>
            <w:tcBorders>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CMRE</w:t>
            </w:r>
          </w:p>
        </w:tc>
        <w:tc>
          <w:tcPr>
            <w:tcW w:w="976" w:type="dxa"/>
            <w:tcBorders>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FE</w:t>
            </w:r>
          </w:p>
        </w:tc>
        <w:tc>
          <w:tcPr>
            <w:tcW w:w="979" w:type="dxa"/>
            <w:tcBorders>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CMRE</w:t>
            </w:r>
          </w:p>
        </w:tc>
      </w:tr>
      <w:tr w:rsidR="00C3272B" w:rsidRPr="00E6375C" w:rsidTr="006B16FA">
        <w:trPr>
          <w:trHeight w:val="282"/>
          <w:jc w:val="center"/>
        </w:trPr>
        <w:tc>
          <w:tcPr>
            <w:tcW w:w="1038" w:type="dxa"/>
            <w:tcBorders>
              <w:top w:val="single" w:sz="4" w:space="0" w:color="auto"/>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lgdp_s</w:t>
            </w:r>
            <w:proofErr w:type="spellEnd"/>
          </w:p>
        </w:tc>
        <w:tc>
          <w:tcPr>
            <w:tcW w:w="716" w:type="dxa"/>
            <w:tcBorders>
              <w:top w:val="single" w:sz="4" w:space="0" w:color="auto"/>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single" w:sz="4" w:space="0" w:color="auto"/>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0.614</w:t>
            </w:r>
            <w:r w:rsidRPr="00E6375C">
              <w:rPr>
                <w:sz w:val="20"/>
                <w:szCs w:val="20"/>
                <w:vertAlign w:val="superscript"/>
                <w:lang w:val="en-US"/>
              </w:rPr>
              <w:t>***</w:t>
            </w:r>
          </w:p>
        </w:tc>
        <w:tc>
          <w:tcPr>
            <w:tcW w:w="977" w:type="dxa"/>
            <w:tcBorders>
              <w:top w:val="single" w:sz="4" w:space="0" w:color="auto"/>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0.594</w:t>
            </w:r>
            <w:r w:rsidRPr="00E6375C">
              <w:rPr>
                <w:sz w:val="20"/>
                <w:szCs w:val="20"/>
                <w:vertAlign w:val="superscript"/>
                <w:lang w:val="en-US"/>
              </w:rPr>
              <w:t>***</w:t>
            </w:r>
          </w:p>
        </w:tc>
        <w:tc>
          <w:tcPr>
            <w:tcW w:w="976" w:type="dxa"/>
            <w:tcBorders>
              <w:top w:val="single" w:sz="4" w:space="0" w:color="auto"/>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0.515</w:t>
            </w:r>
            <w:r w:rsidRPr="00E6375C">
              <w:rPr>
                <w:sz w:val="20"/>
                <w:szCs w:val="20"/>
                <w:vertAlign w:val="superscript"/>
                <w:lang w:val="en-US"/>
              </w:rPr>
              <w:t>***</w:t>
            </w:r>
          </w:p>
        </w:tc>
        <w:tc>
          <w:tcPr>
            <w:tcW w:w="979" w:type="dxa"/>
            <w:tcBorders>
              <w:top w:val="single" w:sz="4" w:space="0" w:color="auto"/>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0.471</w:t>
            </w:r>
            <w:r w:rsidRPr="00E6375C">
              <w:rPr>
                <w:sz w:val="20"/>
                <w:szCs w:val="20"/>
                <w:vertAlign w:val="superscript"/>
                <w:lang w:val="en-US"/>
              </w:rPr>
              <w:t>***</w:t>
            </w:r>
          </w:p>
        </w:tc>
        <w:tc>
          <w:tcPr>
            <w:tcW w:w="976" w:type="dxa"/>
            <w:tcBorders>
              <w:top w:val="single" w:sz="4" w:space="0" w:color="auto"/>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0.200</w:t>
            </w:r>
          </w:p>
        </w:tc>
        <w:tc>
          <w:tcPr>
            <w:tcW w:w="977" w:type="dxa"/>
            <w:tcBorders>
              <w:top w:val="single" w:sz="4" w:space="0" w:color="auto"/>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0.176</w:t>
            </w:r>
          </w:p>
        </w:tc>
        <w:tc>
          <w:tcPr>
            <w:tcW w:w="976" w:type="dxa"/>
            <w:tcBorders>
              <w:top w:val="single" w:sz="4" w:space="0" w:color="auto"/>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-0.005</w:t>
            </w:r>
          </w:p>
        </w:tc>
        <w:tc>
          <w:tcPr>
            <w:tcW w:w="979" w:type="dxa"/>
            <w:tcBorders>
              <w:top w:val="single" w:sz="4" w:space="0" w:color="auto"/>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-0.054</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(0.145)</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(0.144)</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(0.152)</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(0.150)</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(0.214)</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(0.210)</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(0.193)</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(0.190)</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lgdp_h</w:t>
            </w:r>
            <w:proofErr w:type="spellEnd"/>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0.555</w:t>
            </w:r>
            <w:r w:rsidRPr="00E6375C">
              <w:rPr>
                <w:sz w:val="20"/>
                <w:szCs w:val="20"/>
                <w:vertAlign w:val="superscript"/>
                <w:lang w:val="en-US"/>
              </w:rPr>
              <w:t>***</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0.561</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0.288</w:t>
            </w:r>
            <w:r w:rsidRPr="00E6375C">
              <w:rPr>
                <w:sz w:val="20"/>
                <w:szCs w:val="20"/>
                <w:vertAlign w:val="superscript"/>
                <w:lang w:val="en-US"/>
              </w:rPr>
              <w:t>**</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0.304</w:t>
            </w:r>
            <w:r w:rsidRPr="00E6375C">
              <w:rPr>
                <w:sz w:val="20"/>
                <w:szCs w:val="20"/>
                <w:vertAlign w:val="superscript"/>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0.615</w:t>
            </w:r>
            <w:r w:rsidRPr="00E6375C">
              <w:rPr>
                <w:sz w:val="20"/>
                <w:szCs w:val="20"/>
                <w:vertAlign w:val="superscript"/>
                <w:lang w:val="en-US"/>
              </w:rPr>
              <w:t>*</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0.547</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0.463</w:t>
            </w:r>
            <w:r w:rsidRPr="00E6375C">
              <w:rPr>
                <w:sz w:val="20"/>
                <w:szCs w:val="20"/>
                <w:vertAlign w:val="superscript"/>
                <w:lang w:val="en-US"/>
              </w:rPr>
              <w:t>***</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0.453</w:t>
            </w:r>
            <w:r w:rsidRPr="00E6375C">
              <w:rPr>
                <w:sz w:val="20"/>
                <w:szCs w:val="20"/>
                <w:vertAlign w:val="superscript"/>
                <w:lang w:val="en-US"/>
              </w:rPr>
              <w:t>***</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(0.144)</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(0.144)</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(0.116)</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(0.115)</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(0.336)</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(0.327)</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(0.165)</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(0.162)</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tech_s</w:t>
            </w:r>
            <w:proofErr w:type="spellEnd"/>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2.653</w:t>
            </w:r>
            <w:r w:rsidRPr="00E6375C">
              <w:rPr>
                <w:sz w:val="20"/>
                <w:szCs w:val="20"/>
                <w:vertAlign w:val="superscript"/>
                <w:lang w:val="en-US"/>
              </w:rPr>
              <w:t>***</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2.659</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1.042</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1.123</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4.090</w:t>
            </w:r>
            <w:r w:rsidRPr="00E6375C">
              <w:rPr>
                <w:sz w:val="20"/>
                <w:szCs w:val="20"/>
                <w:vertAlign w:val="superscript"/>
                <w:lang w:val="en-US"/>
              </w:rPr>
              <w:t>***</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4.072</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2.523</w:t>
            </w:r>
            <w:r w:rsidRPr="00E6375C">
              <w:rPr>
                <w:sz w:val="20"/>
                <w:szCs w:val="20"/>
                <w:vertAlign w:val="superscript"/>
                <w:lang w:val="en-US"/>
              </w:rPr>
              <w:t>***</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2.682</w:t>
            </w:r>
            <w:r w:rsidRPr="00E6375C">
              <w:rPr>
                <w:sz w:val="20"/>
                <w:szCs w:val="20"/>
                <w:vertAlign w:val="superscript"/>
                <w:lang w:val="en-US"/>
              </w:rPr>
              <w:t>***</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(0.996)</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(0.995)</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(1.089)</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(1.084)</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(1.116)</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(1.107)</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(0.919)</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(0.914)</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delta_h</w:t>
            </w:r>
            <w:proofErr w:type="spellEnd"/>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3.296</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2.196</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7.477</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6.722</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18.300</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18.973</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-12.453</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-10.084</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(9.256)</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(9.202)</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(7.584)</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(7.504)</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(21.331)</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(20.752)</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(11.555)</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(11.270)</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remote_s</w:t>
            </w:r>
            <w:proofErr w:type="spellEnd"/>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-1.992</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-2.041</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-1.391</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-1.572</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8.727</w:t>
            </w:r>
            <w:r w:rsidRPr="00E6375C">
              <w:rPr>
                <w:sz w:val="20"/>
                <w:szCs w:val="20"/>
                <w:vertAlign w:val="superscript"/>
                <w:lang w:val="en-US"/>
              </w:rPr>
              <w:t>***</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7.863</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2.256</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1.708</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(1.734)</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(1.730)</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(1.605)</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(1.593)</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(3.050)</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(3.012)</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(3.362)</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(3.274)</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remote_h</w:t>
            </w:r>
            <w:proofErr w:type="spellEnd"/>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1.921</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1.904</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5.422</w:t>
            </w:r>
            <w:r w:rsidRPr="00E6375C">
              <w:rPr>
                <w:sz w:val="20"/>
                <w:szCs w:val="20"/>
                <w:vertAlign w:val="superscript"/>
                <w:lang w:val="en-US"/>
              </w:rPr>
              <w:t>***</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5.433</w:t>
            </w:r>
            <w:r w:rsidRPr="00E6375C">
              <w:rPr>
                <w:sz w:val="20"/>
                <w:szCs w:val="20"/>
                <w:vertAlign w:val="superscript"/>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-3.098</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-2.521</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-0.786</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-0.448</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(1.214)</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(1.212)</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(1.686)</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(1.677)</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(3.348)</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(3.285)</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(3.093)</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(3.031)</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startup_h</w:t>
            </w:r>
            <w:proofErr w:type="spellEnd"/>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-0.083</w:t>
            </w:r>
            <w:r w:rsidRPr="00E6375C">
              <w:rPr>
                <w:sz w:val="20"/>
                <w:szCs w:val="20"/>
                <w:vertAlign w:val="superscript"/>
                <w:lang w:val="en-US"/>
              </w:rPr>
              <w:t>***</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-0.086</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0.022</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0.028</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0.084</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0.087</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-0.021</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-0.017</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(0.025)</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(0.025)</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(0.028)</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(0.028)</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(0.056)</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(0.056)</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(0.045)</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(0.044)</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phi_h</w:t>
            </w:r>
            <w:proofErr w:type="spellEnd"/>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5.676</w:t>
            </w:r>
            <w:r w:rsidRPr="00E6375C">
              <w:rPr>
                <w:sz w:val="20"/>
                <w:szCs w:val="20"/>
                <w:vertAlign w:val="superscript"/>
                <w:lang w:val="en-US"/>
              </w:rPr>
              <w:t>***</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5.232</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3.090</w:t>
            </w:r>
            <w:r w:rsidRPr="00E6375C">
              <w:rPr>
                <w:sz w:val="20"/>
                <w:szCs w:val="20"/>
                <w:vertAlign w:val="superscript"/>
                <w:lang w:val="en-US"/>
              </w:rPr>
              <w:t>***</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3.124</w:t>
            </w:r>
            <w:r w:rsidRPr="00E6375C">
              <w:rPr>
                <w:sz w:val="20"/>
                <w:szCs w:val="20"/>
                <w:vertAlign w:val="superscript"/>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5.510</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6.403</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1.642</w:t>
            </w:r>
            <w:r w:rsidRPr="00E6375C">
              <w:rPr>
                <w:sz w:val="20"/>
                <w:szCs w:val="20"/>
                <w:vertAlign w:val="superscript"/>
                <w:lang w:val="en-US"/>
              </w:rPr>
              <w:t>***</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1.486</w:t>
            </w:r>
            <w:r w:rsidRPr="00E6375C">
              <w:rPr>
                <w:sz w:val="20"/>
                <w:szCs w:val="20"/>
                <w:vertAlign w:val="superscript"/>
                <w:lang w:val="en-US"/>
              </w:rPr>
              <w:t>**</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(1.229)</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(1.168)</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(0.364)</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(0.359)</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(3.455)</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(2.887)</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(0.597)</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(0.584)</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BIT</w:t>
            </w: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-0.356</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-0.363</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0.238</w:t>
            </w:r>
            <w:r w:rsidRPr="00E6375C">
              <w:rPr>
                <w:sz w:val="20"/>
                <w:szCs w:val="20"/>
                <w:vertAlign w:val="superscript"/>
                <w:lang w:val="en-US"/>
              </w:rPr>
              <w:t>**</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0.208</w:t>
            </w:r>
            <w:r w:rsidRPr="00E6375C">
              <w:rPr>
                <w:sz w:val="20"/>
                <w:szCs w:val="20"/>
                <w:vertAlign w:val="superscript"/>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-0.068</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-0.101</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0.096</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0.115</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(0.275)</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(0.273)</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(0.106)</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(0.105)</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(0.203)</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(0.198)</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(0.177)</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(0.172)</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PTA</w:t>
            </w: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0.105</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0.108</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0.173</w:t>
            </w:r>
            <w:r w:rsidRPr="00E6375C">
              <w:rPr>
                <w:sz w:val="20"/>
                <w:szCs w:val="20"/>
                <w:vertAlign w:val="superscript"/>
                <w:lang w:val="en-US"/>
              </w:rPr>
              <w:t>**</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0.174</w:t>
            </w:r>
            <w:r w:rsidRPr="00E6375C">
              <w:rPr>
                <w:sz w:val="20"/>
                <w:szCs w:val="20"/>
                <w:vertAlign w:val="superscript"/>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0.129</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0.130</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-0.031</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-0.013</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(0.120)</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(0.120)</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(0.079)</w:t>
            </w: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(0.079)</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(0.174)</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(0.171)</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(0.149)</w:t>
            </w: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(0.147)</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currency</w:t>
            </w: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0.246</w:t>
            </w:r>
            <w:r w:rsidRPr="00E6375C">
              <w:rPr>
                <w:sz w:val="20"/>
                <w:szCs w:val="20"/>
                <w:vertAlign w:val="superscript"/>
                <w:lang w:val="en-US"/>
              </w:rPr>
              <w:t>*</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0.241</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1.179</w:t>
            </w:r>
            <w:r w:rsidRPr="00E6375C">
              <w:rPr>
                <w:sz w:val="20"/>
                <w:szCs w:val="20"/>
                <w:vertAlign w:val="superscript"/>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1.823</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0.058</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(0.126)</w:t>
            </w: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(0.126)</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(0.387)</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(1.155)</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(0.370)</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ldist</w:t>
            </w:r>
            <w:proofErr w:type="spellEnd"/>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-0.678</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-0.797</w:t>
            </w:r>
            <w:r w:rsidRPr="00E6375C">
              <w:rPr>
                <w:sz w:val="20"/>
                <w:szCs w:val="20"/>
                <w:vertAlign w:val="superscript"/>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-0.840</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-0.721</w:t>
            </w:r>
            <w:r w:rsidRPr="00E6375C">
              <w:rPr>
                <w:sz w:val="20"/>
                <w:szCs w:val="20"/>
                <w:vertAlign w:val="superscript"/>
                <w:lang w:val="en-US"/>
              </w:rPr>
              <w:t>***</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(0.115)</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(0.101)</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(0.124)</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(0.117)</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border</w:t>
            </w: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0.242</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0.585</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0.735</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0.693</w:t>
            </w:r>
            <w:r w:rsidRPr="00E6375C">
              <w:rPr>
                <w:sz w:val="20"/>
                <w:szCs w:val="20"/>
                <w:vertAlign w:val="superscript"/>
                <w:lang w:val="en-US"/>
              </w:rPr>
              <w:t>***</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(0.270)</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(0.496)</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(0.662)</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(0.246)</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language</w:t>
            </w: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1.023</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0.567</w:t>
            </w:r>
            <w:r w:rsidRPr="00E6375C">
              <w:rPr>
                <w:sz w:val="20"/>
                <w:szCs w:val="20"/>
                <w:vertAlign w:val="superscript"/>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0.895</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0.586</w:t>
            </w:r>
            <w:r w:rsidRPr="00E6375C">
              <w:rPr>
                <w:sz w:val="20"/>
                <w:szCs w:val="20"/>
                <w:vertAlign w:val="superscript"/>
                <w:lang w:val="en-US"/>
              </w:rPr>
              <w:t>***</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(0.213)</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(0.161)</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(0.235)</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(0.183)</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colon</w:t>
            </w:r>
            <w:r w:rsidR="004E2846" w:rsidRPr="00E6375C">
              <w:rPr>
                <w:sz w:val="20"/>
                <w:szCs w:val="20"/>
                <w:lang w:val="en-US"/>
              </w:rPr>
              <w:t>ise</w:t>
            </w:r>
            <w:r w:rsidRPr="00E6375C">
              <w:rPr>
                <w:sz w:val="20"/>
                <w:szCs w:val="20"/>
                <w:lang w:val="en-US"/>
              </w:rPr>
              <w:t>r</w:t>
            </w:r>
            <w:proofErr w:type="spellEnd"/>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0.561</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0.376</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1.186</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-0.047</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(0.501)</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(0.343)</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(0.453)</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(0.210)</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colony</w:t>
            </w: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0.913</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1.625</w:t>
            </w:r>
            <w:r w:rsidRPr="00E6375C">
              <w:rPr>
                <w:sz w:val="20"/>
                <w:szCs w:val="20"/>
                <w:vertAlign w:val="superscript"/>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1.557</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1.009</w:t>
            </w:r>
            <w:r w:rsidRPr="00E6375C">
              <w:rPr>
                <w:sz w:val="20"/>
                <w:szCs w:val="20"/>
                <w:vertAlign w:val="superscript"/>
                <w:lang w:val="en-US"/>
              </w:rPr>
              <w:t>***</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(0.297)</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(0.258)</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(0.410)</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(0.388)</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legal</w:t>
            </w: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0.148</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-0.297</w:t>
            </w:r>
            <w:r w:rsidRPr="00E6375C">
              <w:rPr>
                <w:sz w:val="20"/>
                <w:szCs w:val="20"/>
                <w:vertAlign w:val="superscript"/>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-0.023</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0.117</w:t>
            </w:r>
          </w:p>
        </w:tc>
      </w:tr>
      <w:tr w:rsidR="00C3272B" w:rsidRPr="00E6375C" w:rsidTr="006B16FA">
        <w:trPr>
          <w:trHeight w:val="282"/>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(0.149)</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(0.119)</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(0.164)</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(0.183)</w:t>
            </w:r>
          </w:p>
        </w:tc>
      </w:tr>
      <w:tr w:rsidR="00C3272B" w:rsidRPr="00E6375C" w:rsidTr="006B16FA">
        <w:trPr>
          <w:trHeight w:val="261"/>
          <w:jc w:val="center"/>
        </w:trPr>
        <w:tc>
          <w:tcPr>
            <w:tcW w:w="1038"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religion</w:t>
            </w:r>
          </w:p>
        </w:tc>
        <w:tc>
          <w:tcPr>
            <w:tcW w:w="716"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0.094</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0.115</w:t>
            </w:r>
            <w:r w:rsidRPr="00E6375C">
              <w:rPr>
                <w:sz w:val="20"/>
                <w:szCs w:val="20"/>
                <w:vertAlign w:val="superscript"/>
                <w:lang w:val="en-US"/>
              </w:rPr>
              <w:t>***</w:t>
            </w:r>
          </w:p>
        </w:tc>
        <w:tc>
          <w:tcPr>
            <w:tcW w:w="976"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0.067</w:t>
            </w:r>
            <w:r w:rsidRPr="00E6375C">
              <w:rPr>
                <w:sz w:val="20"/>
                <w:szCs w:val="20"/>
                <w:vertAlign w:val="superscript"/>
                <w:lang w:val="en-US"/>
              </w:rPr>
              <w:t>*</w:t>
            </w:r>
          </w:p>
        </w:tc>
        <w:tc>
          <w:tcPr>
            <w:tcW w:w="976"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0.026</w:t>
            </w:r>
          </w:p>
        </w:tc>
      </w:tr>
      <w:tr w:rsidR="00C3272B" w:rsidRPr="00E6375C" w:rsidTr="006B16FA">
        <w:trPr>
          <w:trHeight w:val="261"/>
          <w:jc w:val="center"/>
        </w:trPr>
        <w:tc>
          <w:tcPr>
            <w:tcW w:w="1038" w:type="dxa"/>
            <w:tcBorders>
              <w:top w:val="nil"/>
              <w:left w:val="nil"/>
              <w:bottom w:val="single" w:sz="4" w:space="0" w:color="auto"/>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6" w:type="dxa"/>
            <w:tcBorders>
              <w:top w:val="nil"/>
              <w:left w:val="nil"/>
              <w:bottom w:val="single" w:sz="4" w:space="0" w:color="auto"/>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6" w:type="dxa"/>
            <w:tcBorders>
              <w:top w:val="nil"/>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(0.042)</w:t>
            </w:r>
          </w:p>
        </w:tc>
        <w:tc>
          <w:tcPr>
            <w:tcW w:w="976" w:type="dxa"/>
            <w:tcBorders>
              <w:top w:val="nil"/>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single" w:sz="4" w:space="0" w:color="auto"/>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(0.029)</w:t>
            </w:r>
          </w:p>
        </w:tc>
        <w:tc>
          <w:tcPr>
            <w:tcW w:w="976" w:type="dxa"/>
            <w:tcBorders>
              <w:top w:val="nil"/>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7" w:type="dxa"/>
            <w:tcBorders>
              <w:top w:val="nil"/>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(0.035)</w:t>
            </w:r>
          </w:p>
        </w:tc>
        <w:tc>
          <w:tcPr>
            <w:tcW w:w="976" w:type="dxa"/>
            <w:tcBorders>
              <w:top w:val="nil"/>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9" w:type="dxa"/>
            <w:tcBorders>
              <w:top w:val="nil"/>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(0.028)</w:t>
            </w:r>
          </w:p>
        </w:tc>
      </w:tr>
      <w:tr w:rsidR="00C3272B" w:rsidRPr="00E6375C" w:rsidTr="006B16FA">
        <w:trPr>
          <w:trHeight w:val="261"/>
          <w:jc w:val="center"/>
        </w:trPr>
        <w:tc>
          <w:tcPr>
            <w:tcW w:w="1754" w:type="dxa"/>
            <w:gridSpan w:val="2"/>
            <w:tcBorders>
              <w:top w:val="single" w:sz="4" w:space="0" w:color="auto"/>
              <w:left w:val="nil"/>
              <w:bottom w:val="single" w:sz="4" w:space="0" w:color="auto"/>
              <w:right w:val="single" w:sz="4" w:space="0" w:color="auto"/>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Observations</w:t>
            </w:r>
          </w:p>
        </w:tc>
        <w:tc>
          <w:tcPr>
            <w:tcW w:w="976" w:type="dxa"/>
            <w:tcBorders>
              <w:top w:val="single" w:sz="4" w:space="0" w:color="auto"/>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9203</w:t>
            </w:r>
          </w:p>
        </w:tc>
        <w:tc>
          <w:tcPr>
            <w:tcW w:w="977" w:type="dxa"/>
            <w:tcBorders>
              <w:top w:val="single" w:sz="4" w:space="0" w:color="auto"/>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9203</w:t>
            </w:r>
          </w:p>
        </w:tc>
        <w:tc>
          <w:tcPr>
            <w:tcW w:w="976" w:type="dxa"/>
            <w:tcBorders>
              <w:top w:val="single" w:sz="4" w:space="0" w:color="auto"/>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9468</w:t>
            </w:r>
          </w:p>
        </w:tc>
        <w:tc>
          <w:tcPr>
            <w:tcW w:w="979" w:type="dxa"/>
            <w:tcBorders>
              <w:top w:val="single" w:sz="4" w:space="0" w:color="auto"/>
              <w:left w:val="nil"/>
              <w:bottom w:val="single" w:sz="4" w:space="0" w:color="auto"/>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9468</w:t>
            </w:r>
          </w:p>
        </w:tc>
        <w:tc>
          <w:tcPr>
            <w:tcW w:w="976" w:type="dxa"/>
            <w:tcBorders>
              <w:top w:val="single" w:sz="4" w:space="0" w:color="auto"/>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4492</w:t>
            </w:r>
          </w:p>
        </w:tc>
        <w:tc>
          <w:tcPr>
            <w:tcW w:w="977" w:type="dxa"/>
            <w:tcBorders>
              <w:top w:val="single" w:sz="4" w:space="0" w:color="auto"/>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4492</w:t>
            </w:r>
          </w:p>
        </w:tc>
        <w:tc>
          <w:tcPr>
            <w:tcW w:w="976" w:type="dxa"/>
            <w:tcBorders>
              <w:top w:val="single" w:sz="4" w:space="0" w:color="auto"/>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4788</w:t>
            </w:r>
          </w:p>
        </w:tc>
        <w:tc>
          <w:tcPr>
            <w:tcW w:w="979" w:type="dxa"/>
            <w:tcBorders>
              <w:top w:val="single" w:sz="4" w:space="0" w:color="auto"/>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4788</w:t>
            </w:r>
          </w:p>
        </w:tc>
      </w:tr>
    </w:tbl>
    <w:p w:rsidR="00C3272B" w:rsidRPr="00E6375C" w:rsidRDefault="00C3272B" w:rsidP="00C3272B">
      <w:pPr>
        <w:widowControl w:val="0"/>
        <w:autoSpaceDE w:val="0"/>
        <w:autoSpaceDN w:val="0"/>
        <w:adjustRightInd w:val="0"/>
        <w:spacing w:after="0" w:line="240" w:lineRule="auto"/>
        <w:ind w:left="-426"/>
        <w:rPr>
          <w:sz w:val="20"/>
          <w:szCs w:val="20"/>
          <w:lang w:val="en-US"/>
        </w:rPr>
      </w:pPr>
      <w:r w:rsidRPr="00E6375C">
        <w:rPr>
          <w:sz w:val="20"/>
          <w:szCs w:val="20"/>
          <w:lang w:val="en-US"/>
        </w:rPr>
        <w:t xml:space="preserve">      Standard errors in parentheses: </w:t>
      </w:r>
      <w:r w:rsidRPr="00E6375C">
        <w:rPr>
          <w:sz w:val="20"/>
          <w:szCs w:val="20"/>
          <w:vertAlign w:val="superscript"/>
          <w:lang w:val="en-US"/>
        </w:rPr>
        <w:t>*</w:t>
      </w:r>
      <w:r w:rsidRPr="00E6375C">
        <w:rPr>
          <w:sz w:val="20"/>
          <w:szCs w:val="20"/>
          <w:lang w:val="en-US"/>
        </w:rPr>
        <w:t xml:space="preserve"> </w:t>
      </w:r>
      <w:r w:rsidRPr="00E6375C">
        <w:rPr>
          <w:i/>
          <w:iCs/>
          <w:sz w:val="20"/>
          <w:szCs w:val="20"/>
          <w:lang w:val="en-US"/>
        </w:rPr>
        <w:t>p</w:t>
      </w:r>
      <w:r w:rsidRPr="00E6375C">
        <w:rPr>
          <w:sz w:val="20"/>
          <w:szCs w:val="20"/>
          <w:lang w:val="en-US"/>
        </w:rPr>
        <w:t xml:space="preserve"> &lt; 0.1, </w:t>
      </w:r>
      <w:r w:rsidRPr="00E6375C">
        <w:rPr>
          <w:sz w:val="20"/>
          <w:szCs w:val="20"/>
          <w:vertAlign w:val="superscript"/>
          <w:lang w:val="en-US"/>
        </w:rPr>
        <w:t>**</w:t>
      </w:r>
      <w:r w:rsidRPr="00E6375C">
        <w:rPr>
          <w:sz w:val="20"/>
          <w:szCs w:val="20"/>
          <w:lang w:val="en-US"/>
        </w:rPr>
        <w:t xml:space="preserve"> </w:t>
      </w:r>
      <w:r w:rsidRPr="00E6375C">
        <w:rPr>
          <w:i/>
          <w:iCs/>
          <w:sz w:val="20"/>
          <w:szCs w:val="20"/>
          <w:lang w:val="en-US"/>
        </w:rPr>
        <w:t>p</w:t>
      </w:r>
      <w:r w:rsidRPr="00E6375C">
        <w:rPr>
          <w:sz w:val="20"/>
          <w:szCs w:val="20"/>
          <w:lang w:val="en-US"/>
        </w:rPr>
        <w:t xml:space="preserve"> &lt; 0.05, </w:t>
      </w:r>
      <w:r w:rsidRPr="00E6375C">
        <w:rPr>
          <w:sz w:val="20"/>
          <w:szCs w:val="20"/>
          <w:vertAlign w:val="superscript"/>
          <w:lang w:val="en-US"/>
        </w:rPr>
        <w:t>***</w:t>
      </w:r>
      <w:r w:rsidRPr="00E6375C">
        <w:rPr>
          <w:sz w:val="20"/>
          <w:szCs w:val="20"/>
          <w:lang w:val="en-US"/>
        </w:rPr>
        <w:t xml:space="preserve"> </w:t>
      </w:r>
      <w:r w:rsidRPr="00E6375C">
        <w:rPr>
          <w:i/>
          <w:iCs/>
          <w:sz w:val="20"/>
          <w:szCs w:val="20"/>
          <w:lang w:val="en-US"/>
        </w:rPr>
        <w:t>p</w:t>
      </w:r>
      <w:r w:rsidRPr="00E6375C">
        <w:rPr>
          <w:sz w:val="20"/>
          <w:szCs w:val="20"/>
          <w:lang w:val="en-US"/>
        </w:rPr>
        <w:t xml:space="preserve"> &lt; 0.01</w:t>
      </w:r>
    </w:p>
    <w:p w:rsidR="00C3272B" w:rsidRPr="00E6375C" w:rsidRDefault="00C3272B" w:rsidP="00C3272B">
      <w:pPr>
        <w:widowControl w:val="0"/>
        <w:autoSpaceDE w:val="0"/>
        <w:autoSpaceDN w:val="0"/>
        <w:adjustRightInd w:val="0"/>
        <w:spacing w:after="0" w:line="240" w:lineRule="auto"/>
        <w:ind w:left="-426"/>
        <w:rPr>
          <w:sz w:val="20"/>
          <w:szCs w:val="20"/>
          <w:lang w:val="en-US"/>
        </w:rPr>
      </w:pPr>
      <w:r w:rsidRPr="00E6375C">
        <w:rPr>
          <w:sz w:val="20"/>
          <w:szCs w:val="20"/>
          <w:lang w:val="en-US"/>
        </w:rPr>
        <w:br w:type="page"/>
      </w:r>
      <w:r w:rsidRPr="00E6375C">
        <w:rPr>
          <w:b/>
          <w:sz w:val="20"/>
          <w:szCs w:val="20"/>
          <w:lang w:val="en-US"/>
        </w:rPr>
        <w:lastRenderedPageBreak/>
        <w:t>Table A6: Intensive Margin – Country Groups – FDI Flows</w:t>
      </w:r>
    </w:p>
    <w:tbl>
      <w:tblPr>
        <w:tblW w:w="9748" w:type="dxa"/>
        <w:jc w:val="center"/>
        <w:tblLayout w:type="fixed"/>
        <w:tblLook w:val="0000" w:firstRow="0" w:lastRow="0" w:firstColumn="0" w:lastColumn="0" w:noHBand="0" w:noVBand="0"/>
      </w:tblPr>
      <w:tblGrid>
        <w:gridCol w:w="1033"/>
        <w:gridCol w:w="717"/>
        <w:gridCol w:w="978"/>
        <w:gridCol w:w="978"/>
        <w:gridCol w:w="978"/>
        <w:gridCol w:w="980"/>
        <w:gridCol w:w="909"/>
        <w:gridCol w:w="69"/>
        <w:gridCol w:w="923"/>
        <w:gridCol w:w="1033"/>
        <w:gridCol w:w="1150"/>
      </w:tblGrid>
      <w:tr w:rsidR="00C3272B" w:rsidRPr="00E6375C" w:rsidTr="006B16FA">
        <w:trPr>
          <w:trHeight w:val="261"/>
          <w:jc w:val="center"/>
        </w:trPr>
        <w:tc>
          <w:tcPr>
            <w:tcW w:w="1750" w:type="dxa"/>
            <w:gridSpan w:val="2"/>
            <w:tcBorders>
              <w:top w:val="single" w:sz="4" w:space="0" w:color="auto"/>
              <w:left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right"/>
              <w:rPr>
                <w:sz w:val="20"/>
                <w:szCs w:val="20"/>
                <w:lang w:val="en-US"/>
              </w:rPr>
            </w:pPr>
            <w:r w:rsidRPr="00E6375C">
              <w:rPr>
                <w:sz w:val="20"/>
                <w:szCs w:val="20"/>
                <w:lang w:val="en-US"/>
              </w:rPr>
              <w:t>Expected</w:t>
            </w:r>
          </w:p>
        </w:tc>
        <w:tc>
          <w:tcPr>
            <w:tcW w:w="1956" w:type="dxa"/>
            <w:gridSpan w:val="2"/>
            <w:tcBorders>
              <w:top w:val="single" w:sz="4" w:space="0" w:color="auto"/>
              <w:left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DCs to DCs</w:t>
            </w:r>
          </w:p>
        </w:tc>
        <w:tc>
          <w:tcPr>
            <w:tcW w:w="1958" w:type="dxa"/>
            <w:gridSpan w:val="2"/>
            <w:tcBorders>
              <w:top w:val="single" w:sz="4" w:space="0" w:color="auto"/>
              <w:left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DCs to LDCs</w:t>
            </w:r>
          </w:p>
        </w:tc>
        <w:tc>
          <w:tcPr>
            <w:tcW w:w="1901" w:type="dxa"/>
            <w:gridSpan w:val="3"/>
            <w:tcBorders>
              <w:top w:val="single" w:sz="4" w:space="0" w:color="auto"/>
              <w:left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LDCs to DCs</w:t>
            </w:r>
          </w:p>
        </w:tc>
        <w:tc>
          <w:tcPr>
            <w:tcW w:w="2183" w:type="dxa"/>
            <w:gridSpan w:val="2"/>
            <w:tcBorders>
              <w:top w:val="single" w:sz="4" w:space="0" w:color="auto"/>
              <w:left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LDCs to LDCs</w:t>
            </w:r>
          </w:p>
        </w:tc>
      </w:tr>
      <w:tr w:rsidR="00C3272B" w:rsidRPr="00E6375C" w:rsidTr="006B16FA">
        <w:trPr>
          <w:trHeight w:val="261"/>
          <w:jc w:val="center"/>
        </w:trPr>
        <w:tc>
          <w:tcPr>
            <w:tcW w:w="1750" w:type="dxa"/>
            <w:gridSpan w:val="2"/>
            <w:tcBorders>
              <w:left w:val="nil"/>
              <w:bottom w:val="single" w:sz="4" w:space="0" w:color="auto"/>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right"/>
              <w:rPr>
                <w:sz w:val="20"/>
                <w:szCs w:val="20"/>
                <w:lang w:val="en-US"/>
              </w:rPr>
            </w:pPr>
            <w:r w:rsidRPr="00E6375C">
              <w:rPr>
                <w:sz w:val="20"/>
                <w:szCs w:val="20"/>
                <w:lang w:val="en-US"/>
              </w:rPr>
              <w:t>Sign</w:t>
            </w:r>
          </w:p>
        </w:tc>
        <w:tc>
          <w:tcPr>
            <w:tcW w:w="978" w:type="dxa"/>
            <w:tcBorders>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FE</w:t>
            </w:r>
          </w:p>
        </w:tc>
        <w:tc>
          <w:tcPr>
            <w:tcW w:w="978" w:type="dxa"/>
            <w:tcBorders>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CMRE</w:t>
            </w:r>
          </w:p>
        </w:tc>
        <w:tc>
          <w:tcPr>
            <w:tcW w:w="978" w:type="dxa"/>
            <w:tcBorders>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FE</w:t>
            </w:r>
          </w:p>
        </w:tc>
        <w:tc>
          <w:tcPr>
            <w:tcW w:w="980" w:type="dxa"/>
            <w:tcBorders>
              <w:left w:val="nil"/>
              <w:bottom w:val="single" w:sz="4" w:space="0" w:color="auto"/>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CMRE</w:t>
            </w:r>
          </w:p>
        </w:tc>
        <w:tc>
          <w:tcPr>
            <w:tcW w:w="978" w:type="dxa"/>
            <w:gridSpan w:val="2"/>
            <w:tcBorders>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FE</w:t>
            </w:r>
          </w:p>
        </w:tc>
        <w:tc>
          <w:tcPr>
            <w:tcW w:w="923" w:type="dxa"/>
            <w:tcBorders>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CMRE</w:t>
            </w:r>
          </w:p>
        </w:tc>
        <w:tc>
          <w:tcPr>
            <w:tcW w:w="1033" w:type="dxa"/>
            <w:tcBorders>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FE</w:t>
            </w:r>
          </w:p>
        </w:tc>
        <w:tc>
          <w:tcPr>
            <w:tcW w:w="1150" w:type="dxa"/>
            <w:tcBorders>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CMRE</w:t>
            </w:r>
          </w:p>
        </w:tc>
      </w:tr>
      <w:tr w:rsidR="00C3272B" w:rsidRPr="00E6375C" w:rsidTr="006B16FA">
        <w:trPr>
          <w:trHeight w:val="282"/>
          <w:jc w:val="center"/>
        </w:trPr>
        <w:tc>
          <w:tcPr>
            <w:tcW w:w="1033" w:type="dxa"/>
            <w:tcBorders>
              <w:top w:val="single" w:sz="4" w:space="0" w:color="auto"/>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lgdp_s</w:t>
            </w:r>
            <w:proofErr w:type="spellEnd"/>
          </w:p>
        </w:tc>
        <w:tc>
          <w:tcPr>
            <w:tcW w:w="717" w:type="dxa"/>
            <w:tcBorders>
              <w:top w:val="single" w:sz="4" w:space="0" w:color="auto"/>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single" w:sz="4" w:space="0" w:color="auto"/>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0.919</w:t>
            </w:r>
            <w:r w:rsidRPr="00E6375C">
              <w:rPr>
                <w:sz w:val="20"/>
                <w:szCs w:val="20"/>
                <w:vertAlign w:val="superscript"/>
                <w:lang w:val="en-US"/>
              </w:rPr>
              <w:t>***</w:t>
            </w:r>
          </w:p>
        </w:tc>
        <w:tc>
          <w:tcPr>
            <w:tcW w:w="978" w:type="dxa"/>
            <w:tcBorders>
              <w:top w:val="single" w:sz="4" w:space="0" w:color="auto"/>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0.881</w:t>
            </w:r>
            <w:r w:rsidRPr="00E6375C">
              <w:rPr>
                <w:sz w:val="20"/>
                <w:szCs w:val="20"/>
                <w:vertAlign w:val="superscript"/>
                <w:lang w:val="en-US"/>
              </w:rPr>
              <w:t>***</w:t>
            </w:r>
          </w:p>
        </w:tc>
        <w:tc>
          <w:tcPr>
            <w:tcW w:w="978" w:type="dxa"/>
            <w:tcBorders>
              <w:top w:val="single" w:sz="4" w:space="0" w:color="auto"/>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0.977</w:t>
            </w:r>
            <w:r w:rsidRPr="00E6375C">
              <w:rPr>
                <w:sz w:val="20"/>
                <w:szCs w:val="20"/>
                <w:vertAlign w:val="superscript"/>
                <w:lang w:val="en-US"/>
              </w:rPr>
              <w:t>***</w:t>
            </w:r>
          </w:p>
        </w:tc>
        <w:tc>
          <w:tcPr>
            <w:tcW w:w="980" w:type="dxa"/>
            <w:tcBorders>
              <w:top w:val="single" w:sz="4" w:space="0" w:color="auto"/>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0.942</w:t>
            </w:r>
            <w:r w:rsidRPr="00E6375C">
              <w:rPr>
                <w:sz w:val="20"/>
                <w:szCs w:val="20"/>
                <w:vertAlign w:val="superscript"/>
                <w:lang w:val="en-US"/>
              </w:rPr>
              <w:t>***</w:t>
            </w:r>
          </w:p>
        </w:tc>
        <w:tc>
          <w:tcPr>
            <w:tcW w:w="978" w:type="dxa"/>
            <w:gridSpan w:val="2"/>
            <w:tcBorders>
              <w:top w:val="single" w:sz="4" w:space="0" w:color="auto"/>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0.155</w:t>
            </w:r>
          </w:p>
        </w:tc>
        <w:tc>
          <w:tcPr>
            <w:tcW w:w="923" w:type="dxa"/>
            <w:tcBorders>
              <w:top w:val="single" w:sz="4" w:space="0" w:color="auto"/>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0.227</w:t>
            </w:r>
          </w:p>
        </w:tc>
        <w:tc>
          <w:tcPr>
            <w:tcW w:w="1033" w:type="dxa"/>
            <w:tcBorders>
              <w:top w:val="single" w:sz="4" w:space="0" w:color="auto"/>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0.109</w:t>
            </w:r>
          </w:p>
        </w:tc>
        <w:tc>
          <w:tcPr>
            <w:tcW w:w="1150" w:type="dxa"/>
            <w:tcBorders>
              <w:top w:val="single" w:sz="4" w:space="0" w:color="auto"/>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-0.046</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(0.231)</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(0.226)</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(0.207)</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(0.205)</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(0.298)</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(0.283)</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(0.269)</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(0.263)</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lgdp_h</w:t>
            </w:r>
            <w:proofErr w:type="spellEnd"/>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0.636</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0.669</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0.780</w:t>
            </w:r>
            <w:r w:rsidRPr="00E6375C">
              <w:rPr>
                <w:sz w:val="20"/>
                <w:szCs w:val="20"/>
                <w:vertAlign w:val="superscript"/>
                <w:lang w:val="en-US"/>
              </w:rPr>
              <w:t>***</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0.784</w:t>
            </w:r>
            <w:r w:rsidRPr="00E6375C">
              <w:rPr>
                <w:sz w:val="20"/>
                <w:szCs w:val="20"/>
                <w:vertAlign w:val="superscript"/>
                <w:lang w:val="en-US"/>
              </w:rPr>
              <w:t>***</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0.372</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0.132</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0.610</w:t>
            </w:r>
            <w:r w:rsidRPr="00E6375C">
              <w:rPr>
                <w:sz w:val="20"/>
                <w:szCs w:val="20"/>
                <w:vertAlign w:val="superscript"/>
                <w:lang w:val="en-US"/>
              </w:rPr>
              <w:t>***</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0.655</w:t>
            </w:r>
            <w:r w:rsidRPr="00E6375C">
              <w:rPr>
                <w:sz w:val="20"/>
                <w:szCs w:val="20"/>
                <w:vertAlign w:val="superscript"/>
                <w:lang w:val="en-US"/>
              </w:rPr>
              <w:t>***</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(0.249)</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(0.244)</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(0.132)</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(0.131)</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(0.378)</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(0.365)</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(0.217)</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(0.212)</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tech_s</w:t>
            </w:r>
            <w:proofErr w:type="spellEnd"/>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-0.250</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-0.040</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0.515</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0.387</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4.165</w:t>
            </w:r>
            <w:r w:rsidRPr="00E6375C">
              <w:rPr>
                <w:sz w:val="20"/>
                <w:szCs w:val="20"/>
                <w:vertAlign w:val="superscript"/>
                <w:lang w:val="en-US"/>
              </w:rPr>
              <w:t>***</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3.902</w:t>
            </w:r>
            <w:r w:rsidRPr="00E6375C">
              <w:rPr>
                <w:sz w:val="20"/>
                <w:szCs w:val="20"/>
                <w:vertAlign w:val="superscript"/>
                <w:lang w:val="en-US"/>
              </w:rPr>
              <w:t>***</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3.125</w:t>
            </w:r>
            <w:r w:rsidRPr="00E6375C">
              <w:rPr>
                <w:sz w:val="20"/>
                <w:szCs w:val="20"/>
                <w:vertAlign w:val="superscript"/>
                <w:lang w:val="en-US"/>
              </w:rPr>
              <w:t>***</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3.562</w:t>
            </w:r>
            <w:r w:rsidRPr="00E6375C">
              <w:rPr>
                <w:sz w:val="20"/>
                <w:szCs w:val="20"/>
                <w:vertAlign w:val="superscript"/>
                <w:lang w:val="en-US"/>
              </w:rPr>
              <w:t>***</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(1.575)</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(1.560)</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(1.640)</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(1.620)</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(1.185)</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(1.164)</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(1.013)</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(0.992)</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delta_h</w:t>
            </w:r>
            <w:proofErr w:type="spellEnd"/>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27.013</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24.689</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23.193</w:t>
            </w:r>
            <w:r w:rsidRPr="00E6375C">
              <w:rPr>
                <w:sz w:val="20"/>
                <w:szCs w:val="20"/>
                <w:vertAlign w:val="superscript"/>
                <w:lang w:val="en-US"/>
              </w:rPr>
              <w:t>**</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23.042</w:t>
            </w:r>
            <w:r w:rsidRPr="00E6375C">
              <w:rPr>
                <w:sz w:val="20"/>
                <w:szCs w:val="20"/>
                <w:vertAlign w:val="superscript"/>
                <w:lang w:val="en-US"/>
              </w:rPr>
              <w:t>**</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57.469</w:t>
            </w:r>
            <w:r w:rsidRPr="00E6375C">
              <w:rPr>
                <w:sz w:val="20"/>
                <w:szCs w:val="20"/>
                <w:vertAlign w:val="superscript"/>
                <w:lang w:val="en-US"/>
              </w:rPr>
              <w:t>**</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53.838</w:t>
            </w:r>
            <w:r w:rsidRPr="00E6375C">
              <w:rPr>
                <w:sz w:val="20"/>
                <w:szCs w:val="20"/>
                <w:vertAlign w:val="superscript"/>
                <w:lang w:val="en-US"/>
              </w:rPr>
              <w:t>**</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-7.352</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-3.838</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(14.504)</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(14.016)</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(9.222)</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(9.024)</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(24.440)</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(23.760)</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(13.086)</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(12.495)</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remote_s</w:t>
            </w:r>
            <w:proofErr w:type="spellEnd"/>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0.029</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-0.047</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0.900</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1.236</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-3.042</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-2.494</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1.878</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0.058</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(2.122)</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(2.088)</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(1.849)</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(1.823)</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(3.818)</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(3.623)</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(3.683)</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(3.454)</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remote_h</w:t>
            </w:r>
            <w:proofErr w:type="spellEnd"/>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-2.632</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-2.772</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-6.921</w:t>
            </w:r>
            <w:r w:rsidRPr="00E6375C">
              <w:rPr>
                <w:sz w:val="20"/>
                <w:szCs w:val="20"/>
                <w:vertAlign w:val="superscript"/>
                <w:lang w:val="en-US"/>
              </w:rPr>
              <w:t>***</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-6.719</w:t>
            </w:r>
            <w:r w:rsidRPr="00E6375C">
              <w:rPr>
                <w:sz w:val="20"/>
                <w:szCs w:val="20"/>
                <w:vertAlign w:val="superscript"/>
                <w:lang w:val="en-US"/>
              </w:rPr>
              <w:t>***</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-0.863</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-0.765</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-15.458</w:t>
            </w:r>
            <w:r w:rsidRPr="00E6375C">
              <w:rPr>
                <w:sz w:val="20"/>
                <w:szCs w:val="20"/>
                <w:vertAlign w:val="superscript"/>
                <w:lang w:val="en-US"/>
              </w:rPr>
              <w:t>***</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-12.997</w:t>
            </w:r>
            <w:r w:rsidRPr="00E6375C">
              <w:rPr>
                <w:sz w:val="20"/>
                <w:szCs w:val="20"/>
                <w:vertAlign w:val="superscript"/>
                <w:lang w:val="en-US"/>
              </w:rPr>
              <w:t>***</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(1.933)</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(1.915)</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(2.152)</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(2.113)</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(3.779)</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(3.579)</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(3.874)</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(3.687)</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startup_h</w:t>
            </w:r>
            <w:proofErr w:type="spellEnd"/>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-0.144</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-0.137</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-0.056</w:t>
            </w:r>
            <w:r w:rsidRPr="00E6375C">
              <w:rPr>
                <w:sz w:val="20"/>
                <w:szCs w:val="20"/>
                <w:vertAlign w:val="superscript"/>
                <w:lang w:val="en-US"/>
              </w:rPr>
              <w:t>*</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-0.047</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0.020</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0.016</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0.010</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0.022</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(0.039)</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(0.039)</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(0.032)</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(0.032)</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(0.067)</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(0.065)</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(0.052)</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(0.050)</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phi_h</w:t>
            </w:r>
            <w:proofErr w:type="spellEnd"/>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4.839</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3.165</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1.422</w:t>
            </w:r>
            <w:r w:rsidRPr="00E6375C">
              <w:rPr>
                <w:sz w:val="20"/>
                <w:szCs w:val="20"/>
                <w:vertAlign w:val="superscript"/>
                <w:lang w:val="en-US"/>
              </w:rPr>
              <w:t>*</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1.382</w:t>
            </w:r>
            <w:r w:rsidRPr="00E6375C">
              <w:rPr>
                <w:sz w:val="20"/>
                <w:szCs w:val="20"/>
                <w:vertAlign w:val="superscript"/>
                <w:lang w:val="en-US"/>
              </w:rPr>
              <w:t>*</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1.781</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3.479</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2.365</w:t>
            </w:r>
            <w:r w:rsidRPr="00E6375C">
              <w:rPr>
                <w:sz w:val="20"/>
                <w:szCs w:val="20"/>
                <w:vertAlign w:val="superscript"/>
                <w:lang w:val="en-US"/>
              </w:rPr>
              <w:t>**</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2.257</w:t>
            </w:r>
            <w:r w:rsidRPr="00E6375C">
              <w:rPr>
                <w:sz w:val="20"/>
                <w:szCs w:val="20"/>
                <w:vertAlign w:val="superscript"/>
                <w:lang w:val="en-US"/>
              </w:rPr>
              <w:t>*</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(1.771)</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(1.589)</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(0.767)</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(0.762)</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(3.140)</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(2.509)</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(1.117)</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(1.183)</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BIT</w:t>
            </w: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-0.342</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-0.361</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0.051</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0.030</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0.492</w:t>
            </w:r>
            <w:r w:rsidRPr="00E6375C">
              <w:rPr>
                <w:sz w:val="20"/>
                <w:szCs w:val="20"/>
                <w:vertAlign w:val="superscript"/>
                <w:lang w:val="en-US"/>
              </w:rPr>
              <w:t>*</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0.417</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0.118</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0.147</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(0.245)</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(0.244)</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(0.133)</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(0.132)</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(0.277)</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(0.262)</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(0.123)</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(0.123)</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PTA</w:t>
            </w: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0.357</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0.355</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0.024</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0.034</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0.125</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0.026</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-0.066</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-0.086</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(0.149)</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(0.151)</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(0.100)</w:t>
            </w: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(0.099)</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(0.192)</w:t>
            </w: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(0.183)</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(0.156)</w:t>
            </w: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(0.153)</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currency</w:t>
            </w: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0.306</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0.305</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0.498</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1.601</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-0.121</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(0.156)</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(0.149)</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(0.373)</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(1.033)</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(1.251)</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ldist</w:t>
            </w:r>
            <w:proofErr w:type="spellEnd"/>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-0.590</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-0.734</w:t>
            </w:r>
            <w:r w:rsidRPr="00E6375C">
              <w:rPr>
                <w:sz w:val="20"/>
                <w:szCs w:val="20"/>
                <w:vertAlign w:val="superscript"/>
                <w:lang w:val="en-US"/>
              </w:rPr>
              <w:t>***</w:t>
            </w:r>
          </w:p>
        </w:tc>
        <w:tc>
          <w:tcPr>
            <w:tcW w:w="909"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92" w:type="dxa"/>
            <w:gridSpan w:val="2"/>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-0.682</w:t>
            </w:r>
            <w:r w:rsidRPr="00E6375C">
              <w:rPr>
                <w:sz w:val="20"/>
                <w:szCs w:val="20"/>
                <w:vertAlign w:val="superscript"/>
                <w:lang w:val="en-US"/>
              </w:rPr>
              <w:t>***</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-0.510</w:t>
            </w:r>
            <w:r w:rsidRPr="00E6375C">
              <w:rPr>
                <w:sz w:val="20"/>
                <w:szCs w:val="20"/>
                <w:vertAlign w:val="superscript"/>
                <w:lang w:val="en-US"/>
              </w:rPr>
              <w:t>***</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(0.098)</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(0.085)</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(0.100)</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(0.097)</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border</w:t>
            </w: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0.246</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0.358</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0.472</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0.430</w:t>
            </w:r>
            <w:r w:rsidRPr="00E6375C">
              <w:rPr>
                <w:sz w:val="20"/>
                <w:szCs w:val="20"/>
                <w:vertAlign w:val="superscript"/>
                <w:lang w:val="en-US"/>
              </w:rPr>
              <w:t>**</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(0.220)</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(0.485)</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(0.481)</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(0.205)</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language</w:t>
            </w: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0.850</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0.231</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0.881</w:t>
            </w:r>
            <w:r w:rsidRPr="00E6375C">
              <w:rPr>
                <w:sz w:val="20"/>
                <w:szCs w:val="20"/>
                <w:vertAlign w:val="superscript"/>
                <w:lang w:val="en-US"/>
              </w:rPr>
              <w:t>***</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0.377</w:t>
            </w:r>
            <w:r w:rsidRPr="00E6375C">
              <w:rPr>
                <w:sz w:val="20"/>
                <w:szCs w:val="20"/>
                <w:vertAlign w:val="superscript"/>
                <w:lang w:val="en-US"/>
              </w:rPr>
              <w:t>**</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(0.173)</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(0.171)</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(0.221)</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(0.178)</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roofErr w:type="spellStart"/>
            <w:r w:rsidRPr="00E6375C">
              <w:rPr>
                <w:sz w:val="20"/>
                <w:szCs w:val="20"/>
                <w:lang w:val="en-US"/>
              </w:rPr>
              <w:t>colon</w:t>
            </w:r>
            <w:r w:rsidR="004E2846" w:rsidRPr="00E6375C">
              <w:rPr>
                <w:sz w:val="20"/>
                <w:szCs w:val="20"/>
                <w:lang w:val="en-US"/>
              </w:rPr>
              <w:t>ise</w:t>
            </w:r>
            <w:r w:rsidRPr="00E6375C">
              <w:rPr>
                <w:sz w:val="20"/>
                <w:szCs w:val="20"/>
                <w:lang w:val="en-US"/>
              </w:rPr>
              <w:t>r</w:t>
            </w:r>
            <w:proofErr w:type="spellEnd"/>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0.306</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0.321</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1.139</w:t>
            </w:r>
            <w:r w:rsidRPr="00E6375C">
              <w:rPr>
                <w:sz w:val="20"/>
                <w:szCs w:val="20"/>
                <w:vertAlign w:val="superscript"/>
                <w:lang w:val="en-US"/>
              </w:rPr>
              <w:t>***</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0.404</w:t>
            </w:r>
            <w:r w:rsidRPr="00E6375C">
              <w:rPr>
                <w:sz w:val="20"/>
                <w:szCs w:val="20"/>
                <w:vertAlign w:val="superscript"/>
                <w:lang w:val="en-US"/>
              </w:rPr>
              <w:t>*</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(0.524)</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(0.444)</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(0.317)</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(0.216)</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colony</w:t>
            </w: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0.822</w:t>
            </w:r>
            <w:r w:rsidRPr="00E6375C">
              <w:rPr>
                <w:sz w:val="20"/>
                <w:szCs w:val="20"/>
                <w:vertAlign w:val="superscript"/>
                <w:lang w:val="en-US"/>
              </w:rPr>
              <w:t>***</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1.228</w:t>
            </w:r>
            <w:r w:rsidRPr="00E6375C">
              <w:rPr>
                <w:sz w:val="20"/>
                <w:szCs w:val="20"/>
                <w:vertAlign w:val="superscript"/>
                <w:lang w:val="en-US"/>
              </w:rPr>
              <w:t>***</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0.951</w:t>
            </w:r>
            <w:r w:rsidRPr="00E6375C">
              <w:rPr>
                <w:sz w:val="20"/>
                <w:szCs w:val="20"/>
                <w:vertAlign w:val="superscript"/>
                <w:lang w:val="en-US"/>
              </w:rPr>
              <w:t>***</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1.089</w:t>
            </w:r>
            <w:r w:rsidRPr="00E6375C">
              <w:rPr>
                <w:sz w:val="20"/>
                <w:szCs w:val="20"/>
                <w:vertAlign w:val="superscript"/>
                <w:lang w:val="en-US"/>
              </w:rPr>
              <w:t>***</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(0.249)</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(0.248)</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(0.330)</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(0.297)</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legal</w:t>
            </w: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-0.061</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-0.356</w:t>
            </w:r>
            <w:r w:rsidRPr="00E6375C">
              <w:rPr>
                <w:sz w:val="20"/>
                <w:szCs w:val="20"/>
                <w:vertAlign w:val="superscript"/>
                <w:lang w:val="en-US"/>
              </w:rPr>
              <w:t>***</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-0.039</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0.067</w:t>
            </w:r>
          </w:p>
        </w:tc>
      </w:tr>
      <w:tr w:rsidR="00C3272B" w:rsidRPr="00E6375C" w:rsidTr="006B16FA">
        <w:trPr>
          <w:trHeight w:val="282"/>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(0.127)</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(0.103)</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(0.132)</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(0.160)</w:t>
            </w:r>
          </w:p>
        </w:tc>
      </w:tr>
      <w:tr w:rsidR="00C3272B" w:rsidRPr="00E6375C" w:rsidTr="006B16FA">
        <w:trPr>
          <w:trHeight w:val="261"/>
          <w:jc w:val="center"/>
        </w:trPr>
        <w:tc>
          <w:tcPr>
            <w:tcW w:w="1033" w:type="dxa"/>
            <w:tcBorders>
              <w:top w:val="nil"/>
              <w:left w:val="nil"/>
              <w:bottom w:val="nil"/>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religion</w:t>
            </w:r>
          </w:p>
        </w:tc>
        <w:tc>
          <w:tcPr>
            <w:tcW w:w="717" w:type="dxa"/>
            <w:tcBorders>
              <w:top w:val="nil"/>
              <w:left w:val="nil"/>
              <w:bottom w:val="nil"/>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w:t>
            </w:r>
          </w:p>
        </w:tc>
        <w:tc>
          <w:tcPr>
            <w:tcW w:w="978" w:type="dxa"/>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0.048</w:t>
            </w:r>
          </w:p>
        </w:tc>
        <w:tc>
          <w:tcPr>
            <w:tcW w:w="978"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nil"/>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0.104</w:t>
            </w:r>
            <w:r w:rsidRPr="00E6375C">
              <w:rPr>
                <w:sz w:val="20"/>
                <w:szCs w:val="20"/>
                <w:vertAlign w:val="superscript"/>
                <w:lang w:val="en-US"/>
              </w:rPr>
              <w:t>***</w:t>
            </w:r>
          </w:p>
        </w:tc>
        <w:tc>
          <w:tcPr>
            <w:tcW w:w="978" w:type="dxa"/>
            <w:gridSpan w:val="2"/>
            <w:tcBorders>
              <w:top w:val="nil"/>
              <w:left w:val="single" w:sz="4" w:space="0" w:color="auto"/>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0.063</w:t>
            </w:r>
            <w:r w:rsidRPr="00E6375C">
              <w:rPr>
                <w:sz w:val="20"/>
                <w:szCs w:val="20"/>
                <w:vertAlign w:val="superscript"/>
                <w:lang w:val="en-US"/>
              </w:rPr>
              <w:t>**</w:t>
            </w:r>
          </w:p>
        </w:tc>
        <w:tc>
          <w:tcPr>
            <w:tcW w:w="1033"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nil"/>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0.022</w:t>
            </w:r>
          </w:p>
        </w:tc>
      </w:tr>
      <w:tr w:rsidR="00C3272B" w:rsidRPr="00E6375C" w:rsidTr="006B16FA">
        <w:trPr>
          <w:trHeight w:val="261"/>
          <w:jc w:val="center"/>
        </w:trPr>
        <w:tc>
          <w:tcPr>
            <w:tcW w:w="1033" w:type="dxa"/>
            <w:tcBorders>
              <w:top w:val="nil"/>
              <w:left w:val="nil"/>
              <w:bottom w:val="single" w:sz="4" w:space="0" w:color="auto"/>
              <w:right w:val="nil"/>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p>
        </w:tc>
        <w:tc>
          <w:tcPr>
            <w:tcW w:w="717" w:type="dxa"/>
            <w:tcBorders>
              <w:top w:val="nil"/>
              <w:left w:val="nil"/>
              <w:bottom w:val="single" w:sz="4" w:space="0" w:color="auto"/>
              <w:right w:val="single" w:sz="4" w:space="0" w:color="auto"/>
            </w:tcBorders>
            <w:vAlign w:val="bottom"/>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78" w:type="dxa"/>
            <w:tcBorders>
              <w:top w:val="nil"/>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(0.037)</w:t>
            </w:r>
          </w:p>
        </w:tc>
        <w:tc>
          <w:tcPr>
            <w:tcW w:w="978" w:type="dxa"/>
            <w:tcBorders>
              <w:top w:val="nil"/>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80" w:type="dxa"/>
            <w:tcBorders>
              <w:top w:val="nil"/>
              <w:left w:val="nil"/>
              <w:bottom w:val="single" w:sz="4" w:space="0" w:color="auto"/>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(0.025)</w:t>
            </w:r>
          </w:p>
        </w:tc>
        <w:tc>
          <w:tcPr>
            <w:tcW w:w="978" w:type="dxa"/>
            <w:gridSpan w:val="2"/>
            <w:tcBorders>
              <w:top w:val="nil"/>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923" w:type="dxa"/>
            <w:tcBorders>
              <w:top w:val="nil"/>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(0.028)</w:t>
            </w:r>
          </w:p>
        </w:tc>
        <w:tc>
          <w:tcPr>
            <w:tcW w:w="1033" w:type="dxa"/>
            <w:tcBorders>
              <w:top w:val="nil"/>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p>
        </w:tc>
        <w:tc>
          <w:tcPr>
            <w:tcW w:w="1150" w:type="dxa"/>
            <w:tcBorders>
              <w:top w:val="nil"/>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(0.023)</w:t>
            </w:r>
          </w:p>
        </w:tc>
      </w:tr>
      <w:tr w:rsidR="00C3272B" w:rsidRPr="00E6375C" w:rsidTr="006B16FA">
        <w:trPr>
          <w:trHeight w:val="261"/>
          <w:jc w:val="center"/>
        </w:trPr>
        <w:tc>
          <w:tcPr>
            <w:tcW w:w="1750" w:type="dxa"/>
            <w:gridSpan w:val="2"/>
            <w:tcBorders>
              <w:top w:val="single" w:sz="4" w:space="0" w:color="auto"/>
              <w:left w:val="nil"/>
              <w:bottom w:val="single" w:sz="4" w:space="0" w:color="auto"/>
              <w:right w:val="single" w:sz="4" w:space="0" w:color="auto"/>
            </w:tcBorders>
            <w:vAlign w:val="bottom"/>
          </w:tcPr>
          <w:p w:rsidR="00C3272B" w:rsidRPr="00E6375C" w:rsidRDefault="00C3272B" w:rsidP="006B16FA">
            <w:pPr>
              <w:widowControl w:val="0"/>
              <w:autoSpaceDE w:val="0"/>
              <w:autoSpaceDN w:val="0"/>
              <w:adjustRightInd w:val="0"/>
              <w:spacing w:after="0" w:line="240" w:lineRule="auto"/>
              <w:rPr>
                <w:sz w:val="20"/>
                <w:szCs w:val="20"/>
                <w:lang w:val="en-US"/>
              </w:rPr>
            </w:pPr>
            <w:r w:rsidRPr="00E6375C">
              <w:rPr>
                <w:sz w:val="20"/>
                <w:szCs w:val="20"/>
                <w:lang w:val="en-US"/>
              </w:rPr>
              <w:t>Observations</w:t>
            </w:r>
          </w:p>
        </w:tc>
        <w:tc>
          <w:tcPr>
            <w:tcW w:w="978" w:type="dxa"/>
            <w:tcBorders>
              <w:top w:val="single" w:sz="4" w:space="0" w:color="auto"/>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6971</w:t>
            </w:r>
          </w:p>
        </w:tc>
        <w:tc>
          <w:tcPr>
            <w:tcW w:w="978" w:type="dxa"/>
            <w:tcBorders>
              <w:top w:val="single" w:sz="4" w:space="0" w:color="auto"/>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6971</w:t>
            </w:r>
          </w:p>
        </w:tc>
        <w:tc>
          <w:tcPr>
            <w:tcW w:w="978" w:type="dxa"/>
            <w:tcBorders>
              <w:top w:val="single" w:sz="4" w:space="0" w:color="auto"/>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7540</w:t>
            </w:r>
          </w:p>
        </w:tc>
        <w:tc>
          <w:tcPr>
            <w:tcW w:w="980" w:type="dxa"/>
            <w:tcBorders>
              <w:top w:val="single" w:sz="4" w:space="0" w:color="auto"/>
              <w:left w:val="nil"/>
              <w:bottom w:val="single" w:sz="4" w:space="0" w:color="auto"/>
              <w:right w:val="single" w:sz="4" w:space="0" w:color="auto"/>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7540</w:t>
            </w:r>
          </w:p>
        </w:tc>
        <w:tc>
          <w:tcPr>
            <w:tcW w:w="978" w:type="dxa"/>
            <w:gridSpan w:val="2"/>
            <w:tcBorders>
              <w:top w:val="single" w:sz="4" w:space="0" w:color="auto"/>
              <w:left w:val="single" w:sz="4" w:space="0" w:color="auto"/>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3195</w:t>
            </w:r>
          </w:p>
        </w:tc>
        <w:tc>
          <w:tcPr>
            <w:tcW w:w="923" w:type="dxa"/>
            <w:tcBorders>
              <w:top w:val="single" w:sz="4" w:space="0" w:color="auto"/>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3195</w:t>
            </w:r>
          </w:p>
        </w:tc>
        <w:tc>
          <w:tcPr>
            <w:tcW w:w="1033" w:type="dxa"/>
            <w:tcBorders>
              <w:top w:val="single" w:sz="4" w:space="0" w:color="auto"/>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3487</w:t>
            </w:r>
          </w:p>
        </w:tc>
        <w:tc>
          <w:tcPr>
            <w:tcW w:w="1150" w:type="dxa"/>
            <w:tcBorders>
              <w:top w:val="single" w:sz="4" w:space="0" w:color="auto"/>
              <w:left w:val="nil"/>
              <w:bottom w:val="single" w:sz="4" w:space="0" w:color="auto"/>
              <w:right w:val="nil"/>
            </w:tcBorders>
          </w:tcPr>
          <w:p w:rsidR="00C3272B" w:rsidRPr="00E6375C" w:rsidRDefault="00C3272B" w:rsidP="006B16FA">
            <w:pPr>
              <w:widowControl w:val="0"/>
              <w:autoSpaceDE w:val="0"/>
              <w:autoSpaceDN w:val="0"/>
              <w:adjustRightInd w:val="0"/>
              <w:spacing w:after="0" w:line="240" w:lineRule="auto"/>
              <w:jc w:val="center"/>
              <w:rPr>
                <w:sz w:val="20"/>
                <w:szCs w:val="20"/>
                <w:lang w:val="en-US"/>
              </w:rPr>
            </w:pPr>
            <w:r w:rsidRPr="00E6375C">
              <w:rPr>
                <w:sz w:val="20"/>
                <w:szCs w:val="20"/>
                <w:lang w:val="en-US"/>
              </w:rPr>
              <w:t>3487</w:t>
            </w:r>
          </w:p>
        </w:tc>
      </w:tr>
    </w:tbl>
    <w:p w:rsidR="00C3272B" w:rsidRPr="00E6375C" w:rsidRDefault="00C3272B" w:rsidP="00C3272B">
      <w:pPr>
        <w:widowControl w:val="0"/>
        <w:autoSpaceDE w:val="0"/>
        <w:autoSpaceDN w:val="0"/>
        <w:adjustRightInd w:val="0"/>
        <w:spacing w:after="0" w:line="240" w:lineRule="auto"/>
        <w:ind w:left="-426"/>
        <w:rPr>
          <w:sz w:val="20"/>
          <w:szCs w:val="20"/>
          <w:lang w:val="en-US"/>
        </w:rPr>
      </w:pPr>
      <w:r w:rsidRPr="00E6375C">
        <w:rPr>
          <w:sz w:val="20"/>
          <w:szCs w:val="20"/>
          <w:lang w:val="en-US"/>
        </w:rPr>
        <w:t xml:space="preserve">      Standard errors in parentheses: </w:t>
      </w:r>
      <w:r w:rsidRPr="00E6375C">
        <w:rPr>
          <w:sz w:val="20"/>
          <w:szCs w:val="20"/>
          <w:vertAlign w:val="superscript"/>
          <w:lang w:val="en-US"/>
        </w:rPr>
        <w:t>*</w:t>
      </w:r>
      <w:r w:rsidRPr="00E6375C">
        <w:rPr>
          <w:sz w:val="20"/>
          <w:szCs w:val="20"/>
          <w:lang w:val="en-US"/>
        </w:rPr>
        <w:t xml:space="preserve"> </w:t>
      </w:r>
      <w:r w:rsidRPr="00E6375C">
        <w:rPr>
          <w:i/>
          <w:iCs/>
          <w:sz w:val="20"/>
          <w:szCs w:val="20"/>
          <w:lang w:val="en-US"/>
        </w:rPr>
        <w:t>p</w:t>
      </w:r>
      <w:r w:rsidRPr="00E6375C">
        <w:rPr>
          <w:sz w:val="20"/>
          <w:szCs w:val="20"/>
          <w:lang w:val="en-US"/>
        </w:rPr>
        <w:t xml:space="preserve"> &lt; 0.1, </w:t>
      </w:r>
      <w:r w:rsidRPr="00E6375C">
        <w:rPr>
          <w:sz w:val="20"/>
          <w:szCs w:val="20"/>
          <w:vertAlign w:val="superscript"/>
          <w:lang w:val="en-US"/>
        </w:rPr>
        <w:t>**</w:t>
      </w:r>
      <w:r w:rsidRPr="00E6375C">
        <w:rPr>
          <w:sz w:val="20"/>
          <w:szCs w:val="20"/>
          <w:lang w:val="en-US"/>
        </w:rPr>
        <w:t xml:space="preserve"> </w:t>
      </w:r>
      <w:r w:rsidRPr="00E6375C">
        <w:rPr>
          <w:i/>
          <w:iCs/>
          <w:sz w:val="20"/>
          <w:szCs w:val="20"/>
          <w:lang w:val="en-US"/>
        </w:rPr>
        <w:t>p</w:t>
      </w:r>
      <w:r w:rsidRPr="00E6375C">
        <w:rPr>
          <w:sz w:val="20"/>
          <w:szCs w:val="20"/>
          <w:lang w:val="en-US"/>
        </w:rPr>
        <w:t xml:space="preserve"> &lt; 0.05, </w:t>
      </w:r>
      <w:r w:rsidRPr="00E6375C">
        <w:rPr>
          <w:sz w:val="20"/>
          <w:szCs w:val="20"/>
          <w:vertAlign w:val="superscript"/>
          <w:lang w:val="en-US"/>
        </w:rPr>
        <w:t>***</w:t>
      </w:r>
      <w:r w:rsidRPr="00E6375C">
        <w:rPr>
          <w:sz w:val="20"/>
          <w:szCs w:val="20"/>
          <w:lang w:val="en-US"/>
        </w:rPr>
        <w:t xml:space="preserve"> </w:t>
      </w:r>
      <w:r w:rsidRPr="00E6375C">
        <w:rPr>
          <w:i/>
          <w:iCs/>
          <w:sz w:val="20"/>
          <w:szCs w:val="20"/>
          <w:lang w:val="en-US"/>
        </w:rPr>
        <w:t>p</w:t>
      </w:r>
      <w:r w:rsidRPr="00E6375C">
        <w:rPr>
          <w:sz w:val="20"/>
          <w:szCs w:val="20"/>
          <w:lang w:val="en-US"/>
        </w:rPr>
        <w:t xml:space="preserve"> &lt; 0.01</w:t>
      </w:r>
    </w:p>
    <w:p w:rsidR="00662695" w:rsidRPr="00E6375C" w:rsidRDefault="00662695">
      <w:pPr>
        <w:rPr>
          <w:sz w:val="20"/>
          <w:szCs w:val="20"/>
          <w:lang w:val="en-US"/>
        </w:rPr>
      </w:pPr>
    </w:p>
    <w:p w:rsidR="00662695" w:rsidRPr="00E6375C" w:rsidRDefault="00662695">
      <w:pPr>
        <w:rPr>
          <w:szCs w:val="24"/>
          <w:lang w:val="en-US"/>
        </w:rPr>
      </w:pPr>
      <w:r w:rsidRPr="00E6375C">
        <w:rPr>
          <w:szCs w:val="24"/>
          <w:lang w:val="en-US"/>
        </w:rPr>
        <w:br w:type="page"/>
      </w:r>
    </w:p>
    <w:p w:rsidR="005A0A8A" w:rsidRPr="00E6375C" w:rsidRDefault="004543E1" w:rsidP="007E78BF">
      <w:pPr>
        <w:widowControl w:val="0"/>
        <w:autoSpaceDE w:val="0"/>
        <w:autoSpaceDN w:val="0"/>
        <w:adjustRightInd w:val="0"/>
        <w:spacing w:after="0" w:line="240" w:lineRule="auto"/>
        <w:jc w:val="center"/>
        <w:rPr>
          <w:szCs w:val="24"/>
          <w:lang w:val="en-US"/>
        </w:rPr>
      </w:pPr>
      <w:r w:rsidRPr="00E6375C">
        <w:rPr>
          <w:szCs w:val="24"/>
          <w:lang w:val="en-US"/>
        </w:rPr>
        <w:lastRenderedPageBreak/>
        <w:t>REFERENCES</w:t>
      </w:r>
    </w:p>
    <w:p w:rsidR="004543E1" w:rsidRPr="00E6375C" w:rsidRDefault="004543E1" w:rsidP="001E6F80">
      <w:pPr>
        <w:pStyle w:val="EndNoteBibliography"/>
        <w:spacing w:after="0"/>
        <w:ind w:left="720" w:hanging="720"/>
        <w:jc w:val="both"/>
        <w:rPr>
          <w:szCs w:val="24"/>
        </w:rPr>
      </w:pPr>
    </w:p>
    <w:p w:rsidR="002D1460" w:rsidRPr="00E6375C" w:rsidRDefault="005A0A8A" w:rsidP="00095EDE">
      <w:pPr>
        <w:pStyle w:val="EndNoteBibliography"/>
        <w:spacing w:after="0"/>
        <w:ind w:left="720" w:hanging="720"/>
        <w:jc w:val="both"/>
      </w:pPr>
      <w:r w:rsidRPr="00E6375C">
        <w:rPr>
          <w:szCs w:val="24"/>
        </w:rPr>
        <w:fldChar w:fldCharType="begin"/>
      </w:r>
      <w:r w:rsidRPr="00E6375C">
        <w:rPr>
          <w:szCs w:val="24"/>
        </w:rPr>
        <w:instrText xml:space="preserve"> ADDIN EN.REFLIST </w:instrText>
      </w:r>
      <w:r w:rsidRPr="00E6375C">
        <w:rPr>
          <w:szCs w:val="24"/>
        </w:rPr>
        <w:fldChar w:fldCharType="separate"/>
      </w:r>
      <w:r w:rsidR="002D1460" w:rsidRPr="00E6375C">
        <w:t xml:space="preserve">Baccini, L., &amp; Dür, A. (2013). Investment Discrimination and the Proliferation of Preferential Trade Agreements. </w:t>
      </w:r>
      <w:r w:rsidR="002D1460" w:rsidRPr="00E6375C">
        <w:rPr>
          <w:i/>
        </w:rPr>
        <w:t>Journal of Conflict Resolution, 59</w:t>
      </w:r>
      <w:r w:rsidR="002D1460" w:rsidRPr="00E6375C">
        <w:t>(4), 617-644.</w:t>
      </w:r>
    </w:p>
    <w:p w:rsidR="002D1460" w:rsidRPr="00E6375C" w:rsidRDefault="002D1460" w:rsidP="00095EDE">
      <w:pPr>
        <w:pStyle w:val="EndNoteBibliography"/>
        <w:spacing w:after="0"/>
        <w:ind w:left="720" w:hanging="720"/>
        <w:jc w:val="both"/>
      </w:pPr>
      <w:r w:rsidRPr="00E6375C">
        <w:t xml:space="preserve">Bergstrand, J. H., &amp; Egger, P. (2007). A Knowledge-and-Physical-Capital Model of International Trade Flows, Foreign Direct Investment, and Multinational Enterprises. </w:t>
      </w:r>
      <w:r w:rsidRPr="00E6375C">
        <w:rPr>
          <w:i/>
        </w:rPr>
        <w:t>Journal of International Economics, 73</w:t>
      </w:r>
      <w:r w:rsidRPr="00E6375C">
        <w:t>(2), 278-308.</w:t>
      </w:r>
    </w:p>
    <w:p w:rsidR="002D1460" w:rsidRPr="00E6375C" w:rsidRDefault="002D1460" w:rsidP="00095EDE">
      <w:pPr>
        <w:pStyle w:val="EndNoteBibliography"/>
        <w:spacing w:after="0"/>
        <w:ind w:left="720" w:hanging="720"/>
        <w:jc w:val="both"/>
      </w:pPr>
      <w:r w:rsidRPr="00E6375C">
        <w:t xml:space="preserve">Dixon, J., &amp; Haslam, P. A. (2016). Does the Quality of Investment Protection Affect FDI Flows to Developing Countries? Evidence from Latin America. </w:t>
      </w:r>
      <w:r w:rsidRPr="00E6375C">
        <w:rPr>
          <w:i/>
        </w:rPr>
        <w:t>The World Economy, 39</w:t>
      </w:r>
      <w:r w:rsidRPr="00E6375C">
        <w:t>(8), 1080-1108.</w:t>
      </w:r>
    </w:p>
    <w:p w:rsidR="002D1460" w:rsidRPr="00E6375C" w:rsidRDefault="002D1460" w:rsidP="00095EDE">
      <w:pPr>
        <w:pStyle w:val="EndNoteBibliography"/>
        <w:spacing w:after="0"/>
        <w:ind w:left="720" w:hanging="720"/>
        <w:jc w:val="both"/>
      </w:pPr>
      <w:r w:rsidRPr="00E6375C">
        <w:t xml:space="preserve">Fujita, M. (2008). A critical assessment of FDI data and policy implications. </w:t>
      </w:r>
      <w:r w:rsidRPr="00E6375C">
        <w:rPr>
          <w:i/>
        </w:rPr>
        <w:t>Transnational Corporations, 17</w:t>
      </w:r>
      <w:r w:rsidRPr="00E6375C">
        <w:t>(2), 107-126.</w:t>
      </w:r>
    </w:p>
    <w:p w:rsidR="002D1460" w:rsidRPr="00E6375C" w:rsidRDefault="002D1460" w:rsidP="00095EDE">
      <w:pPr>
        <w:pStyle w:val="EndNoteBibliography"/>
        <w:spacing w:after="0"/>
        <w:ind w:left="720" w:hanging="720"/>
        <w:jc w:val="both"/>
      </w:pPr>
      <w:r w:rsidRPr="00E6375C">
        <w:t xml:space="preserve">Garrett, J. Z. (2016). Explaining Asymmetries in Bilateral FDI Flows. </w:t>
      </w:r>
      <w:r w:rsidRPr="00E6375C">
        <w:rPr>
          <w:i/>
        </w:rPr>
        <w:t>International Review of Economics &amp; Finance, 41</w:t>
      </w:r>
      <w:r w:rsidRPr="00E6375C">
        <w:t>(2016), 155-171.</w:t>
      </w:r>
    </w:p>
    <w:p w:rsidR="002D1460" w:rsidRPr="00E6375C" w:rsidRDefault="002D1460" w:rsidP="00095EDE">
      <w:pPr>
        <w:pStyle w:val="EndNoteBibliography"/>
        <w:spacing w:after="0"/>
        <w:ind w:left="720" w:hanging="720"/>
        <w:jc w:val="both"/>
      </w:pPr>
      <w:r w:rsidRPr="00E6375C">
        <w:t>Gouel, C., Guimbard, H., &amp; Laborde, D. (2012). A Foreign Direct Investment database for global CGE models.  Working Paper 2012. Paris: CEPII.</w:t>
      </w:r>
    </w:p>
    <w:p w:rsidR="002D1460" w:rsidRPr="00E6375C" w:rsidRDefault="002D1460" w:rsidP="00095EDE">
      <w:pPr>
        <w:pStyle w:val="EndNoteBibliography"/>
        <w:spacing w:after="0"/>
        <w:ind w:left="720" w:hanging="720"/>
        <w:jc w:val="both"/>
      </w:pPr>
      <w:r w:rsidRPr="00E6375C">
        <w:t xml:space="preserve">Gujarati, D. N., &amp; Porter, D. C. (2009). </w:t>
      </w:r>
      <w:r w:rsidRPr="00E6375C">
        <w:rPr>
          <w:i/>
        </w:rPr>
        <w:t>Basic Econometrics</w:t>
      </w:r>
      <w:r w:rsidRPr="00E6375C">
        <w:t xml:space="preserve"> (5 ed.). New York: McGraw-Hill Irwin.</w:t>
      </w:r>
    </w:p>
    <w:p w:rsidR="002D1460" w:rsidRPr="00E6375C" w:rsidRDefault="002D1460" w:rsidP="00095EDE">
      <w:pPr>
        <w:pStyle w:val="EndNoteBibliography"/>
        <w:spacing w:after="0"/>
        <w:ind w:left="720" w:hanging="720"/>
        <w:jc w:val="both"/>
      </w:pPr>
      <w:r w:rsidRPr="00E6375C">
        <w:t xml:space="preserve">Helpman, E., Melitz, M., &amp; Rubinstein, Y. (2008). Estimating trade flows: Trading partners and trading volumes. </w:t>
      </w:r>
      <w:r w:rsidRPr="00E6375C">
        <w:rPr>
          <w:i/>
        </w:rPr>
        <w:t>The Quarterly Journal of Economics, 123</w:t>
      </w:r>
      <w:r w:rsidRPr="00E6375C">
        <w:t>(2), 441-487.</w:t>
      </w:r>
    </w:p>
    <w:p w:rsidR="002D1460" w:rsidRPr="00E6375C" w:rsidRDefault="002D1460" w:rsidP="00095EDE">
      <w:pPr>
        <w:pStyle w:val="EndNoteBibliography"/>
        <w:spacing w:after="0"/>
        <w:ind w:left="720" w:hanging="720"/>
        <w:jc w:val="both"/>
      </w:pPr>
      <w:r w:rsidRPr="00E6375C">
        <w:t xml:space="preserve">Santos Silva, J. M. C., Tenreyro, S., &amp; Wei, K. (2014). Estimating the extensive margin of trade. </w:t>
      </w:r>
      <w:r w:rsidRPr="00E6375C">
        <w:rPr>
          <w:i/>
        </w:rPr>
        <w:t>Journal of International Economics, 93</w:t>
      </w:r>
      <w:r w:rsidRPr="00E6375C">
        <w:t>(1), 67-75.</w:t>
      </w:r>
    </w:p>
    <w:p w:rsidR="002D1460" w:rsidRPr="00E6375C" w:rsidRDefault="002D1460" w:rsidP="00095EDE">
      <w:pPr>
        <w:pStyle w:val="EndNoteBibliography"/>
        <w:ind w:left="720" w:hanging="720"/>
        <w:jc w:val="both"/>
      </w:pPr>
      <w:r w:rsidRPr="00E6375C">
        <w:t xml:space="preserve">Wacker, K. M. (2016). (When) Should We Use Foreign Direct Investment Data to Measure the Activities of Multinational Corporations? Theory and Evidence. </w:t>
      </w:r>
      <w:r w:rsidRPr="00E6375C">
        <w:rPr>
          <w:i/>
        </w:rPr>
        <w:t>Review of International Economics, 24</w:t>
      </w:r>
      <w:r w:rsidRPr="00E6375C">
        <w:t>(5), 980-999.</w:t>
      </w:r>
    </w:p>
    <w:p w:rsidR="004D0C87" w:rsidRPr="00517F2F" w:rsidRDefault="005A0A8A" w:rsidP="00095EDE">
      <w:pPr>
        <w:widowControl w:val="0"/>
        <w:autoSpaceDE w:val="0"/>
        <w:autoSpaceDN w:val="0"/>
        <w:adjustRightInd w:val="0"/>
        <w:spacing w:after="0" w:line="240" w:lineRule="auto"/>
        <w:ind w:left="284" w:hanging="284"/>
        <w:jc w:val="both"/>
        <w:rPr>
          <w:sz w:val="20"/>
          <w:szCs w:val="20"/>
          <w:lang w:val="en-US"/>
        </w:rPr>
      </w:pPr>
      <w:r w:rsidRPr="00E6375C">
        <w:rPr>
          <w:szCs w:val="24"/>
          <w:lang w:val="en-US"/>
        </w:rPr>
        <w:fldChar w:fldCharType="end"/>
      </w:r>
      <w:bookmarkStart w:id="0" w:name="_GoBack"/>
      <w:bookmarkEnd w:id="0"/>
    </w:p>
    <w:sectPr w:rsidR="004D0C87" w:rsidRPr="00517F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934" w:rsidRDefault="00CE7934" w:rsidP="00517F2F">
      <w:pPr>
        <w:spacing w:after="0" w:line="240" w:lineRule="auto"/>
      </w:pPr>
      <w:r>
        <w:separator/>
      </w:r>
    </w:p>
  </w:endnote>
  <w:endnote w:type="continuationSeparator" w:id="0">
    <w:p w:rsidR="00CE7934" w:rsidRDefault="00CE7934" w:rsidP="0051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293394"/>
      <w:docPartObj>
        <w:docPartGallery w:val="Page Numbers (Bottom of Page)"/>
        <w:docPartUnique/>
      </w:docPartObj>
    </w:sdtPr>
    <w:sdtEndPr>
      <w:rPr>
        <w:noProof/>
      </w:rPr>
    </w:sdtEndPr>
    <w:sdtContent>
      <w:p w:rsidR="006B16FA" w:rsidRDefault="006B16FA">
        <w:pPr>
          <w:pStyle w:val="Footer"/>
          <w:jc w:val="right"/>
        </w:pPr>
        <w:r>
          <w:fldChar w:fldCharType="begin"/>
        </w:r>
        <w:r>
          <w:instrText xml:space="preserve"> PAGE   \* MERGEFORMAT </w:instrText>
        </w:r>
        <w:r>
          <w:fldChar w:fldCharType="separate"/>
        </w:r>
        <w:r w:rsidR="004E2846">
          <w:rPr>
            <w:noProof/>
          </w:rPr>
          <w:t>11</w:t>
        </w:r>
        <w:r>
          <w:rPr>
            <w:noProof/>
          </w:rPr>
          <w:fldChar w:fldCharType="end"/>
        </w:r>
      </w:p>
    </w:sdtContent>
  </w:sdt>
  <w:p w:rsidR="006B16FA" w:rsidRDefault="006B1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934" w:rsidRDefault="00CE7934" w:rsidP="00517F2F">
      <w:pPr>
        <w:spacing w:after="0" w:line="240" w:lineRule="auto"/>
      </w:pPr>
      <w:r>
        <w:separator/>
      </w:r>
    </w:p>
  </w:footnote>
  <w:footnote w:type="continuationSeparator" w:id="0">
    <w:p w:rsidR="00CE7934" w:rsidRDefault="00CE7934" w:rsidP="00517F2F">
      <w:pPr>
        <w:spacing w:after="0" w:line="240" w:lineRule="auto"/>
      </w:pPr>
      <w:r>
        <w:continuationSeparator/>
      </w:r>
    </w:p>
  </w:footnote>
  <w:footnote w:id="1">
    <w:p w:rsidR="006B16FA" w:rsidRDefault="006B16FA">
      <w:pPr>
        <w:pStyle w:val="FootnoteText"/>
      </w:pPr>
      <w:r w:rsidRPr="00DC6F97">
        <w:rPr>
          <w:rStyle w:val="FootnoteReference"/>
        </w:rPr>
        <w:footnoteRef/>
      </w:r>
      <w:r w:rsidR="00A037F8" w:rsidRPr="00DC6F97">
        <w:t xml:space="preserve"> </w:t>
      </w:r>
      <w:r w:rsidR="00DA3910">
        <w:t>Email:</w:t>
      </w:r>
      <w:r w:rsidR="00D56DAD">
        <w:t xml:space="preserve"> </w:t>
      </w:r>
      <w:r w:rsidR="00DA3910">
        <w:t xml:space="preserve">Anh T.N. Nguyen, </w:t>
      </w:r>
      <w:r w:rsidRPr="00DC6F97">
        <w:t>ngocanhnguyen2312@gmail.com</w:t>
      </w:r>
    </w:p>
  </w:footnote>
  <w:footnote w:id="2">
    <w:p w:rsidR="006B16FA" w:rsidRDefault="006B16FA" w:rsidP="00517F2F">
      <w:pPr>
        <w:pStyle w:val="FootnoteText"/>
      </w:pPr>
      <w:r>
        <w:rPr>
          <w:rStyle w:val="FootnoteReference"/>
        </w:rPr>
        <w:footnoteRef/>
      </w:r>
      <w:r>
        <w:t xml:space="preserve"> </w:t>
      </w:r>
      <w:hyperlink r:id="rId1" w:history="1">
        <w:r>
          <w:rPr>
            <w:rStyle w:val="Hyperlink"/>
          </w:rPr>
          <w:t>http://unctad.org/en/Pages/DIAE/FDI%20Statistics/FDI-Statistics-Bilateral.aspx</w:t>
        </w:r>
      </w:hyperlink>
      <w:r>
        <w:t xml:space="preserve"> , accessed on 1st </w:t>
      </w:r>
      <w:proofErr w:type="gramStart"/>
      <w:r>
        <w:t>May,</w:t>
      </w:r>
      <w:proofErr w:type="gramEnd"/>
      <w:r>
        <w:t xml:space="preserve"> 2017.</w:t>
      </w:r>
    </w:p>
  </w:footnote>
  <w:footnote w:id="3">
    <w:p w:rsidR="006B16FA" w:rsidRDefault="006B16FA">
      <w:pPr>
        <w:pStyle w:val="FootnoteText"/>
      </w:pPr>
      <w:r>
        <w:rPr>
          <w:rStyle w:val="FootnoteReference"/>
        </w:rPr>
        <w:footnoteRef/>
      </w:r>
      <w:r>
        <w:t xml:space="preserve"> </w:t>
      </w:r>
      <w:hyperlink r:id="rId2" w:anchor="iiaInnerMenu" w:history="1">
        <w:r w:rsidRPr="00003D42">
          <w:rPr>
            <w:rStyle w:val="Hyperlink"/>
          </w:rPr>
          <w:t>http://investmentpolicyhub.unctad.org/IIA/IiasByCountry#iiaInnerMenu</w:t>
        </w:r>
      </w:hyperlink>
      <w:r>
        <w:t>, accessed on 2</w:t>
      </w:r>
      <w:r w:rsidRPr="006521CE">
        <w:rPr>
          <w:vertAlign w:val="superscript"/>
        </w:rPr>
        <w:t>nd</w:t>
      </w:r>
      <w:r>
        <w:t xml:space="preserve"> </w:t>
      </w:r>
      <w:proofErr w:type="gramStart"/>
      <w:r>
        <w:t>May,</w:t>
      </w:r>
      <w:proofErr w:type="gramEnd"/>
      <w:r>
        <w:t xml:space="preserve"> 2017.</w:t>
      </w:r>
    </w:p>
  </w:footnote>
  <w:footnote w:id="4">
    <w:p w:rsidR="006B16FA" w:rsidRDefault="006B16FA">
      <w:pPr>
        <w:pStyle w:val="FootnoteText"/>
      </w:pPr>
      <w:r>
        <w:rPr>
          <w:rStyle w:val="FootnoteReference"/>
        </w:rPr>
        <w:footnoteRef/>
      </w:r>
      <w:r>
        <w:t xml:space="preserve"> </w:t>
      </w:r>
      <w:hyperlink r:id="rId3" w:history="1">
        <w:r w:rsidRPr="002432EF">
          <w:rPr>
            <w:rStyle w:val="Hyperlink"/>
          </w:rPr>
          <w:t>https://www.cia.gov/library/publications/the-world-factbook/fields/2122.html</w:t>
        </w:r>
      </w:hyperlink>
      <w:r>
        <w:t>, accessed on 30</w:t>
      </w:r>
      <w:r w:rsidRPr="00E05200">
        <w:rPr>
          <w:vertAlign w:val="superscript"/>
        </w:rPr>
        <w:t>th</w:t>
      </w:r>
      <w:r>
        <w:t xml:space="preserve"> </w:t>
      </w:r>
      <w:proofErr w:type="gramStart"/>
      <w:r>
        <w:t>May,</w:t>
      </w:r>
      <w:proofErr w:type="gramEnd"/>
      <w:r>
        <w:t xml:space="preserve"> 2017.</w:t>
      </w:r>
    </w:p>
  </w:footnote>
  <w:footnote w:id="5">
    <w:p w:rsidR="006B16FA" w:rsidRDefault="006B16FA">
      <w:pPr>
        <w:pStyle w:val="FootnoteText"/>
      </w:pPr>
      <w:r>
        <w:rPr>
          <w:rStyle w:val="FootnoteReference"/>
        </w:rPr>
        <w:footnoteRef/>
      </w:r>
      <w:r>
        <w:t xml:space="preserve"> </w:t>
      </w:r>
      <w:hyperlink r:id="rId4" w:history="1">
        <w:r w:rsidRPr="002432EF">
          <w:rPr>
            <w:rStyle w:val="Hyperlink"/>
          </w:rPr>
          <w:t>https://www.cia.gov/library/publications/the-world-factbook/fields/2100.html</w:t>
        </w:r>
      </w:hyperlink>
      <w:r>
        <w:t>, accessed on 20</w:t>
      </w:r>
      <w:r w:rsidRPr="00E05200">
        <w:rPr>
          <w:vertAlign w:val="superscript"/>
        </w:rPr>
        <w:t>th</w:t>
      </w:r>
      <w:r>
        <w:t xml:space="preserve">, </w:t>
      </w:r>
      <w:proofErr w:type="gramStart"/>
      <w:r>
        <w:t>June,</w:t>
      </w:r>
      <w:proofErr w:type="gramEnd"/>
      <w:r>
        <w:t xml:space="preserv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E6595"/>
    <w:multiLevelType w:val="hybridMultilevel"/>
    <w:tmpl w:val="2CF2A934"/>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24284C33"/>
    <w:multiLevelType w:val="hybridMultilevel"/>
    <w:tmpl w:val="2422A03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D555401"/>
    <w:multiLevelType w:val="multilevel"/>
    <w:tmpl w:val="D8302EF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493765"/>
    <w:multiLevelType w:val="hybridMultilevel"/>
    <w:tmpl w:val="DBA85B78"/>
    <w:lvl w:ilvl="0" w:tplc="776CD31C">
      <w:start w:val="1"/>
      <w:numFmt w:val="decimal"/>
      <w:lvlText w:val="%1."/>
      <w:lvlJc w:val="left"/>
      <w:pPr>
        <w:ind w:left="720" w:hanging="360"/>
      </w:pPr>
      <w:rPr>
        <w:rFonts w:ascii="Times New Roman" w:eastAsiaTheme="minorHAnsi" w:hAnsi="Times New Roman" w:cs="Times New Roman"/>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38100935"/>
    <w:multiLevelType w:val="hybridMultilevel"/>
    <w:tmpl w:val="5A7A56A8"/>
    <w:lvl w:ilvl="0" w:tplc="75F849B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9AF1D0C"/>
    <w:multiLevelType w:val="hybridMultilevel"/>
    <w:tmpl w:val="95CACE6C"/>
    <w:lvl w:ilvl="0" w:tplc="FE583910">
      <w:start w:val="4"/>
      <w:numFmt w:val="bullet"/>
      <w:lvlText w:val=""/>
      <w:lvlJc w:val="left"/>
      <w:pPr>
        <w:ind w:left="720" w:hanging="360"/>
      </w:pPr>
      <w:rPr>
        <w:rFonts w:ascii="Wingdings" w:eastAsiaTheme="minorHAnsi"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F2C4B76"/>
    <w:multiLevelType w:val="hybridMultilevel"/>
    <w:tmpl w:val="6088D9A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8B74F01"/>
    <w:multiLevelType w:val="hybridMultilevel"/>
    <w:tmpl w:val="680C07E2"/>
    <w:lvl w:ilvl="0" w:tplc="AB22DC3E">
      <w:start w:val="1"/>
      <w:numFmt w:val="lowerLetter"/>
      <w:lvlText w:val="%1)"/>
      <w:lvlJc w:val="left"/>
      <w:pPr>
        <w:ind w:left="720" w:hanging="360"/>
      </w:pPr>
      <w:rPr>
        <w:rFonts w:ascii="Times New Roman" w:eastAsiaTheme="minorHAnsi" w:hAnsi="Times New Roman" w:cs="Times New Roman"/>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E1E2D9C"/>
    <w:multiLevelType w:val="hybridMultilevel"/>
    <w:tmpl w:val="9280B02E"/>
    <w:lvl w:ilvl="0" w:tplc="03729F1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E584B0B"/>
    <w:multiLevelType w:val="hybridMultilevel"/>
    <w:tmpl w:val="54C6B8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56F395D"/>
    <w:multiLevelType w:val="hybridMultilevel"/>
    <w:tmpl w:val="96746E82"/>
    <w:lvl w:ilvl="0" w:tplc="F7DA022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9FF5C25"/>
    <w:multiLevelType w:val="multilevel"/>
    <w:tmpl w:val="55F2B43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5D100B91"/>
    <w:multiLevelType w:val="multilevel"/>
    <w:tmpl w:val="E15C08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70426EF"/>
    <w:multiLevelType w:val="multilevel"/>
    <w:tmpl w:val="55F2B43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79103641"/>
    <w:multiLevelType w:val="hybridMultilevel"/>
    <w:tmpl w:val="79E47C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A764511"/>
    <w:multiLevelType w:val="hybridMultilevel"/>
    <w:tmpl w:val="CAA0D17C"/>
    <w:lvl w:ilvl="0" w:tplc="F7DA022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BC622A4"/>
    <w:multiLevelType w:val="hybridMultilevel"/>
    <w:tmpl w:val="47FAB7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C243A8F"/>
    <w:multiLevelType w:val="hybridMultilevel"/>
    <w:tmpl w:val="713C788E"/>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7F4F3CCF"/>
    <w:multiLevelType w:val="hybridMultilevel"/>
    <w:tmpl w:val="F0D4A02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10"/>
  </w:num>
  <w:num w:numId="3">
    <w:abstractNumId w:val="5"/>
  </w:num>
  <w:num w:numId="4">
    <w:abstractNumId w:val="4"/>
  </w:num>
  <w:num w:numId="5">
    <w:abstractNumId w:val="12"/>
  </w:num>
  <w:num w:numId="6">
    <w:abstractNumId w:val="2"/>
  </w:num>
  <w:num w:numId="7">
    <w:abstractNumId w:val="14"/>
  </w:num>
  <w:num w:numId="8">
    <w:abstractNumId w:val="7"/>
  </w:num>
  <w:num w:numId="9">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 w:numId="18">
    <w:abstractNumId w:val="15"/>
  </w:num>
  <w:num w:numId="19">
    <w:abstractNumId w:val="17"/>
  </w:num>
  <w:num w:numId="20">
    <w:abstractNumId w:val="6"/>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IwsDAxNjGyNDcxNDVV0lEKTi0uzszPAykwNK4FAL9aGf0tAAAA"/>
    <w:docVar w:name="EN.InstantFormat" w:val="&lt;ENInstantFormat&gt;&lt;Enabled&gt;1&lt;/Enabled&gt;&lt;ScanUnformatted&gt;1&lt;/ScanUnformatted&gt;&lt;ScanChanges&gt;1&lt;/ScanChanges&gt;&lt;Suspended&gt;0&lt;/Suspended&gt;&lt;/ENInstantFormat&gt;"/>
    <w:docVar w:name="EN.Layout" w:val="&lt;ENLayout&gt;&lt;Style&gt;APA 6th- The World Econom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0srvwzktwrpse5rpz5pda3vf5vr952vza2&quot;&gt;PhD-Newest-Library&lt;record-ids&gt;&lt;item&gt;102&lt;/item&gt;&lt;item&gt;103&lt;/item&gt;&lt;item&gt;148&lt;/item&gt;&lt;item&gt;161&lt;/item&gt;&lt;item&gt;183&lt;/item&gt;&lt;item&gt;185&lt;/item&gt;&lt;item&gt;250&lt;/item&gt;&lt;item&gt;289&lt;/item&gt;&lt;item&gt;455&lt;/item&gt;&lt;item&gt;482&lt;/item&gt;&lt;/record-ids&gt;&lt;/item&gt;&lt;/Libraries&gt;"/>
  </w:docVars>
  <w:rsids>
    <w:rsidRoot w:val="00076185"/>
    <w:rsid w:val="000545A4"/>
    <w:rsid w:val="0006010C"/>
    <w:rsid w:val="00067354"/>
    <w:rsid w:val="00076185"/>
    <w:rsid w:val="0008593D"/>
    <w:rsid w:val="00091259"/>
    <w:rsid w:val="0009418E"/>
    <w:rsid w:val="00095EDE"/>
    <w:rsid w:val="000D19AF"/>
    <w:rsid w:val="00145636"/>
    <w:rsid w:val="001A4C7C"/>
    <w:rsid w:val="001E409E"/>
    <w:rsid w:val="001E6F80"/>
    <w:rsid w:val="00256FCE"/>
    <w:rsid w:val="0027634A"/>
    <w:rsid w:val="002862E6"/>
    <w:rsid w:val="002B0A6E"/>
    <w:rsid w:val="002D1460"/>
    <w:rsid w:val="002F6589"/>
    <w:rsid w:val="002F734E"/>
    <w:rsid w:val="00332011"/>
    <w:rsid w:val="00347C83"/>
    <w:rsid w:val="00395A73"/>
    <w:rsid w:val="003C49F3"/>
    <w:rsid w:val="003D1C1A"/>
    <w:rsid w:val="003D3E4B"/>
    <w:rsid w:val="003E0E79"/>
    <w:rsid w:val="003F7AC6"/>
    <w:rsid w:val="004207A1"/>
    <w:rsid w:val="0044243A"/>
    <w:rsid w:val="00445DD2"/>
    <w:rsid w:val="004543E1"/>
    <w:rsid w:val="004B426D"/>
    <w:rsid w:val="004D0C87"/>
    <w:rsid w:val="004D7633"/>
    <w:rsid w:val="004E2846"/>
    <w:rsid w:val="004F6699"/>
    <w:rsid w:val="00513D6B"/>
    <w:rsid w:val="00517F2F"/>
    <w:rsid w:val="005404A1"/>
    <w:rsid w:val="00547558"/>
    <w:rsid w:val="00575EC5"/>
    <w:rsid w:val="00584241"/>
    <w:rsid w:val="005971E6"/>
    <w:rsid w:val="005A0A8A"/>
    <w:rsid w:val="00617740"/>
    <w:rsid w:val="00621D5D"/>
    <w:rsid w:val="006521CE"/>
    <w:rsid w:val="00662695"/>
    <w:rsid w:val="006B16FA"/>
    <w:rsid w:val="006D3C74"/>
    <w:rsid w:val="007061F6"/>
    <w:rsid w:val="00710523"/>
    <w:rsid w:val="00735440"/>
    <w:rsid w:val="00744442"/>
    <w:rsid w:val="00751F95"/>
    <w:rsid w:val="0076453F"/>
    <w:rsid w:val="007A03F8"/>
    <w:rsid w:val="007E78BF"/>
    <w:rsid w:val="008036D6"/>
    <w:rsid w:val="008301C6"/>
    <w:rsid w:val="008729FD"/>
    <w:rsid w:val="008E2C60"/>
    <w:rsid w:val="00912FDB"/>
    <w:rsid w:val="00932B4B"/>
    <w:rsid w:val="00952368"/>
    <w:rsid w:val="00966407"/>
    <w:rsid w:val="00972B89"/>
    <w:rsid w:val="00984F59"/>
    <w:rsid w:val="009B68F9"/>
    <w:rsid w:val="009C0886"/>
    <w:rsid w:val="009F58A3"/>
    <w:rsid w:val="00A037F8"/>
    <w:rsid w:val="00A21786"/>
    <w:rsid w:val="00A225B7"/>
    <w:rsid w:val="00A36AB4"/>
    <w:rsid w:val="00A539FC"/>
    <w:rsid w:val="00A74EA5"/>
    <w:rsid w:val="00AB2B85"/>
    <w:rsid w:val="00AD7550"/>
    <w:rsid w:val="00B152E0"/>
    <w:rsid w:val="00B25FEC"/>
    <w:rsid w:val="00BD4995"/>
    <w:rsid w:val="00BF4C2E"/>
    <w:rsid w:val="00BF6AFE"/>
    <w:rsid w:val="00C3272B"/>
    <w:rsid w:val="00C4028F"/>
    <w:rsid w:val="00C50ED1"/>
    <w:rsid w:val="00C708CF"/>
    <w:rsid w:val="00C83714"/>
    <w:rsid w:val="00CB3E6E"/>
    <w:rsid w:val="00CC059B"/>
    <w:rsid w:val="00CD76C0"/>
    <w:rsid w:val="00CE7934"/>
    <w:rsid w:val="00CF76DA"/>
    <w:rsid w:val="00D01F6B"/>
    <w:rsid w:val="00D26A17"/>
    <w:rsid w:val="00D56DAD"/>
    <w:rsid w:val="00D762C1"/>
    <w:rsid w:val="00DA3910"/>
    <w:rsid w:val="00DC6F97"/>
    <w:rsid w:val="00DD52A0"/>
    <w:rsid w:val="00DE2E2F"/>
    <w:rsid w:val="00DE3963"/>
    <w:rsid w:val="00E05200"/>
    <w:rsid w:val="00E06806"/>
    <w:rsid w:val="00E15694"/>
    <w:rsid w:val="00E245EE"/>
    <w:rsid w:val="00E31CAD"/>
    <w:rsid w:val="00E3648C"/>
    <w:rsid w:val="00E52DC3"/>
    <w:rsid w:val="00E6375C"/>
    <w:rsid w:val="00E72D50"/>
    <w:rsid w:val="00EB524A"/>
    <w:rsid w:val="00F33282"/>
    <w:rsid w:val="00F3468E"/>
    <w:rsid w:val="00F67C3A"/>
    <w:rsid w:val="00FA208F"/>
    <w:rsid w:val="00FD673F"/>
    <w:rsid w:val="00FE1C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DA302F-4364-4F6C-B7A7-970AA281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17F2F"/>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517F2F"/>
    <w:rPr>
      <w:noProof/>
      <w:lang w:val="en-US"/>
    </w:rPr>
  </w:style>
  <w:style w:type="paragraph" w:customStyle="1" w:styleId="EndNoteBibliography">
    <w:name w:val="EndNote Bibliography"/>
    <w:basedOn w:val="Normal"/>
    <w:link w:val="EndNoteBibliographyChar"/>
    <w:rsid w:val="00517F2F"/>
    <w:pPr>
      <w:spacing w:line="240" w:lineRule="auto"/>
    </w:pPr>
    <w:rPr>
      <w:noProof/>
      <w:lang w:val="en-US"/>
    </w:rPr>
  </w:style>
  <w:style w:type="character" w:customStyle="1" w:styleId="EndNoteBibliographyChar">
    <w:name w:val="EndNote Bibliography Char"/>
    <w:basedOn w:val="DefaultParagraphFont"/>
    <w:link w:val="EndNoteBibliography"/>
    <w:rsid w:val="00517F2F"/>
    <w:rPr>
      <w:noProof/>
      <w:lang w:val="en-US"/>
    </w:rPr>
  </w:style>
  <w:style w:type="paragraph" w:styleId="ListParagraph">
    <w:name w:val="List Paragraph"/>
    <w:basedOn w:val="Normal"/>
    <w:uiPriority w:val="34"/>
    <w:qFormat/>
    <w:rsid w:val="00517F2F"/>
    <w:pPr>
      <w:ind w:left="720"/>
      <w:contextualSpacing/>
    </w:pPr>
  </w:style>
  <w:style w:type="paragraph" w:styleId="FootnoteText">
    <w:name w:val="footnote text"/>
    <w:basedOn w:val="Normal"/>
    <w:link w:val="FootnoteTextChar"/>
    <w:uiPriority w:val="99"/>
    <w:semiHidden/>
    <w:unhideWhenUsed/>
    <w:rsid w:val="00517F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7F2F"/>
    <w:rPr>
      <w:sz w:val="20"/>
      <w:szCs w:val="20"/>
    </w:rPr>
  </w:style>
  <w:style w:type="character" w:styleId="FootnoteReference">
    <w:name w:val="footnote reference"/>
    <w:basedOn w:val="DefaultParagraphFont"/>
    <w:uiPriority w:val="99"/>
    <w:semiHidden/>
    <w:unhideWhenUsed/>
    <w:rsid w:val="00517F2F"/>
    <w:rPr>
      <w:vertAlign w:val="superscript"/>
    </w:rPr>
  </w:style>
  <w:style w:type="paragraph" w:styleId="Footer">
    <w:name w:val="footer"/>
    <w:basedOn w:val="Normal"/>
    <w:link w:val="FooterChar"/>
    <w:uiPriority w:val="99"/>
    <w:unhideWhenUsed/>
    <w:rsid w:val="00517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F2F"/>
  </w:style>
  <w:style w:type="character" w:styleId="Hyperlink">
    <w:name w:val="Hyperlink"/>
    <w:basedOn w:val="DefaultParagraphFont"/>
    <w:uiPriority w:val="99"/>
    <w:unhideWhenUsed/>
    <w:rsid w:val="00517F2F"/>
    <w:rPr>
      <w:color w:val="0000FF" w:themeColor="hyperlink"/>
      <w:u w:val="single"/>
    </w:rPr>
  </w:style>
  <w:style w:type="character" w:customStyle="1" w:styleId="categorydata">
    <w:name w:val="category_data"/>
    <w:basedOn w:val="DefaultParagraphFont"/>
    <w:rsid w:val="00517F2F"/>
  </w:style>
  <w:style w:type="paragraph" w:styleId="Header">
    <w:name w:val="header"/>
    <w:basedOn w:val="Normal"/>
    <w:link w:val="HeaderChar"/>
    <w:uiPriority w:val="99"/>
    <w:unhideWhenUsed/>
    <w:rsid w:val="00517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F2F"/>
  </w:style>
  <w:style w:type="character" w:customStyle="1" w:styleId="BalloonTextChar">
    <w:name w:val="Balloon Text Char"/>
    <w:basedOn w:val="DefaultParagraphFont"/>
    <w:link w:val="BalloonText"/>
    <w:uiPriority w:val="99"/>
    <w:semiHidden/>
    <w:rsid w:val="00517F2F"/>
    <w:rPr>
      <w:rFonts w:ascii="Tahoma" w:hAnsi="Tahoma" w:cs="Tahoma"/>
      <w:sz w:val="16"/>
      <w:szCs w:val="16"/>
    </w:rPr>
  </w:style>
  <w:style w:type="paragraph" w:styleId="BalloonText">
    <w:name w:val="Balloon Text"/>
    <w:basedOn w:val="Normal"/>
    <w:link w:val="BalloonTextChar"/>
    <w:uiPriority w:val="99"/>
    <w:semiHidden/>
    <w:unhideWhenUsed/>
    <w:rsid w:val="00517F2F"/>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517F2F"/>
    <w:rPr>
      <w:rFonts w:ascii="Segoe UI" w:hAnsi="Segoe UI" w:cs="Segoe UI"/>
      <w:sz w:val="18"/>
      <w:szCs w:val="18"/>
    </w:rPr>
  </w:style>
  <w:style w:type="paragraph" w:customStyle="1" w:styleId="msonormal0">
    <w:name w:val="msonormal"/>
    <w:basedOn w:val="Normal"/>
    <w:rsid w:val="00517F2F"/>
    <w:pPr>
      <w:spacing w:before="100" w:beforeAutospacing="1" w:after="100" w:afterAutospacing="1" w:line="240" w:lineRule="auto"/>
    </w:pPr>
    <w:rPr>
      <w:rFonts w:eastAsia="Times New Roman"/>
      <w:szCs w:val="24"/>
      <w:lang w:eastAsia="en-NZ"/>
    </w:rPr>
  </w:style>
  <w:style w:type="character" w:styleId="FollowedHyperlink">
    <w:name w:val="FollowedHyperlink"/>
    <w:basedOn w:val="DefaultParagraphFont"/>
    <w:uiPriority w:val="99"/>
    <w:semiHidden/>
    <w:unhideWhenUsed/>
    <w:rsid w:val="00C3272B"/>
    <w:rPr>
      <w:color w:val="800080" w:themeColor="followedHyperlink"/>
      <w:u w:val="single"/>
    </w:rPr>
  </w:style>
  <w:style w:type="table" w:styleId="TableGrid">
    <w:name w:val="Table Grid"/>
    <w:basedOn w:val="TableNormal"/>
    <w:uiPriority w:val="39"/>
    <w:rsid w:val="00C32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272B"/>
    <w:rPr>
      <w:color w:val="808080"/>
    </w:rPr>
  </w:style>
  <w:style w:type="character" w:customStyle="1" w:styleId="rpc41">
    <w:name w:val="_rpc_41"/>
    <w:basedOn w:val="DefaultParagraphFont"/>
    <w:rsid w:val="00C3272B"/>
  </w:style>
  <w:style w:type="character" w:styleId="LineNumber">
    <w:name w:val="line number"/>
    <w:basedOn w:val="DefaultParagraphFont"/>
    <w:uiPriority w:val="99"/>
    <w:semiHidden/>
    <w:unhideWhenUsed/>
    <w:rsid w:val="00C32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803680">
      <w:bodyDiv w:val="1"/>
      <w:marLeft w:val="0"/>
      <w:marRight w:val="0"/>
      <w:marTop w:val="0"/>
      <w:marBottom w:val="0"/>
      <w:divBdr>
        <w:top w:val="none" w:sz="0" w:space="0" w:color="auto"/>
        <w:left w:val="none" w:sz="0" w:space="0" w:color="auto"/>
        <w:bottom w:val="none" w:sz="0" w:space="0" w:color="auto"/>
        <w:right w:val="none" w:sz="0" w:space="0" w:color="auto"/>
      </w:divBdr>
    </w:div>
    <w:div w:id="151584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ia.gov/library/publications/the-world-factbook/fields/2122.html" TargetMode="External"/><Relationship Id="rId2" Type="http://schemas.openxmlformats.org/officeDocument/2006/relationships/hyperlink" Target="http://investmentpolicyhub.unctad.org/IIA/IiasByCountry" TargetMode="External"/><Relationship Id="rId1" Type="http://schemas.openxmlformats.org/officeDocument/2006/relationships/hyperlink" Target="http://unctad.org/en/Pages/DIAE/FDI%20Statistics/FDI-Statistics-Bilateral.aspx" TargetMode="External"/><Relationship Id="rId4" Type="http://schemas.openxmlformats.org/officeDocument/2006/relationships/hyperlink" Target="https://www.cia.gov/library/publications/the-world-factbook/fields/2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C65F7-E5C4-4554-82F2-D52B1286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2498</TotalTime>
  <Pages>11</Pages>
  <Words>5453</Words>
  <Characters>31086</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Otago Business School</Company>
  <LinksUpToDate>false</LinksUpToDate>
  <CharactersWithSpaces>36467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Nguyen Thi Ngoc Anh</cp:lastModifiedBy>
  <cp:revision>59</cp:revision>
  <cp:lastPrinted>2018-12-10T22:25:00Z</cp:lastPrinted>
  <dcterms:created xsi:type="dcterms:W3CDTF">2018-02-09T00:35:00Z</dcterms:created>
  <dcterms:modified xsi:type="dcterms:W3CDTF">2018-12-10T22:26:00Z</dcterms:modified>
</cp:coreProperties>
</file>