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23.png" ContentType="image/png"/>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Predictive</w:t>
      </w:r>
      <w:r>
        <w:t xml:space="preserve"> </w:t>
      </w:r>
      <w:r>
        <w:t xml:space="preserve">Model</w:t>
      </w:r>
      <w:r>
        <w:t xml:space="preserve"> </w:t>
      </w:r>
      <w:r>
        <w:t xml:space="preserve">For</w:t>
      </w:r>
      <w:r>
        <w:t xml:space="preserve"> </w:t>
      </w:r>
      <w:r>
        <w:t xml:space="preserve">The</w:t>
      </w:r>
      <w:r>
        <w:t xml:space="preserve"> </w:t>
      </w:r>
      <w:r>
        <w:t xml:space="preserve">Median</w:t>
      </w:r>
      <w:r>
        <w:t xml:space="preserve"> </w:t>
      </w:r>
      <w:r>
        <w:t xml:space="preserve">Value</w:t>
      </w:r>
      <w:r>
        <w:t xml:space="preserve"> </w:t>
      </w:r>
      <w:r>
        <w:t xml:space="preserve">Of</w:t>
      </w:r>
      <w:r>
        <w:t xml:space="preserve"> </w:t>
      </w:r>
      <w:r>
        <w:t xml:space="preserve">Homes</w:t>
      </w:r>
      <w:r>
        <w:t xml:space="preserve"> </w:t>
      </w:r>
      <w:r>
        <w:t xml:space="preserve">In</w:t>
      </w:r>
      <w:r>
        <w:t xml:space="preserve"> </w:t>
      </w:r>
      <w:r>
        <w:t xml:space="preserve">Boston</w:t>
      </w:r>
    </w:p>
    <w:p>
      <w:pPr>
        <w:pStyle w:val="Author"/>
      </w:pPr>
      <w:r>
        <w:t xml:space="preserve">Group</w:t>
      </w:r>
      <w:r>
        <w:t xml:space="preserve"> </w:t>
      </w:r>
      <w:r>
        <w:t xml:space="preserve">18</w:t>
      </w:r>
      <w:r>
        <w:t xml:space="preserve"> </w:t>
      </w:r>
      <w:r>
        <w:t xml:space="preserve">/</w:t>
      </w:r>
      <w:r>
        <w:t xml:space="preserve"> </w:t>
      </w:r>
      <w:r>
        <w:t xml:space="preserve">Abbas</w:t>
      </w:r>
      <w:r>
        <w:t xml:space="preserve"> </w:t>
      </w:r>
      <w:r>
        <w:t xml:space="preserve">Rai</w:t>
      </w:r>
      <w:r>
        <w:t xml:space="preserve"> </w:t>
      </w:r>
      <w:r>
        <w:t xml:space="preserve">1003957104</w:t>
      </w:r>
      <w:r>
        <w:t xml:space="preserve"> </w:t>
      </w:r>
      <w:r>
        <w:t xml:space="preserve">/</w:t>
      </w:r>
      <w:r>
        <w:t xml:space="preserve"> </w:t>
      </w:r>
      <w:r>
        <w:t xml:space="preserve">Calvin</w:t>
      </w:r>
      <w:r>
        <w:t xml:space="preserve"> </w:t>
      </w:r>
      <w:r>
        <w:t xml:space="preserve">Chan</w:t>
      </w:r>
      <w:r>
        <w:t xml:space="preserve"> </w:t>
      </w:r>
      <w:r>
        <w:t xml:space="preserve">999940364</w:t>
      </w:r>
      <w:r>
        <w:t xml:space="preserve"> </w:t>
      </w:r>
      <w:r>
        <w:t xml:space="preserve">/</w:t>
      </w:r>
      <w:r>
        <w:t xml:space="preserve"> </w:t>
      </w:r>
      <w:r>
        <w:t xml:space="preserve">Huan</w:t>
      </w:r>
      <w:r>
        <w:t xml:space="preserve"> </w:t>
      </w:r>
      <w:r>
        <w:t xml:space="preserve">Wang</w:t>
      </w:r>
      <w:r>
        <w:t xml:space="preserve"> </w:t>
      </w:r>
      <w:r>
        <w:t xml:space="preserve">1001707049/</w:t>
      </w:r>
      <w:r>
        <w:t xml:space="preserve"> </w:t>
      </w:r>
      <w:r>
        <w:t xml:space="preserve">Ruotong</w:t>
      </w:r>
      <w:r>
        <w:t xml:space="preserve"> </w:t>
      </w:r>
      <w:r>
        <w:t xml:space="preserve">Zheng</w:t>
      </w:r>
      <w:r>
        <w:t xml:space="preserve"> </w:t>
      </w:r>
      <w:r>
        <w:t xml:space="preserve">1002586659/</w:t>
      </w:r>
      <w:r>
        <w:t xml:space="preserve"> </w:t>
      </w:r>
      <w:r>
        <w:t xml:space="preserve">Andrey</w:t>
      </w:r>
      <w:r>
        <w:t xml:space="preserve"> </w:t>
      </w:r>
      <w:r>
        <w:t xml:space="preserve">Zhuravlev</w:t>
      </w:r>
    </w:p>
    <w:p>
      <w:pPr>
        <w:pStyle w:val="Heading1"/>
      </w:pPr>
      <w:bookmarkStart w:id="21" w:name="abstract"/>
      <w:bookmarkEnd w:id="21"/>
      <w:r>
        <w:t xml:space="preserve">Abstract</w:t>
      </w:r>
    </w:p>
    <w:p>
      <w:pPr>
        <w:pStyle w:val="FirstParagraph"/>
      </w:pPr>
      <w:r>
        <w:t xml:space="preserve">Buying a home is one of the most important purchase decisions in oneâs life. There are many important factors for one to consider, especially the value of the home one is purchasing. In reality, the value of a home can be evaluated based on an in-depth analysis of the homeâs geographical location and several other environmental and socioeconomic factors. Our team has used a plethora of statistical tests and considered several influential variables associated with this important topic in order to develop a predictive model which best explains the value of homes in the city of Boston.</w:t>
      </w:r>
    </w:p>
    <w:p>
      <w:pPr>
        <w:pStyle w:val="Heading1"/>
      </w:pPr>
      <w:bookmarkStart w:id="22" w:name="background-and-significance"/>
      <w:bookmarkEnd w:id="22"/>
      <w:r>
        <w:t xml:space="preserve">Background and Significance</w:t>
      </w:r>
    </w:p>
    <w:p>
      <w:pPr>
        <w:pStyle w:val="FirstParagraph"/>
      </w:pPr>
      <w:r>
        <w:t xml:space="preserve">The debate surrounding purchasing the</w:t>
      </w:r>
      <w:r>
        <w:t xml:space="preserve"> </w:t>
      </w:r>
      <w:r>
        <w:t xml:space="preserve">“</w:t>
      </w:r>
      <w:r>
        <w:t xml:space="preserve">ideal</w:t>
      </w:r>
      <w:r>
        <w:t xml:space="preserve">”</w:t>
      </w:r>
      <w:r>
        <w:t xml:space="preserve"> </w:t>
      </w:r>
      <w:r>
        <w:t xml:space="preserve">home is one that is extremely prevalent within households across the globe. People work extremely hard to save up to buy a home, making it one of the most important investments in one’s lifetime. In fact, research shows that it takes the average American more than seven years to save up enough money just to deposit the down payment towards a home (Olsen, 2018). Moreover, future home buyers find themselves in an even more vulnerable position. Due to inflation and increasing price levels within the economy, there has been an increasing trend of the time needed to save up for a home in America, which has already risen by almost two years since 1988 (Olsen, 2018). The presence of these trends makes it even more important for individuals to make smart home purchases, in order to avoid facing severe economic repercussions. One of the fundamental factors which affects the value of a home is safety. A report published by the Center for American Progress concluded that âa 10% reduction in homicides would lead to a 0.83% increase in housing values the following year.â (Byloos, 2016). In addition, one must consider the presence of retail stores in the nearby area, which can actually lower the value of a house if located within close proximity (Matthews, 2006). We ultimately propose the following model to predict the median house price levels in Boston in order to provide home buyers and real estate agents with more holistic understanding of the factors which influence the value of homes and provide them with the necessary information to understand the housing market better and make better decisions overall.</w:t>
      </w:r>
    </w:p>
    <w:p>
      <w:pPr>
        <w:pStyle w:val="SourceCode"/>
      </w:pPr>
      <w:r>
        <w:rPr>
          <w:rStyle w:val="VerbatimChar"/>
        </w:rPr>
        <w:t xml:space="preserve">##        x1        x2        x3        x4        x5        x6        x7 </w:t>
      </w:r>
      <w:r>
        <w:br w:type="textWrapping"/>
      </w:r>
      <w:r>
        <w:rPr>
          <w:rStyle w:val="VerbatimChar"/>
        </w:rPr>
        <w:t xml:space="preserve">##   0.01501   0.00000  18.10000   0.00000   0.53800   5.71300 100.00000 </w:t>
      </w:r>
      <w:r>
        <w:br w:type="textWrapping"/>
      </w:r>
      <w:r>
        <w:rPr>
          <w:rStyle w:val="VerbatimChar"/>
        </w:rPr>
        <w:t xml:space="preserve">##        x8        x9       x10       x11       x12       x13         y </w:t>
      </w:r>
      <w:r>
        <w:br w:type="textWrapping"/>
      </w:r>
      <w:r>
        <w:rPr>
          <w:rStyle w:val="VerbatimChar"/>
        </w:rPr>
        <w:t xml:space="preserve">##   3.49520  24.00000 666.00000  20.20000 396.90000   8.05000  50.00000</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FirstParagraph"/>
      </w:pPr>
      <w:r>
        <w:drawing>
          <wp:inline>
            <wp:extent cx="4620126" cy="3696101"/>
            <wp:effectExtent b="0" l="0" r="0" t="0"/>
            <wp:docPr descr="" title="" id="1" name="Picture"/>
            <a:graphic>
              <a:graphicData uri="http://schemas.openxmlformats.org/drawingml/2006/picture">
                <pic:pic>
                  <pic:nvPicPr>
                    <pic:cNvPr descr="STAC67project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model"/>
      <w:bookmarkEnd w:id="24"/>
      <w:r>
        <w:t xml:space="preserve">Model</w:t>
      </w:r>
    </w:p>
    <w:p>
      <w:pPr>
        <w:pStyle w:val="Heading1"/>
      </w:pPr>
      <w:bookmarkStart w:id="25" w:name="model-creation"/>
      <w:bookmarkEnd w:id="25"/>
      <w:r>
        <w:t xml:space="preserve">Model Creation</w:t>
      </w:r>
    </w:p>
    <w:p>
      <w:pPr>
        <w:pStyle w:val="FirstParagraph"/>
      </w:pPr>
      <w:r>
        <w:t xml:space="preserve">Half the data set is choosen to create the model and other half is for validation. Seed is set to 67 for consistent results.</w:t>
      </w:r>
      <w:r>
        <w:t xml:space="preserve"> </w:t>
      </w:r>
      <w:r>
        <w:t xml:space="preserve">We used stepwise regression with function stepAIC with 12 variables which checks which variables have an Akaike’s Information Criterion(AIC) lower than the threshold AIC.</w:t>
      </w:r>
      <w:r>
        <w:t xml:space="preserve"> </w:t>
      </w:r>
      <w:r>
        <w:t xml:space="preserve">X4 is ignored since only 6% of the data set has X4 at 1.</w:t>
      </w:r>
    </w:p>
    <w:p>
      <w:pPr>
        <w:pStyle w:val="BodyText"/>
      </w:pPr>
      <w:r>
        <w:t xml:space="preserve">The resulting model is Y ~ X2 + X5 + X6 + X8 + X9 + X10 + X11 + X12 + X13.</w:t>
      </w:r>
    </w:p>
    <w:p>
      <w:pPr>
        <w:pStyle w:val="Heading1"/>
      </w:pPr>
      <w:bookmarkStart w:id="26" w:name="model-validation"/>
      <w:bookmarkEnd w:id="26"/>
      <w:r>
        <w:t xml:space="preserve">Model validation</w:t>
      </w:r>
    </w:p>
    <w:p>
      <w:pPr>
        <w:pStyle w:val="FirstParagraph"/>
      </w:pPr>
      <w:r>
        <w:t xml:space="preserve">The remaining 50% of the data set is used for validation. We checked the difference between the Mean Square Prediction Error(MSPE) and the Mean Square Residual(MSRes).</w:t>
      </w:r>
    </w:p>
    <w:p>
      <w:pPr>
        <w:pStyle w:val="BodyText"/>
      </w:pPr>
      <w:r>
        <w:t xml:space="preserve">We got 23.217 as the MSPE and 22.251 for the MSRes. The difference(0.966) is fairly close so we can validate this model</w:t>
      </w:r>
    </w:p>
    <w:p>
      <w:pPr>
        <w:pStyle w:val="Heading1"/>
      </w:pPr>
      <w:bookmarkStart w:id="27" w:name="model-diagnostics"/>
      <w:bookmarkEnd w:id="27"/>
      <w:r>
        <w:t xml:space="preserve">Model diagnostics</w:t>
      </w:r>
    </w:p>
    <w:p>
      <w:pPr>
        <w:pStyle w:val="Heading2"/>
      </w:pPr>
      <w:bookmarkStart w:id="28" w:name="residuals-vs.-fitted-values"/>
      <w:bookmarkEnd w:id="28"/>
      <w:r>
        <w:t xml:space="preserve">Residuals Vs. Fitted Values</w:t>
      </w:r>
    </w:p>
    <w:p>
      <w:pPr>
        <w:pStyle w:val="FirstParagraph"/>
      </w:pPr>
      <w:r>
        <w:drawing>
          <wp:inline>
            <wp:extent cx="4620126" cy="3696101"/>
            <wp:effectExtent b="0" l="0" r="0" t="0"/>
            <wp:docPr descr="" title="" id="1" name="Picture"/>
            <a:graphic>
              <a:graphicData uri="http://schemas.openxmlformats.org/drawingml/2006/picture">
                <pic:pic>
                  <pic:nvPicPr>
                    <pic:cNvPr descr="STAC67project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vs Fitted plot shows a random spread points therefore it indicates a proper functional form.</w:t>
      </w:r>
    </w:p>
    <w:p>
      <w:pPr>
        <w:pStyle w:val="Heading2"/>
      </w:pPr>
      <w:bookmarkStart w:id="30" w:name="normal-q-q-plot"/>
      <w:bookmarkEnd w:id="30"/>
      <w:r>
        <w:t xml:space="preserve">Normal Q-Q Plot</w:t>
      </w:r>
    </w:p>
    <w:p>
      <w:pPr>
        <w:pStyle w:val="FirstParagraph"/>
      </w:pPr>
      <w:r>
        <w:drawing>
          <wp:inline>
            <wp:extent cx="4620126" cy="3696101"/>
            <wp:effectExtent b="0" l="0" r="0" t="0"/>
            <wp:docPr descr="" title="" id="1" name="Picture"/>
            <a:graphic>
              <a:graphicData uri="http://schemas.openxmlformats.org/drawingml/2006/picture">
                <pic:pic>
                  <pic:nvPicPr>
                    <pic:cNvPr descr="STAC67project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normal Q-Q plot shows that the errors are normally distributed. Most of the residuals follow the straight line but there are many residuals off the line towards the ends.</w:t>
      </w:r>
      <w:r>
        <w:t xml:space="preserve"> </w:t>
      </w:r>
      <w:r>
        <w:t xml:space="preserve">There are three noteworthy points of 369, 373, and 372. Since most of the residuals are along the line, there is no indication that normality is violated.</w:t>
      </w:r>
    </w:p>
    <w:p>
      <w:pPr>
        <w:pStyle w:val="Heading2"/>
      </w:pPr>
      <w:bookmarkStart w:id="32" w:name="scale-location"/>
      <w:bookmarkEnd w:id="32"/>
      <w:r>
        <w:t xml:space="preserve">Scale-Location</w:t>
      </w:r>
    </w:p>
    <w:p>
      <w:pPr>
        <w:pStyle w:val="FirstParagraph"/>
      </w:pPr>
      <w:r>
        <w:drawing>
          <wp:inline>
            <wp:extent cx="4620126" cy="3696101"/>
            <wp:effectExtent b="0" l="0" r="0" t="0"/>
            <wp:docPr descr="" title="" id="1" name="Picture"/>
            <a:graphic>
              <a:graphicData uri="http://schemas.openxmlformats.org/drawingml/2006/picture">
                <pic:pic>
                  <pic:nvPicPr>
                    <pic:cNvPr descr="STAC67project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outlying-y-observations"/>
      <w:bookmarkEnd w:id="34"/>
      <w:r>
        <w:t xml:space="preserve">Outlying Y observations</w:t>
      </w:r>
    </w:p>
    <w:p>
      <w:pPr>
        <w:pStyle w:val="FirstParagraph"/>
      </w:pPr>
      <w:r>
        <w:t xml:space="preserve">We found the threshold(t_crit) to be 3.925493. Using studentized deleted residuals we found that observations 369, 370, 372,and 373 above the threshold and therefore are the outlying Y observations.</w:t>
      </w:r>
    </w:p>
    <w:p>
      <w:pPr>
        <w:pStyle w:val="Heading2"/>
      </w:pPr>
      <w:bookmarkStart w:id="35" w:name="outlying-x-observations-leverage"/>
      <w:bookmarkEnd w:id="35"/>
      <w:r>
        <w:t xml:space="preserve">Outlying X observations (Leverage)</w:t>
      </w:r>
    </w:p>
    <w:p>
      <w:pPr>
        <w:pStyle w:val="FirstParagraph"/>
      </w:pPr>
      <w:r>
        <w:t xml:space="preserve">No leverage points is with guideline 2 which is Pii &gt; 0.5.</w:t>
      </w:r>
      <w:r>
        <w:t xml:space="preserve"> </w:t>
      </w:r>
      <w:r>
        <w:t xml:space="preserve">With the guideline Pii &gt; 2*p_prime/n there are 46 leverage points.</w:t>
      </w:r>
    </w:p>
    <w:p>
      <w:pPr>
        <w:pStyle w:val="BodyText"/>
      </w:pPr>
      <w:r>
        <w:t xml:space="preserve">[9, 49, 55, 103, 142, 143, 144, 145, 146, 147, 148, 149 151, 152, 153, 154, 155, 156, 157, 160, 204, 205, 254, 258, 291, 292, 293, 352, 353, 354, 355, 356, 365, 366, 368, 369, 375, 411, 413, 415, 425, 489, 490, 491, 492, 493]</w:t>
      </w:r>
    </w:p>
    <w:p>
      <w:pPr>
        <w:pStyle w:val="Heading2"/>
      </w:pPr>
      <w:bookmarkStart w:id="36" w:name="influence"/>
      <w:bookmarkEnd w:id="36"/>
      <w:r>
        <w:t xml:space="preserve">Influence</w:t>
      </w:r>
    </w:p>
    <w:p>
      <w:pPr>
        <w:pStyle w:val="FirstParagraph"/>
      </w:pPr>
      <w:r>
        <w:drawing>
          <wp:inline>
            <wp:extent cx="4620126" cy="3696101"/>
            <wp:effectExtent b="0" l="0" r="0" t="0"/>
            <wp:docPr descr="" title="" id="1" name="Picture"/>
            <a:graphic>
              <a:graphicData uri="http://schemas.openxmlformats.org/drawingml/2006/picture">
                <pic:pic>
                  <pic:nvPicPr>
                    <pic:cNvPr descr="STAC67project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366 2.965550 0.09222629 0.08796623</w:t>
      </w:r>
      <w:r>
        <w:br w:type="textWrapping"/>
      </w:r>
      <w:r>
        <w:rPr>
          <w:rStyle w:val="VerbatimChar"/>
        </w:rPr>
        <w:t xml:space="preserve">## 369 5.815164 0.05489718 0.18423487</w:t>
      </w:r>
      <w:r>
        <w:br w:type="textWrapping"/>
      </w:r>
      <w:r>
        <w:rPr>
          <w:rStyle w:val="VerbatimChar"/>
        </w:rPr>
        <w:t xml:space="preserve">## 373 5.747572 0.02022483 0.06405406</w:t>
      </w:r>
      <w:r>
        <w:br w:type="textWrapping"/>
      </w:r>
      <w:r>
        <w:rPr>
          <w:rStyle w:val="VerbatimChar"/>
        </w:rPr>
        <w:t xml:space="preserve">## 491 1.131307 0.07996003 0.01111687</w:t>
      </w:r>
    </w:p>
    <w:p>
      <w:pPr>
        <w:pStyle w:val="FirstParagraph"/>
      </w:pPr>
      <w:r>
        <w:t xml:space="preserve">There is only one data point that has a DFFITS greater than 1 which is 369.</w:t>
      </w:r>
    </w:p>
    <w:p>
      <w:pPr>
        <w:pStyle w:val="BodyText"/>
      </w:pPr>
      <w:r>
        <w:t xml:space="preserve">There are no observations with a Cooks Distance greater than the 20th percentile of F(10,496) = 0.6168.</w:t>
      </w:r>
    </w:p>
    <w:p>
      <w:pPr>
        <w:pStyle w:val="BodyText"/>
      </w:pPr>
      <w:r>
        <w:t xml:space="preserve">There are no observations with a DFBETAS greater than 1.</w:t>
      </w:r>
      <w:r>
        <w:t xml:space="preserve"> </w:t>
      </w:r>
      <w:r>
        <w:drawing>
          <wp:inline>
            <wp:extent cx="4620126" cy="3696101"/>
            <wp:effectExtent b="0" l="0" r="0" t="0"/>
            <wp:docPr descr="" title="" id="1" name="Picture"/>
            <a:graphic>
              <a:graphicData uri="http://schemas.openxmlformats.org/drawingml/2006/picture">
                <pic:pic>
                  <pic:nvPicPr>
                    <pic:cNvPr descr="STAC67project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9" w:name="references"/>
      <w:bookmarkEnd w:id="39"/>
      <w:r>
        <w:t xml:space="preserve">References</w:t>
      </w:r>
    </w:p>
    <w:p>
      <w:pPr>
        <w:pStyle w:val="FirstParagraph"/>
      </w:pPr>
      <w:r>
        <w:t xml:space="preserve">Olsen, S. (2018, October 22). Home Buyers Need 7.2 Years to Save Down Payments â 1.5 Years More Than in 1988. Retrieved from</w:t>
      </w:r>
      <w:r>
        <w:t xml:space="preserve"> </w:t>
      </w:r>
      <w:hyperlink r:id="rId40">
        <w:r>
          <w:rPr>
            <w:rStyle w:val="Hyperlink"/>
          </w:rPr>
          <w:t xml:space="preserve">https://www.zillow.com/research/how-many-years-down-payment-21734/</w:t>
        </w:r>
      </w:hyperlink>
    </w:p>
    <w:p>
      <w:pPr>
        <w:pStyle w:val="BodyText"/>
      </w:pPr>
      <w:r>
        <w:t xml:space="preserve">Byloos, M. (2016). Research Crime Rates and the Impact on Home Values | Homes.com. Retrieved from</w:t>
      </w:r>
      <w:r>
        <w:t xml:space="preserve"> </w:t>
      </w:r>
      <w:hyperlink r:id="rId41">
        <w:r>
          <w:rPr>
            <w:rStyle w:val="Hyperlink"/>
          </w:rPr>
          <w:t xml:space="preserve">https://www.homes.com/blog/2016/05/secure-new-home-research-crime-rates-impact-home-value/</w:t>
        </w:r>
      </w:hyperlink>
    </w:p>
    <w:p>
      <w:pPr>
        <w:pStyle w:val="BodyText"/>
      </w:pPr>
      <w:r>
        <w:t xml:space="preserve">Matthews, J. (2006). Retail Proximity and Residential Values or Do Nearby Stores Really Run Down Property Values?. SSRN Electronic Journal. doi: 10.2139/ssrn.989049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f37b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41" Target="https://www.homes.com/blog/2016/05/secure-new-home-research-crime-rates-impact-home-value/" TargetMode="External" /><Relationship Type="http://schemas.openxmlformats.org/officeDocument/2006/relationships/hyperlink" Id="rId40" Target="https://www.zillow.com/research/how-many-years-down-payment-21734/" TargetMode="External" /></Relationships>
</file>

<file path=word/_rels/footnotes.xml.rels><?xml version="1.0" encoding="UTF-8"?>
<Relationships xmlns="http://schemas.openxmlformats.org/package/2006/relationships"><Relationship Type="http://schemas.openxmlformats.org/officeDocument/2006/relationships/hyperlink" Id="rId41" Target="https://www.homes.com/blog/2016/05/secure-new-home-research-crime-rates-impact-home-value/" TargetMode="External" /><Relationship Type="http://schemas.openxmlformats.org/officeDocument/2006/relationships/hyperlink" Id="rId40" Target="https://www.zillow.com/research/how-many-years-down-payment-217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Predictive Model For The Median Value Of Homes In Boston</dc:title>
  <dc:creator>Group 18 / Abbas Rai 1003957104 / Calvin Chan 999940364 / Huan Wang 1001707049/ Ruotong Zheng 1002586659/ Andrey Zhuravlev</dc:creator>
  <dcterms:created xsi:type="dcterms:W3CDTF">2019-04-03T03:56:40Z</dcterms:created>
  <dcterms:modified xsi:type="dcterms:W3CDTF">2019-04-03T03:56:40Z</dcterms:modified>
</cp:coreProperties>
</file>