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color w:val="0F172A"/>
          <w:sz w:val="42"/>
        </w:rPr>
        <w:t>联想智慧零售系统商业化开发进度表 V1.0</w:t>
      </w:r>
    </w:p>
    <w:p>
      <w:pPr>
        <w:spacing w:after="160"/>
      </w:pPr>
      <w:r>
        <w:rPr>
          <w:rFonts w:ascii="Arial" w:hAnsi="Arial" w:eastAsia="Microsoft YaHei"/>
          <w:b/>
          <w:sz w:val="21"/>
        </w:rPr>
        <w:t>更新时间：</w:t>
      </w:r>
      <w:r>
        <w:rPr>
          <w:rFonts w:ascii="Arial" w:hAnsi="Arial" w:eastAsia="Microsoft YaHei"/>
          <w:sz w:val="21"/>
        </w:rPr>
        <w:t xml:space="preserve">2026-05-24    </w:t>
      </w:r>
      <w:r>
        <w:rPr>
          <w:rFonts w:ascii="Arial" w:hAnsi="Arial" w:eastAsia="Microsoft YaHei"/>
          <w:b/>
          <w:sz w:val="21"/>
        </w:rPr>
        <w:t>目标版本：</w:t>
      </w:r>
      <w:r>
        <w:rPr>
          <w:rFonts w:ascii="Arial" w:hAnsi="Arial" w:eastAsia="Microsoft YaHei"/>
          <w:sz w:val="21"/>
        </w:rPr>
        <w:t xml:space="preserve">70分可卖试点版    </w:t>
      </w:r>
      <w:r>
        <w:rPr>
          <w:rFonts w:ascii="Arial" w:hAnsi="Arial" w:eastAsia="Microsoft YaHei"/>
          <w:b/>
          <w:sz w:val="21"/>
        </w:rPr>
        <w:t>优先范围：</w:t>
      </w:r>
      <w:r>
        <w:rPr>
          <w:rFonts w:ascii="Arial" w:hAnsi="Arial" w:eastAsia="Microsoft YaHei"/>
          <w:sz w:val="21"/>
        </w:rPr>
        <w:t xml:space="preserve">库存 / 出入库 / 营销 / 价保 / 教育补 / PO    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94"/>
            <w:shd w:fill="E8F3FF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color w:val="1C3FAA"/>
                <w:sz w:val="21"/>
              </w:rPr>
              <w:t>本阶段不再按“继续补功能”推进，而是按“可售卖、可实施、可交付、可续费、可审计”推进。先把库存、出入库、营销三条主链做成试点版商品。</w:t>
            </w:r>
          </w:p>
        </w:tc>
      </w:tr>
    </w:tbl>
    <w:p/>
    <w:p>
      <w:pPr>
        <w:pStyle w:val="Heading1"/>
      </w:pPr>
      <w:r>
        <w:t>一、当前基线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当前商业化成熟度基线：33/100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当前可售卖口径：可卖试点定制版，不可按成熟标准 SaaS 大规模售卖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当前阶段目标：先做到 70/100，形成 1-3 家门店可交付试点版</w:t>
      </w:r>
    </w:p>
    <w:p>
      <w:pPr>
        <w:pStyle w:val="Heading1"/>
      </w:pPr>
      <w:r>
        <w:t>二、本阶段只做什么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库存、SN、销售出库、采购入库、其他出库统一切到 SQL 主链。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营销活动、价保、教育补、PO 统一做成当前态、历史态、审计态三层结构。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补齐最小商业化交付能力：租户/门店、账号/角色、初始化导入、备份恢复、最小 API 文档、试点版验收清单。</w:t>
      </w:r>
    </w:p>
    <w:p>
      <w:pPr>
        <w:pStyle w:val="Heading1"/>
      </w:pPr>
      <w:r>
        <w:t>三、本阶段明确不做什么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不先做全行业通用 ERP。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不先做复杂总部分析与授权计费系统。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• 不把静态快照展示包装成商业化完成。</w:t>
      </w:r>
    </w:p>
    <w:p>
      <w:pPr>
        <w:pStyle w:val="Heading1"/>
      </w:pPr>
      <w:r>
        <w:t>四、六周进度表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584"/>
        <w:gridCol w:w="2736"/>
        <w:gridCol w:w="2160"/>
        <w:gridCol w:w="2160"/>
        <w:gridCol w:w="1008"/>
      </w:tblGrid>
      <w:tr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本周目标</w:t>
            </w:r>
          </w:p>
        </w:tc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重点</w:t>
            </w:r>
          </w:p>
        </w:tc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验收标准</w:t>
            </w:r>
          </w:p>
        </w:tc>
        <w:tc>
          <w:tcPr>
            <w:tcW w:type="dxa" w:w="1666"/>
            <w:shd w:fill="123B6D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目标分值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第1周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锁定商业化数据底座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盘清库存、SN、销售出库、采购入库、其他出库、营销活动、价保、教育补、PO 的正式表、历史表、审计表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商业化数据模型清单、字段口径表、JSON退场清单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三条主链的数据流、主表、历史表、快照缓存边界全部说清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33 -&gt; 40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第2周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建立租户/门店/账号骨架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所有核心业务表补 tenant_id/store_id；建立 user、role、permission 基础结构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租户与门店基础表、权限骨架、核心表结构升级清单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新数据写入具备租户/门店维度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40 -&gt; 46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第3周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收口库存与出入库 SQL 主链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商品库存、SN、库存流水、销售出库、采购入库、其他出库统一走 SQL 主链；静态 JSON 改为镜像缓存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库存主链切换说明、出入库主链切换说明、同步校验结果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前端主要库存/出入库页面优先读 API/SQL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46 -&gt; 55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第4周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收口营销 / 价保 / 活动历史链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建立营销活动历史、价格历史、链接历史、价保历史、教育补历史、PO历史与操作日志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营销与价保历史表、审计日志表、来源留痕规则文档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任意一笔活动或价保记录可追到销售日证据和变更日志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55 -&gt; 61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第5周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补最小交付能力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完成商品/SKU/SN初始化导入、门店开通流程、接口配置骨架、每日备份与恢复脚本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初始化导入工具、门店初始化SOP、备份恢复脚本、归档目录规范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新门店可以完成基础初始化和恢复演练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61 -&gt; 67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第6周</w:t>
            </w:r>
          </w:p>
        </w:tc>
        <w:tc>
          <w:tcPr>
            <w:tcW w:type="dxa" w:w="1584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试点版封版验收</w:t>
            </w:r>
          </w:p>
        </w:tc>
        <w:tc>
          <w:tcPr>
            <w:tcW w:type="dxa" w:w="273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对库存、出入库、营销三条主链做试点验收；补最小API文档、报价清单、实施边界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试点版验收表、最小API文档、模块报价表、实施清单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达到70/100，可按试点项目交付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67 -&gt; 70</w:t>
            </w:r>
          </w:p>
        </w:tc>
      </w:tr>
    </w:tbl>
    <w:p/>
    <w:p>
      <w:pPr>
        <w:pStyle w:val="Heading1"/>
      </w:pPr>
      <w:r>
        <w:t>五、三条主链完成定义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1F5A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主链</w:t>
            </w:r>
          </w:p>
        </w:tc>
        <w:tc>
          <w:tcPr>
            <w:tcW w:type="dxa" w:w="3331"/>
            <w:shd w:fill="1F5A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当前问题</w:t>
            </w:r>
          </w:p>
        </w:tc>
        <w:tc>
          <w:tcPr>
            <w:tcW w:type="dxa" w:w="3331"/>
            <w:shd w:fill="1F5A4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试点版完成定义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库存 / SN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仍存在快照过渡、手工补口径、部分页面静态读链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库存、SN、库存台账、库存异常全部从 SQL/API 出；静态 JSON 仅保留镜像缓存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出入库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销售/采购/其他出库与库存真值还没完全统一到商业主链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销售出库、采购入库、其他出库、库存流水、SN库存订单能同链追溯，并能做一致性审计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营销 / 价保 / 活动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活动、教育补、PO、价保仍有展示层与存储层混用问题</w:t>
            </w:r>
          </w:p>
        </w:tc>
        <w:tc>
          <w:tcPr>
            <w:tcW w:type="dxa" w:w="333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每条活动和价保都有历史冻结、来源留痕、销售日固化、可审计变更记录</w:t>
            </w:r>
          </w:p>
        </w:tc>
      </w:tr>
    </w:tbl>
    <w:p/>
    <w:p>
      <w:pPr>
        <w:pStyle w:val="Heading1"/>
      </w:pPr>
      <w:r>
        <w:t>六、执行看板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所属主链</w:t>
            </w:r>
          </w:p>
        </w:tc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本轮输出</w:t>
            </w:r>
          </w:p>
        </w:tc>
        <w:tc>
          <w:tcPr>
            <w:tcW w:type="dxa" w:w="1666"/>
            <w:shd w:fill="374151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阻塞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输出商业化核心表清单与字段口径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底座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数据模型文档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A2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输出 JSON 退场与 snapshot_cache 保留清单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底座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读写边界文档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建立 tenant/store/user/role 基础表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商业化底座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表结构与初始化脚本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B2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核心业务表补 tenant_id/store_id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商业化底座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迁移方案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库存 / SN 主链切到 SQL/API 优先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库存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API 主读链切换结果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需核对现有过渡页面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C2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销售/采购/其他出库统一收口到 SQL 主链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出入库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出入库统一写链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需核对当前导入器与表结构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建立营销活动历史表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营销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活动历史结构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需梳理现有营销快照字段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D2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建立价保 / 教育补 / PO 历史表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营销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历史冻结结构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需统一销售日固化口径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E1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完成初始化导入工具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交付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商品/SKU/SN 导入工具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</w:tr>
      <w:tr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输出最小 API 文档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商业化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待开始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API 文档 V0.1</w:t>
            </w:r>
          </w:p>
        </w:tc>
        <w:tc>
          <w:tcPr>
            <w:tcW w:type="dxa" w:w="1666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依赖主链字段稳定</w:t>
            </w:r>
          </w:p>
        </w:tc>
      </w:tr>
    </w:tbl>
    <w:p/>
    <w:p>
      <w:pPr>
        <w:pStyle w:val="Heading1"/>
      </w:pPr>
      <w:r>
        <w:t>七、下一步立即执行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1. 先输出商业化核心数据模型清单，作为第1周正式产物。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2. 紧接着输出库存 / 出入库 / 营销三条主链的 SQL主表、历史表、审计表结构草案。</w:t>
      </w:r>
    </w:p>
    <w:p>
      <w:pPr>
        <w:spacing w:after="40"/>
        <w:ind w:left="216" w:hanging="216"/>
      </w:pPr>
      <w:r>
        <w:rPr>
          <w:rFonts w:ascii="Arial" w:hAnsi="Arial" w:eastAsia="Microsoft YaHei"/>
          <w:sz w:val="21"/>
        </w:rPr>
        <w:t>3. 然后按这个进度表开始逐项落库、改 API、收口前端读链。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