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rFonts w:ascii="Times New Roman" w:hAnsi="Times New Roman"/>
        </w:rPr>
      </w:pPr>
      <w:r>
        <w:rPr>
          <w:rFonts w:ascii="Times New Roman" w:hAnsi="Times New Roman"/>
          <w:b/>
          <w:bCs/>
          <w:sz w:val="32"/>
          <w:szCs w:val="32"/>
        </w:rPr>
        <w:t>SECURITY AWARENESS CAMPAIGN PLAN</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b/>
          <w:bCs/>
          <w:sz w:val="24"/>
          <w:szCs w:val="24"/>
          <w:u w:val="single"/>
        </w:rPr>
        <w:t>Internship Technical Report – Week 4</w:t>
      </w:r>
    </w:p>
    <w:p>
      <w:pPr>
        <w:pStyle w:val="Normal"/>
        <w:bidi w:val="0"/>
        <w:spacing w:lineRule="auto" w:line="240"/>
        <w:jc w:val="end"/>
        <w:rPr>
          <w:rFonts w:ascii="Times New Roman" w:hAnsi="Times New Roman"/>
        </w:rPr>
      </w:pPr>
      <w:r>
        <w:rPr>
          <w:rFonts w:ascii="Times New Roman" w:hAnsi="Times New Roman"/>
        </w:rPr>
      </w:r>
    </w:p>
    <w:p>
      <w:pPr>
        <w:pStyle w:val="Normal"/>
        <w:bidi w:val="0"/>
        <w:spacing w:lineRule="auto" w:line="240"/>
        <w:jc w:val="end"/>
        <w:rPr>
          <w:rFonts w:ascii="Times New Roman" w:hAnsi="Times New Roman"/>
        </w:rPr>
      </w:pPr>
      <w:r>
        <w:rPr>
          <w:rFonts w:ascii="Times New Roman" w:hAnsi="Times New Roman"/>
          <w:sz w:val="22"/>
          <w:szCs w:val="22"/>
        </w:rPr>
        <w:t>Author: Aditya Sharma</w:t>
      </w:r>
    </w:p>
    <w:p>
      <w:pPr>
        <w:pStyle w:val="Normal"/>
        <w:bidi w:val="0"/>
        <w:spacing w:lineRule="auto" w:line="240"/>
        <w:jc w:val="end"/>
        <w:rPr>
          <w:rFonts w:ascii="Times New Roman" w:hAnsi="Times New Roman"/>
        </w:rPr>
      </w:pPr>
      <w:r>
        <w:rPr>
          <w:rFonts w:ascii="Times New Roman" w:hAnsi="Times New Roman"/>
          <w:sz w:val="22"/>
          <w:szCs w:val="22"/>
        </w:rPr>
        <w:t>Domain: Cyber Security Analyst</w:t>
      </w:r>
    </w:p>
    <w:p>
      <w:pPr>
        <w:pStyle w:val="Normal"/>
        <w:bidi w:val="0"/>
        <w:spacing w:lineRule="auto" w:line="240"/>
        <w:jc w:val="end"/>
        <w:rPr>
          <w:rFonts w:ascii="Times New Roman" w:hAnsi="Times New Roman"/>
        </w:rPr>
      </w:pPr>
      <w:r>
        <w:rPr>
          <w:rFonts w:ascii="Times New Roman" w:hAnsi="Times New Roman"/>
          <w:sz w:val="22"/>
          <w:szCs w:val="22"/>
        </w:rPr>
        <w:t>Submission Date: 11 September 2026</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1. EXECUTIVE SUMMARY</w:t>
      </w:r>
    </w:p>
    <w:p>
      <w:pPr>
        <w:pStyle w:val="Normal"/>
        <w:bidi w:val="0"/>
        <w:spacing w:lineRule="auto" w:line="240"/>
        <w:jc w:val="start"/>
        <w:rPr>
          <w:rFonts w:ascii="Times New Roman" w:hAnsi="Times New Roman"/>
        </w:rPr>
      </w:pPr>
      <w:r>
        <w:rPr>
          <w:rFonts w:ascii="Times New Roman" w:hAnsi="Times New Roman"/>
        </w:rPr>
      </w:r>
    </w:p>
    <w:p>
      <w:pPr>
        <w:pStyle w:val="Normal"/>
        <w:spacing w:lineRule="auto" w:line="276" w:before="0" w:after="140"/>
        <w:rPr>
          <w:rFonts w:ascii="Times New Roman" w:hAnsi="Times New Roman"/>
        </w:rPr>
      </w:pPr>
      <w:r>
        <w:rPr>
          <w:rFonts w:ascii="Times New Roman" w:hAnsi="Times New Roman"/>
          <w:sz w:val="20"/>
          <w:szCs w:val="20"/>
        </w:rPr>
        <w:t>This plan designs a 12-month Security Awareness campaign, branded “Nimbus Shield,” for Nimbus Retail Solutions, a hypothetical mid-sized e-commerce retailer with approximately 450 employees. It builds directly on the Week 3 Security Policy Review, which scored the organization's existing Security Awareness Training domain at 1.5 out of 5.0 maturity — a single onboarding session with no annual refresh, no simulated phishing, and no role-specific content — and recommended annual refresher training, quarterly phishing simulations, and role-specific modules for high-risk teams.</w:t>
      </w:r>
    </w:p>
    <w:p>
      <w:pPr>
        <w:pStyle w:val="Normal"/>
        <w:spacing w:lineRule="auto" w:line="276" w:before="0" w:after="140"/>
        <w:rPr>
          <w:rFonts w:ascii="Times New Roman" w:hAnsi="Times New Roman"/>
        </w:rPr>
      </w:pPr>
      <w:r>
        <w:rPr>
          <w:rFonts w:ascii="Times New Roman" w:hAnsi="Times New Roman"/>
          <w:sz w:val="20"/>
          <w:szCs w:val="20"/>
        </w:rPr>
        <w:t>The case for this investment is not abstract. Verizon's 2025 Data Breach Investigations Report (DBIR), which analyzed 22,052 security incidents and 12,195 confirmed breaches, found that 60% of breaches involved a human element — 32% credential abuse, 23% social engineering, and 14% human error. IBM's Cost of a Data Breach Report 2025 separately found phishing to be the single most common initial attack vector (16% of breaches), at an average cost of $4.8 million per breach. Nimbus's own history includes one confirmed phishing-driven account compromise in the past 12 months (noted in the Week 3 review), making this a demonstrated risk, not a hypothetical one.</w:t>
      </w:r>
    </w:p>
    <w:p>
      <w:pPr>
        <w:pStyle w:val="Normal"/>
        <w:spacing w:lineRule="auto" w:line="276" w:before="0" w:after="140"/>
        <w:rPr>
          <w:rFonts w:ascii="Times New Roman" w:hAnsi="Times New Roman"/>
        </w:rPr>
      </w:pPr>
      <w:r>
        <w:rPr>
          <w:rFonts w:ascii="Times New Roman" w:hAnsi="Times New Roman"/>
          <w:sz w:val="20"/>
          <w:szCs w:val="20"/>
        </w:rPr>
        <w:t>The program targets three measurable outcomes over 12 months: reducing the organization's phishing susceptibility from an untrained industry baseline of roughly 33% (per KnowBe4's 2025 Phishing by Industry Benchmarking Report) to under 5%; raising the phishing-report rate from near-zero to above 25%; and achieving 100% completion of annual refresher training across all 450 employees. Section 3 sets out the full KPI table, Section 8 lays out the month-by-month calendar, and Section 9 estimates the budget required.</w:t>
      </w:r>
    </w:p>
    <w:p>
      <w:pPr>
        <w:pStyle w:val="Normal"/>
        <w:bidi w:val="0"/>
        <w:spacing w:lineRule="auto" w:line="240" w:before="0" w:after="0"/>
        <w:jc w:val="start"/>
        <w:rPr>
          <w:rFonts w:ascii="Times New Roman" w:hAnsi="Times New Roman"/>
        </w:rPr>
      </w:pPr>
      <w:r>
        <w:rPr>
          <w:rFonts w:ascii="Times New Roman" w:hAnsi="Times New Roman"/>
          <w:sz w:val="28"/>
          <w:szCs w:val="28"/>
        </w:rPr>
        <w:t>2. WHY SECURITY AWARENESS MATTERS: THE EVIDENCE BASE</w:t>
      </w:r>
    </w:p>
    <w:p>
      <w:pPr>
        <w:pStyle w:val="Normal"/>
        <w:bidi w:val="0"/>
        <w:spacing w:lineRule="atLeast" w:line="288" w:before="0" w:after="0"/>
        <w:jc w:val="start"/>
        <w:rPr>
          <w:rFonts w:ascii="Times New Roman" w:hAnsi="Times New Roman"/>
          <w:sz w:val="28"/>
          <w:szCs w:val="28"/>
        </w:rPr>
      </w:pPr>
      <w:r>
        <w:rPr>
          <w:rFonts w:ascii="Times New Roman" w:hAnsi="Times New Roman"/>
          <w:sz w:val="28"/>
          <w:szCs w:val="28"/>
        </w:rPr>
      </w:r>
    </w:p>
    <w:p>
      <w:pPr>
        <w:pStyle w:val="Normal"/>
        <w:spacing w:lineRule="auto" w:line="276" w:before="0" w:after="140"/>
        <w:rPr>
          <w:rFonts w:ascii="Times New Roman" w:hAnsi="Times New Roman"/>
        </w:rPr>
      </w:pPr>
      <w:r>
        <w:rPr>
          <w:rFonts w:ascii="Times New Roman" w:hAnsi="Times New Roman"/>
          <w:sz w:val="20"/>
          <w:szCs w:val="20"/>
        </w:rPr>
        <w:t>This section grounds the campaign in current threat data and real-world incidents, rather than treating “users are the weakest link” as a truism. Each data point below is tied to a specific design decision made later in this plan.</w:t>
      </w:r>
      <w:r>
        <w:rPr>
          <w:rFonts w:ascii="Times New Roman" w:hAnsi="Times New Roman"/>
          <w:sz w:val="22"/>
          <w:szCs w:val="22"/>
        </w:rPr>
        <w:br/>
      </w:r>
      <w:r>
        <w:rPr>
          <w:rFonts w:ascii="Times New Roman" w:hAnsi="Times New Roman"/>
          <w:i w:val="false"/>
          <w:iCs w:val="false"/>
          <w:sz w:val="24"/>
          <w:szCs w:val="24"/>
          <w:u w:val="single"/>
        </w:rPr>
        <w:t>2.1 Current Threat Data</w:t>
      </w:r>
    </w:p>
    <w:tbl>
      <w:tblPr>
        <w:tblW w:w="9600" w:type="dxa"/>
        <w:jc w:val="start"/>
        <w:tblInd w:w="0" w:type="dxa"/>
        <w:tblLayout w:type="fixed"/>
        <w:tblCellMar>
          <w:top w:w="58" w:type="dxa"/>
          <w:start w:w="58" w:type="dxa"/>
          <w:bottom w:w="58" w:type="dxa"/>
          <w:end w:w="58" w:type="dxa"/>
        </w:tblCellMar>
      </w:tblPr>
      <w:tblGrid>
        <w:gridCol w:w="4298"/>
        <w:gridCol w:w="2602"/>
        <w:gridCol w:w="2700"/>
      </w:tblGrid>
      <w:tr>
        <w:trPr>
          <w:tblHeader w:val="true"/>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Finding</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Figure</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Source</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Breaches involving a human element</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60%</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Verizon 2025 DBIR</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Human-element breaches caused by social engineering</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23%</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Verizon 2025 DBIR</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Human-element breaches caused by credential abuse</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32%</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Verizon 2025 DBIR</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Breaches where phishing was the initial attack vector</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16% (avg. cost $4.8M)</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IBM Cost of a Data Breach Report 2025</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Untrained employee phishing-simulation click rate (baseline)</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33.1%</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KnowBe4 2025 Phishing by Industry Benchmarking Report</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Click rate after 12 months of consistent training</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4.1% (≈86% reduction)</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KnowBe4 2025 Phishing by Industry Benchmarking Report</w:t>
            </w:r>
          </w:p>
        </w:tc>
      </w:tr>
      <w:tr>
        <w:trPr/>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Phishing emails that go unreported, even in low-click-rate organizations</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~90%</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Fortra 2025 Phishing Simulation Benchmark Report</w:t>
            </w:r>
          </w:p>
        </w:tc>
      </w:tr>
    </w:tbl>
    <w:p>
      <w:pPr>
        <w:pStyle w:val="Normal"/>
        <w:spacing w:lineRule="auto" w:line="276" w:before="57" w:after="57"/>
        <w:rPr>
          <w:rFonts w:ascii="Times New Roman" w:hAnsi="Times New Roman"/>
          <w:sz w:val="20"/>
          <w:szCs w:val="20"/>
        </w:rPr>
      </w:pPr>
      <w:r>
        <w:rPr>
          <w:rFonts w:ascii="Times New Roman" w:hAnsi="Times New Roman"/>
          <w:sz w:val="20"/>
          <w:szCs w:val="20"/>
        </w:rPr>
        <w:t>The Fortra finding is particularly important for how this campaign is designed: a low click rate alone does not mean a workforce is secure. Fortra's 2025 benchmark found organizations averaging a 5.4% click rate but with roughly 90% of phishing emails never reported — meaning employees who don't fall for an attack often still fail to flag it for the security team, leaving the organization blind to active campaigns. For that reason, this plan sets a report-rate KPI (Section 3) with equal weight to the click-rate KPI, not click-rate alone.</w:t>
      </w:r>
    </w:p>
    <w:p>
      <w:pPr>
        <w:pStyle w:val="Normal"/>
        <w:spacing w:lineRule="auto" w:line="276" w:before="57" w:after="57"/>
        <w:rPr>
          <w:rFonts w:ascii="Times New Roman" w:hAnsi="Times New Roman"/>
          <w:sz w:val="24"/>
          <w:szCs w:val="24"/>
        </w:rPr>
      </w:pPr>
      <w:r>
        <w:rPr>
          <w:rFonts w:ascii="Times New Roman" w:hAnsi="Times New Roman"/>
          <w:sz w:val="24"/>
          <w:szCs w:val="24"/>
          <w:u w:val="single"/>
        </w:rPr>
        <w:t>2.2 Real-World Case Studies</w:t>
      </w:r>
    </w:p>
    <w:p>
      <w:pPr>
        <w:pStyle w:val="Normal"/>
        <w:spacing w:lineRule="auto" w:line="276" w:before="0" w:after="140"/>
        <w:rPr>
          <w:rFonts w:ascii="Times New Roman" w:hAnsi="Times New Roman"/>
        </w:rPr>
      </w:pPr>
      <w:r>
        <w:rPr>
          <w:rFonts w:ascii="Times New Roman" w:hAnsi="Times New Roman"/>
          <w:sz w:val="20"/>
          <w:szCs w:val="20"/>
        </w:rPr>
        <w:t>The following five publicly reported incidents are used throughout the campaign's training content (Section 6) because each maps directly to a threat Nimbus faces given its workforce mix (Section 4).</w:t>
      </w:r>
    </w:p>
    <w:tbl>
      <w:tblPr>
        <w:tblW w:w="9600" w:type="dxa"/>
        <w:jc w:val="start"/>
        <w:tblInd w:w="0" w:type="dxa"/>
        <w:tblLayout w:type="fixed"/>
        <w:tblCellMar>
          <w:top w:w="58" w:type="dxa"/>
          <w:start w:w="58" w:type="dxa"/>
          <w:bottom w:w="58" w:type="dxa"/>
          <w:end w:w="58" w:type="dxa"/>
        </w:tblCellMar>
      </w:tblPr>
      <w:tblGrid>
        <w:gridCol w:w="2200"/>
        <w:gridCol w:w="5000"/>
        <w:gridCol w:w="2400"/>
      </w:tblGrid>
      <w:tr>
        <w:trPr>
          <w:tblHeader w:val="true"/>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Incident</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What Happened</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Training Relevance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Twitter, July 2020</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Attackers used phone-based spear-phishing (“vishing”) to trick employees into providing credentials for internal administrative tools, ultimately compromising roughly 130 high-profile accounts for a Bitcoin scam.</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Customer Support / any role that verifies identity or resets access by phone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Uber, September 2022</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An attacker purchased a contractor's credentials from the dark web, then bombarded them with repeated MFA push notifications and posed as IT support over chat until the contractor approved a login.</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IT/Engineering — MFA-fatigue recognition and “never approve a push you didn't request”</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Colonial Pipeline, May 2021</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Attackers gained initial network access using a single compromised VPN account password, reportedly reused from another, unrelated data breach, on an account without multi-factor authentication.</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All staff — password reuse and MFA enrollment</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Twilio, August 2022</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As part of the broader “0ktapus” campaign, attackers sent SMS text messages impersonating internal IT support to harvest employee login credentials via a fake login page.</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All staff — SMS/text-based phishing (“smishing”) recognition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Cross-industry BEC case (Rimasauskas fraud, prosecuted 2019)</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An attacker impersonated a hardware vendor and sent fraudulent invoices to two large technology companies' finance departments over several years, resulting in over $100 million in fraudulent payments before detection.</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Finance — payment-detail change verification and dual-approval controls</w:t>
            </w:r>
          </w:p>
        </w:tc>
      </w:tr>
    </w:tbl>
    <w:p>
      <w:pPr>
        <w:pStyle w:val="Normal"/>
        <w:spacing w:lineRule="auto" w:line="276" w:before="0" w:after="140"/>
        <w:rPr>
          <w:rFonts w:ascii="Times New Roman" w:hAnsi="Times New Roman"/>
          <w:sz w:val="20"/>
          <w:szCs w:val="20"/>
        </w:rPr>
      </w:pPr>
      <w:r>
        <w:rPr>
          <w:rFonts w:ascii="Times New Roman" w:hAnsi="Times New Roman"/>
          <w:sz w:val="20"/>
          <w:szCs w:val="20"/>
        </w:rPr>
      </w:r>
    </w:p>
    <w:p>
      <w:pPr>
        <w:pStyle w:val="Normal"/>
        <w:bidi w:val="0"/>
        <w:spacing w:lineRule="auto" w:line="240"/>
        <w:jc w:val="start"/>
        <w:rPr>
          <w:rFonts w:ascii="Times New Roman" w:hAnsi="Times New Roman"/>
        </w:rPr>
      </w:pPr>
      <w:r>
        <w:rPr>
          <w:rFonts w:ascii="Times New Roman" w:hAnsi="Times New Roman"/>
          <w:sz w:val="28"/>
          <w:szCs w:val="28"/>
        </w:rPr>
        <w:t>3. Program Goals &amp; KPIs</w:t>
      </w:r>
    </w:p>
    <w:tbl>
      <w:tblPr>
        <w:tblW w:w="9600" w:type="dxa"/>
        <w:jc w:val="start"/>
        <w:tblInd w:w="0" w:type="dxa"/>
        <w:tblLayout w:type="fixed"/>
        <w:tblCellMar>
          <w:top w:w="58" w:type="dxa"/>
          <w:start w:w="58" w:type="dxa"/>
          <w:bottom w:w="58" w:type="dxa"/>
          <w:end w:w="58" w:type="dxa"/>
        </w:tblCellMar>
      </w:tblPr>
      <w:tblGrid>
        <w:gridCol w:w="3000"/>
        <w:gridCol w:w="3000"/>
        <w:gridCol w:w="1500"/>
        <w:gridCol w:w="2100"/>
      </w:tblGrid>
      <w:tr>
        <w:trPr>
          <w:tblHeader w:val="true"/>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KPI</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Baseline (Pre-Program)</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90-Day Target</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0"/>
                <w:szCs w:val="20"/>
              </w:rPr>
              <w:t>12-Month Target</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Simulated phishing click rate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~33% (industry baseline; no prior simulations run)</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&lt; 12%</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&lt; 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Phishing report rate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Not measured (no reporting mechanism)</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&gt; 10%</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&gt; 25%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Annual refresher training completion</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0% (onboarding only, one-time)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50%</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100%</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Repeat-clicker rate (employees who click 2+ simulations)</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Not measured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&lt; 20%</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&lt; 10%</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Confirmed phishing-driven security incidents</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1 in past 12 months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0</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0</w:t>
            </w:r>
          </w:p>
        </w:tc>
      </w:tr>
    </w:tbl>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4. AUDIENCE SEGMENTATION &amp; TAILORED MESSAGING</w:t>
      </w:r>
    </w:p>
    <w:p>
      <w:pPr>
        <w:pStyle w:val="Normal"/>
        <w:spacing w:lineRule="auto" w:line="276" w:before="0" w:after="140"/>
        <w:rPr>
          <w:rFonts w:ascii="Times New Roman" w:hAnsi="Times New Roman"/>
          <w:sz w:val="20"/>
          <w:szCs w:val="20"/>
        </w:rPr>
      </w:pPr>
      <w:r>
        <w:rPr>
          <w:rFonts w:ascii="Times New Roman" w:hAnsi="Times New Roman"/>
          <w:sz w:val="20"/>
          <w:szCs w:val="20"/>
        </w:rPr>
        <w:t>A single, generic training module was one of the specific weaknesses identified in the Week 3 Security Policy Review. This plan instead tailors content to each of Nimbus's five workforce segments, based on the distinct threat each group faces.</w:t>
      </w:r>
    </w:p>
    <w:tbl>
      <w:tblPr>
        <w:tblW w:w="9700" w:type="dxa"/>
        <w:jc w:val="start"/>
        <w:tblInd w:w="0" w:type="dxa"/>
        <w:tblLayout w:type="fixed"/>
        <w:tblCellMar>
          <w:top w:w="58" w:type="dxa"/>
          <w:start w:w="58" w:type="dxa"/>
          <w:bottom w:w="58" w:type="dxa"/>
          <w:end w:w="58" w:type="dxa"/>
        </w:tblCellMar>
      </w:tblPr>
      <w:tblGrid>
        <w:gridCol w:w="1800"/>
        <w:gridCol w:w="3200"/>
        <w:gridCol w:w="4700"/>
      </w:tblGrid>
      <w:tr>
        <w:trPr>
          <w:tblHeader w:val="true"/>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1"/>
                <w:szCs w:val="21"/>
              </w:rPr>
              <w:t>Segment</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1"/>
                <w:szCs w:val="21"/>
              </w:rPr>
              <w:t>Primary Risk</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b/>
                <w:bCs/>
                <w:sz w:val="21"/>
                <w:szCs w:val="21"/>
              </w:rPr>
              <w:t>Tailored Focus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Finance</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Business email compromise / invoice fraud</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Verify any change to vendor payment details via a callback to a known number; dual-approval required for wire/bank-detail changes (see Rimasauskas case study)</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Customer Support</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Vishing / social-engineered account resets</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Never bypass identity verification steps under time pressure or a caller's urgency (see Twitter case study)</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Warehouse &amp; Fulfillment</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Physical social engineering, tailgating, unattended terminals</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Badge discipline, escorting visitors, locking shared terminals between shifts (ties to Week 3 Physical Security findings)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Marketing</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Brand-impersonation phishing, SaaS credential reuse</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Recognize spoofed vendor/ad-platform login pages; use unique passwords per SaaS tool</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Engineering / IT</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MFA-fatigue attacks, credential-stuffing, spear-phishing of privileged accounts</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Never approve an unexpected MFA push; report repeated prompts immediately (see Uber case study)</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Leadership / Executives</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Whaling, CEO-fraud wire requests</w:t>
            </w:r>
          </w:p>
        </w:tc>
        <w:tc>
          <w:tcPr>
            <w:tcW w:w="4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rPr>
            </w:pPr>
            <w:r>
              <w:rPr>
                <w:rFonts w:ascii="Times New Roman" w:hAnsi="Times New Roman"/>
                <w:sz w:val="20"/>
                <w:szCs w:val="20"/>
              </w:rPr>
              <w:t>Independently verify any urgent, confidential payment or data request — even if it appears to come from another executive</w:t>
            </w:r>
          </w:p>
        </w:tc>
      </w:tr>
    </w:tbl>
    <w:p>
      <w:pPr>
        <w:pStyle w:val="Normal"/>
        <w:spacing w:lineRule="auto" w:line="276" w:before="0" w:after="140"/>
        <w:rPr>
          <w:rFonts w:ascii="Times New Roman" w:hAnsi="Times New Roman"/>
        </w:rPr>
      </w:pPr>
      <w:r>
        <w:rPr>
          <w:rFonts w:ascii="Times New Roman" w:hAnsi="Times New Roman"/>
        </w:rPr>
      </w:r>
    </w:p>
    <w:p>
      <w:pPr>
        <w:pStyle w:val="Normal"/>
        <w:spacing w:lineRule="auto" w:line="276" w:before="0" w:after="140"/>
        <w:rPr>
          <w:rFonts w:ascii="Times New Roman" w:hAnsi="Times New Roman"/>
        </w:rPr>
      </w:pPr>
      <w:r>
        <w:rPr>
          <w:rFonts w:ascii="Times New Roman" w:hAnsi="Times New Roman"/>
          <w:sz w:val="28"/>
          <w:szCs w:val="28"/>
        </w:rPr>
        <w:t>5. CAMPAIGN CONCEPT &amp; CREATIVE IDENTITY</w:t>
      </w:r>
    </w:p>
    <w:p>
      <w:pPr>
        <w:pStyle w:val="Normal"/>
        <w:spacing w:lineRule="auto" w:line="276" w:before="0" w:after="140"/>
        <w:rPr>
          <w:rFonts w:ascii="Times New Roman" w:hAnsi="Times New Roman"/>
          <w:sz w:val="20"/>
          <w:szCs w:val="20"/>
        </w:rPr>
      </w:pPr>
      <w:r>
        <w:rPr>
          <w:rFonts w:ascii="Times New Roman" w:hAnsi="Times New Roman"/>
          <w:sz w:val="20"/>
          <w:szCs w:val="20"/>
        </w:rPr>
        <w:t>The campaign is branded “Nimbus Shield” — pairing the company's own name with a protective symbol — so that awareness content feels like a natural extension of the Nimbus brand rather than a generic compliance exercise.</w:t>
      </w:r>
    </w:p>
    <w:p>
      <w:pPr>
        <w:pStyle w:val="Normal"/>
        <w:bidi w:val="0"/>
        <w:spacing w:lineRule="auto" w:line="240" w:before="0" w:after="83"/>
        <w:jc w:val="start"/>
        <w:rPr>
          <w:rFonts w:ascii="Times New Roman" w:hAnsi="Times New Roman"/>
        </w:rPr>
      </w:pPr>
      <w:r>
        <w:rPr>
          <w:rFonts w:ascii="Times New Roman" w:hAnsi="Times New Roman"/>
          <w:sz w:val="24"/>
          <w:szCs w:val="24"/>
          <w:u w:val="single"/>
        </w:rPr>
        <w:t>5.1 Visual Identity</w:t>
      </w:r>
    </w:p>
    <w:p>
      <w:pPr>
        <w:pStyle w:val="ListParagraph"/>
        <w:numPr>
          <w:ilvl w:val="0"/>
          <w:numId w:val="2"/>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A simple cloud-and-shield mark used consistently across posters, emails, the intranet, and the LMS.</w:t>
      </w:r>
    </w:p>
    <w:p>
      <w:pPr>
        <w:pStyle w:val="ListParagraph"/>
        <w:numPr>
          <w:ilvl w:val="0"/>
          <w:numId w:val="2"/>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A consistent two-color palette applied to all campaign materials so content is instantly recognizable as “Nimbus Shield” rather than generic IT communication.</w:t>
      </w:r>
    </w:p>
    <w:p>
      <w:pPr>
        <w:pStyle w:val="ListParagraph"/>
        <w:bidi w:val="0"/>
        <w:spacing w:lineRule="auto" w:line="240" w:before="0" w:after="80"/>
        <w:jc w:val="start"/>
        <w:rPr>
          <w:rFonts w:ascii="Times New Roman" w:hAnsi="Times New Roman"/>
        </w:rPr>
      </w:pPr>
      <w:r>
        <w:rPr>
          <w:rFonts w:ascii="Times New Roman" w:hAnsi="Times New Roman"/>
          <w:sz w:val="26"/>
          <w:szCs w:val="26"/>
          <w:u w:val="single"/>
        </w:rPr>
        <w:t xml:space="preserve">5.2 </w:t>
      </w:r>
      <w:r>
        <w:rPr>
          <w:rFonts w:ascii="Times New Roman" w:hAnsi="Times New Roman"/>
          <w:sz w:val="26"/>
          <w:szCs w:val="26"/>
          <w:u w:val="single"/>
        </w:rPr>
        <w:t>Taglines</w:t>
      </w:r>
    </w:p>
    <w:p>
      <w:pPr>
        <w:pStyle w:val="ListParagraph"/>
        <w:numPr>
          <w:ilvl w:val="0"/>
          <w:numId w:val="3"/>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w:t>
      </w:r>
      <w:r>
        <w:rPr>
          <w:rFonts w:ascii="Times New Roman" w:hAnsi="Times New Roman"/>
          <w:i w:val="false"/>
          <w:iCs w:val="false"/>
          <w:sz w:val="20"/>
          <w:szCs w:val="20"/>
        </w:rPr>
        <w:t>Think Before You Click. Nimbus Has Your Back.” — primary tagline for email and poster campaigns.</w:t>
      </w:r>
    </w:p>
    <w:p>
      <w:pPr>
        <w:pStyle w:val="ListParagraph"/>
        <w:numPr>
          <w:ilvl w:val="0"/>
          <w:numId w:val="3"/>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w:t>
      </w:r>
      <w:r>
        <w:rPr>
          <w:rFonts w:ascii="Times New Roman" w:hAnsi="Times New Roman"/>
          <w:i w:val="false"/>
          <w:iCs w:val="false"/>
          <w:sz w:val="20"/>
          <w:szCs w:val="20"/>
        </w:rPr>
        <w:t>Spot It. Stop It. Shield It.” — used for the incident-reporting call-to-action.</w:t>
      </w:r>
    </w:p>
    <w:p>
      <w:pPr>
        <w:pStyle w:val="ListParagraph"/>
        <w:numPr>
          <w:ilvl w:val="0"/>
          <w:numId w:val="3"/>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w:t>
      </w:r>
      <w:r>
        <w:rPr>
          <w:rFonts w:ascii="Times New Roman" w:hAnsi="Times New Roman"/>
          <w:i w:val="false"/>
          <w:iCs w:val="false"/>
          <w:sz w:val="20"/>
          <w:szCs w:val="20"/>
        </w:rPr>
        <w:t>A Reused Password Is a Shared Password.” — used for the password-hygiene module.</w:t>
      </w:r>
    </w:p>
    <w:p>
      <w:pPr>
        <w:pStyle w:val="ListParagraph"/>
        <w:bidi w:val="0"/>
        <w:spacing w:lineRule="auto" w:line="240" w:before="0" w:after="80"/>
        <w:jc w:val="start"/>
        <w:rPr>
          <w:rFonts w:ascii="Times New Roman" w:hAnsi="Times New Roman"/>
        </w:rPr>
      </w:pPr>
      <w:r>
        <w:rPr>
          <w:rFonts w:ascii="Times New Roman" w:hAnsi="Times New Roman"/>
          <w:sz w:val="26"/>
          <w:szCs w:val="26"/>
          <w:u w:val="single"/>
        </w:rPr>
        <w:t xml:space="preserve">5.3 </w:t>
      </w:r>
      <w:r>
        <w:rPr>
          <w:rFonts w:ascii="Times New Roman" w:hAnsi="Times New Roman"/>
          <w:sz w:val="26"/>
          <w:szCs w:val="26"/>
          <w:u w:val="single"/>
        </w:rPr>
        <w:t>Gamification</w:t>
      </w:r>
    </w:p>
    <w:p>
      <w:pPr>
        <w:pStyle w:val="ListParagraph"/>
        <w:numPr>
          <w:ilvl w:val="0"/>
          <w:numId w:val="4"/>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A points-based leaderboard, tracked per department, awarding points for reporting simulated (and real) phishing emails and completing modules on time.</w:t>
      </w:r>
    </w:p>
    <w:p>
      <w:pPr>
        <w:pStyle w:val="ListParagraph"/>
        <w:numPr>
          <w:ilvl w:val="0"/>
          <w:numId w:val="4"/>
        </w:numPr>
        <w:spacing w:lineRule="auto" w:line="276" w:before="0" w:after="80"/>
        <w:rPr>
          <w:rFonts w:ascii="Times New Roman" w:hAnsi="Times New Roman"/>
          <w:i w:val="false"/>
          <w:iCs w:val="false"/>
          <w:sz w:val="20"/>
          <w:szCs w:val="20"/>
        </w:rPr>
      </w:pPr>
      <w:r>
        <w:rPr>
          <w:rFonts w:ascii="Times New Roman" w:hAnsi="Times New Roman"/>
          <w:i w:val="false"/>
          <w:iCs w:val="false"/>
          <w:sz w:val="20"/>
          <w:szCs w:val="20"/>
        </w:rPr>
        <w:t>A quarterly “Shield Champion” recognition for the department with the highest report rate, announced at the all-hands meeting.</w:t>
      </w:r>
    </w:p>
    <w:p>
      <w:pPr>
        <w:pStyle w:val="ListParagraph"/>
        <w:numPr>
          <w:ilvl w:val="0"/>
          <w:numId w:val="4"/>
        </w:numPr>
        <w:spacing w:lineRule="auto" w:line="276" w:before="0" w:after="80"/>
        <w:rPr>
          <w:rFonts w:ascii="Times New Roman" w:hAnsi="Times New Roman"/>
        </w:rPr>
      </w:pPr>
      <w:r>
        <w:rPr>
          <w:rFonts w:ascii="Times New Roman" w:hAnsi="Times New Roman"/>
          <w:i w:val="false"/>
          <w:iCs w:val="false"/>
          <w:sz w:val="20"/>
          <w:szCs w:val="20"/>
        </w:rPr>
        <w:t>A digital badge and completion certificate for each employee finishing the annual refresher, shareable on internal profiles.</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before="0" w:after="0"/>
        <w:jc w:val="start"/>
        <w:rPr>
          <w:rFonts w:ascii="Times New Roman" w:hAnsi="Times New Roman"/>
        </w:rPr>
      </w:pPr>
      <w:r>
        <w:rPr>
          <w:rFonts w:ascii="Times New Roman" w:hAnsi="Times New Roman"/>
          <w:sz w:val="28"/>
          <w:szCs w:val="28"/>
        </w:rPr>
        <w:t>6. KEY TOPICS &amp; THEMES</w:t>
      </w:r>
    </w:p>
    <w:p>
      <w:pPr>
        <w:pStyle w:val="Normal"/>
        <w:spacing w:lineRule="auto" w:line="276" w:before="0" w:after="140"/>
        <w:rPr>
          <w:rFonts w:ascii="Times New Roman" w:hAnsi="Times New Roman"/>
        </w:rPr>
      </w:pPr>
      <w:r>
        <w:rPr>
          <w:rFonts w:ascii="Times New Roman" w:hAnsi="Times New Roman"/>
        </w:rPr>
        <w:t>Ten modules are planned across the year, sequenced to build from foundational hygiene toward more advanced, role-specific threats:</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Phishing &amp; Email Threats (recognizing lures, spoofed senders, urgency tactics)</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Password Hygiene &amp; Multi-Factor Authentication</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Social Engineering, Vishing &amp; Smishing (phone and SMS-based attacks)</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Safe Remote Work &amp; Personal Device (BYOD) Use</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Data Classification &amp; Safe Handling (Public / Internal / Restricted, per Week 3 policy)</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Physical Security &amp; Tailgating (warehouse and office)</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Incident Reporting — “See Something, Say Something”</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Shadow IT &amp; Safe Use of AI Tools</w:t>
      </w:r>
    </w:p>
    <w:p>
      <w:pPr>
        <w:pStyle w:val="ListParagraph"/>
        <w:numPr>
          <w:ilvl w:val="0"/>
          <w:numId w:val="5"/>
        </w:numPr>
        <w:spacing w:lineRule="auto" w:line="276" w:before="0" w:after="80"/>
        <w:rPr>
          <w:rFonts w:ascii="Times New Roman" w:hAnsi="Times New Roman"/>
          <w:sz w:val="20"/>
          <w:szCs w:val="20"/>
        </w:rPr>
      </w:pPr>
      <w:r>
        <w:rPr>
          <w:rFonts w:ascii="Times New Roman" w:hAnsi="Times New Roman"/>
          <w:sz w:val="20"/>
          <w:szCs w:val="20"/>
        </w:rPr>
        <w:t>Third-Party &amp; Vendor Risk Awareness</w:t>
      </w:r>
    </w:p>
    <w:p>
      <w:pPr>
        <w:pStyle w:val="ListParagraph"/>
        <w:numPr>
          <w:ilvl w:val="0"/>
          <w:numId w:val="5"/>
        </w:numPr>
        <w:spacing w:lineRule="auto" w:line="276" w:before="57" w:after="137"/>
        <w:rPr>
          <w:rFonts w:ascii="Times New Roman" w:hAnsi="Times New Roman"/>
          <w:sz w:val="20"/>
          <w:szCs w:val="20"/>
        </w:rPr>
      </w:pPr>
      <w:r>
        <w:rPr>
          <w:rFonts w:ascii="Times New Roman" w:hAnsi="Times New Roman"/>
          <w:sz w:val="20"/>
          <w:szCs w:val="20"/>
        </w:rPr>
        <w:t>Executive Threats: Whaling &amp; CEO Fraud (leadership track only)</w:t>
      </w:r>
    </w:p>
    <w:p>
      <w:pPr>
        <w:pStyle w:val="Normal"/>
        <w:bidi w:val="0"/>
        <w:spacing w:lineRule="auto" w:line="240" w:before="171" w:after="171"/>
        <w:jc w:val="start"/>
        <w:rPr>
          <w:rFonts w:ascii="Times New Roman" w:hAnsi="Times New Roman"/>
        </w:rPr>
      </w:pPr>
      <w:r>
        <w:rPr>
          <w:rFonts w:ascii="Times New Roman" w:hAnsi="Times New Roman"/>
          <w:sz w:val="28"/>
          <w:szCs w:val="28"/>
          <w:u w:val="none"/>
        </w:rPr>
        <w:t>7. COMMUNICATION CHANNELS &amp; METHODS</w:t>
      </w:r>
    </w:p>
    <w:tbl>
      <w:tblPr>
        <w:tblW w:w="9700" w:type="dxa"/>
        <w:jc w:val="start"/>
        <w:tblInd w:w="0" w:type="dxa"/>
        <w:tblLayout w:type="fixed"/>
        <w:tblCellMar>
          <w:top w:w="58" w:type="dxa"/>
          <w:start w:w="58" w:type="dxa"/>
          <w:bottom w:w="58" w:type="dxa"/>
          <w:end w:w="58" w:type="dxa"/>
        </w:tblCellMar>
      </w:tblPr>
      <w:tblGrid>
        <w:gridCol w:w="3200"/>
        <w:gridCol w:w="4699"/>
        <w:gridCol w:w="1801"/>
      </w:tblGrid>
      <w:tr>
        <w:trPr>
          <w:tblHeader w:val="true"/>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1"/>
                <w:szCs w:val="21"/>
              </w:rPr>
            </w:pPr>
            <w:r>
              <w:rPr>
                <w:rFonts w:ascii="Times New Roman" w:hAnsi="Times New Roman"/>
                <w:b/>
                <w:bCs/>
                <w:sz w:val="21"/>
                <w:szCs w:val="21"/>
              </w:rPr>
              <w:t>CHANNEL</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1"/>
                <w:szCs w:val="21"/>
              </w:rPr>
            </w:pPr>
            <w:r>
              <w:rPr>
                <w:rFonts w:ascii="Times New Roman" w:hAnsi="Times New Roman"/>
                <w:b/>
                <w:bCs/>
                <w:sz w:val="21"/>
                <w:szCs w:val="21"/>
              </w:rPr>
              <w:t>PURPOSE</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1"/>
                <w:szCs w:val="21"/>
              </w:rPr>
            </w:pPr>
            <w:r>
              <w:rPr>
                <w:rFonts w:ascii="Times New Roman" w:hAnsi="Times New Roman"/>
                <w:b/>
                <w:bCs/>
                <w:sz w:val="21"/>
                <w:szCs w:val="21"/>
              </w:rPr>
              <w:t>CADENCE</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All-hands kickoff event</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Launch the program with visible executive sponsorship</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Once, Month 1</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Micro-learning emails</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3–5 minute themed lesson tied to the month's topic</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Monthly</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Simulated phishing (email, SMS, and voice)</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Measure and build real detection skill, not just awareness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LMS interactive modules + quiz</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Formal, trackable completion of each topic</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Monthly, self-paced</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Posters &amp; digital signage</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Passive reinforcement in break rooms and the warehouse floor</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Refreshed quarterly</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Department lunch-and-learns</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Interactive Q&amp;A for role-specific content</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per department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Shield Bulletin” internal newsletter</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Share real (sanitized) attempts seen at Nimbus and industry news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Monthly</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Report-Phish button (email client + Slack/Teams)</w:t>
            </w:r>
          </w:p>
        </w:tc>
        <w:tc>
          <w:tcPr>
            <w:tcW w:w="4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One-click reporting to reduce friction, addressing the 90% under-reporting problem</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Always on</w:t>
            </w:r>
          </w:p>
        </w:tc>
      </w:tr>
    </w:tbl>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u w:val="none"/>
        </w:rPr>
        <w:t>8. 12-MONTH CAMPAIGN CALENDAR</w:t>
      </w:r>
    </w:p>
    <w:tbl>
      <w:tblPr>
        <w:tblW w:w="9700" w:type="dxa"/>
        <w:jc w:val="start"/>
        <w:tblInd w:w="0" w:type="dxa"/>
        <w:tblLayout w:type="fixed"/>
        <w:tblCellMar>
          <w:top w:w="58" w:type="dxa"/>
          <w:start w:w="58" w:type="dxa"/>
          <w:bottom w:w="58" w:type="dxa"/>
          <w:end w:w="58" w:type="dxa"/>
        </w:tblCellMar>
      </w:tblPr>
      <w:tblGrid>
        <w:gridCol w:w="900"/>
        <w:gridCol w:w="3400"/>
        <w:gridCol w:w="5400"/>
      </w:tblGrid>
      <w:tr>
        <w:trPr>
          <w:tblHeader w:val="true"/>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MONTH</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THEME</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PRIMARY ACTIVITY</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Program Launch</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All-hands kickoff; baseline (unannounced) phishing simulation to measure starting click/report rate</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2</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Phishing &amp; Email Threats</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Micro-learning email + LMS module; Twitter (2020) case study walkthrough</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3</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Password Hygiene &amp; MFA</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LMS module; MFA enrollment drive for any remaining unprotected accounts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4</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Phishing Simulation #1 + Results Review</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Simulation across all staff; department-level results shared at all-hands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5</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Social Engineering, Vishing &amp; Smishing</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Uber (2022) and Twilio (2022) case studies; Customer Support lunch-and-learn</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6</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Safe Remote Work &amp; BYOD</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LMS module; MDM enrollment reminder for personal devices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7</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Phishing Simulation #2 + Results Review</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Simulation with increased difficulty; recognize most-improved department</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Data Classification &amp; Handling</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LMS module; refresher on Restricted-data rules from the Security Policy Review</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9</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Physical Security &amp; Tailgating</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Warehouse floor walk-throughs; badge-discipline spot checks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Phishing Simulation #3 + Results Review</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Simulation incorporating SMS/voice vectors per 2025 DBIR trends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11</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Vendor Risk &amp; Executive Threats</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Finance/Leadership track: Rimasauskas BEC case study and dual-approval drill</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12</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Annual Review &amp; Recognition</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Year-end simulation #4; “Shield Champion” awards; publish year-1 results and year-2 plan</w:t>
            </w:r>
          </w:p>
        </w:tc>
      </w:tr>
    </w:tbl>
    <w:p>
      <w:pPr>
        <w:pStyle w:val="Normal"/>
        <w:bidi w:val="0"/>
        <w:spacing w:lineRule="auto" w:line="240" w:before="0" w:after="8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9. ROLES &amp; RESPONSIBILITIES</w:t>
      </w:r>
    </w:p>
    <w:tbl>
      <w:tblPr>
        <w:tblW w:w="9500" w:type="dxa"/>
        <w:jc w:val="start"/>
        <w:tblInd w:w="0" w:type="dxa"/>
        <w:tblLayout w:type="fixed"/>
        <w:tblCellMar>
          <w:top w:w="58" w:type="dxa"/>
          <w:start w:w="58" w:type="dxa"/>
          <w:bottom w:w="58" w:type="dxa"/>
          <w:end w:w="58" w:type="dxa"/>
        </w:tblCellMar>
      </w:tblPr>
      <w:tblGrid>
        <w:gridCol w:w="2900"/>
        <w:gridCol w:w="6600"/>
      </w:tblGrid>
      <w:tr>
        <w:trPr>
          <w:tblHeader w:val="true"/>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ROLE</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RESPONSIBILITY</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Executive Sponsor</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Publicly endorses the program at kickoff and quarterly reviews; approves budget</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Security Awareness Lead</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Owns the campaign calendar, content, and KPI reporting end-to-end</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IT / Security Team</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Runs phishing simulations, maintains the Report-Phish button, and supports MFA/MDM enrollment drives</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HR</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Integrates onboarding training with the annual refresher track and tracks completion records</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Department Champions (one per team)</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Cascade monthly content, encourage lunch-and-learn attendance, and act as a local point of contact for questions</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Internal Communications</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Produces the “Shield Bulletin,” posters, and digital signage on schedule</w:t>
            </w:r>
          </w:p>
        </w:tc>
      </w:tr>
    </w:tbl>
    <w:p>
      <w:pPr>
        <w:pStyle w:val="Normal"/>
        <w:spacing w:lineRule="auto" w:line="276" w:before="0" w:after="140"/>
        <w:rPr>
          <w:rFonts w:ascii="Times New Roman" w:hAnsi="Times New Roman"/>
        </w:rPr>
      </w:pPr>
      <w:r>
        <w:rPr>
          <w:rFonts w:ascii="Times New Roman" w:hAnsi="Times New Roman"/>
        </w:rPr>
      </w:r>
    </w:p>
    <w:p>
      <w:pPr>
        <w:pStyle w:val="ListParagraph"/>
        <w:bidi w:val="0"/>
        <w:spacing w:lineRule="auto" w:line="240" w:before="0" w:after="80"/>
        <w:jc w:val="start"/>
        <w:rPr>
          <w:rFonts w:ascii="Times New Roman" w:hAnsi="Times New Roman"/>
        </w:rPr>
      </w:pPr>
      <w:r>
        <w:rPr>
          <w:rFonts w:ascii="Times New Roman" w:hAnsi="Times New Roman"/>
          <w:sz w:val="28"/>
          <w:szCs w:val="28"/>
        </w:rPr>
        <w:t>10. BUDGET &amp; RESOURCE ESTIMATE</w:t>
      </w:r>
    </w:p>
    <w:tbl>
      <w:tblPr>
        <w:tblW w:w="10500" w:type="dxa"/>
        <w:jc w:val="start"/>
        <w:tblInd w:w="0" w:type="dxa"/>
        <w:tblLayout w:type="fixed"/>
        <w:tblCellMar>
          <w:top w:w="58" w:type="dxa"/>
          <w:start w:w="58" w:type="dxa"/>
          <w:bottom w:w="58" w:type="dxa"/>
          <w:end w:w="58" w:type="dxa"/>
        </w:tblCellMar>
      </w:tblPr>
      <w:tblGrid>
        <w:gridCol w:w="3960"/>
        <w:gridCol w:w="3140"/>
        <w:gridCol w:w="3400"/>
      </w:tblGrid>
      <w:tr>
        <w:trPr>
          <w:tblHeader w:val="true"/>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LINE ITEM</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ESTIMATED ANNUAL COST (₹)</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NOTES</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LMS / training-content platform license</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3,50,000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Per-seat licensing for ~450 users</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Simulated phishing platform (email + SMS/voice)</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2,80,000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Supports quarterly multi-channel simulations</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Printed posters &amp; digital signage refreshes</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40,000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refresh across office and warehouse sites</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Gamification rewards (gift cards, badges, year-end awards)</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60,000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“Shield Champion” prizes</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Lunch-and-learn sessions (catering, guest speakers)</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50,000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Quarterly, per major department</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Contingency (10%)</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78,000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Covers content updates, off-cycle simulations after incidents</w:t>
            </w:r>
          </w:p>
        </w:tc>
      </w:tr>
      <w:tr>
        <w:trPr/>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Total (approx.)</w:t>
            </w:r>
          </w:p>
        </w:tc>
        <w:tc>
          <w:tcPr>
            <w:tcW w:w="314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8,58,000</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For 450 employees ≈ ₹1,907 per employee per year</w:t>
            </w:r>
          </w:p>
        </w:tc>
      </w:tr>
    </w:tbl>
    <w:p>
      <w:pPr>
        <w:pStyle w:val="Normal"/>
        <w:spacing w:lineRule="auto" w:line="276" w:before="0" w:after="140"/>
        <w:rPr>
          <w:rFonts w:ascii="Times New Roman" w:hAnsi="Times New Roman"/>
        </w:rPr>
      </w:pPr>
      <w:r>
        <w:rPr>
          <w:rFonts w:ascii="Times New Roman" w:hAnsi="Times New Roman"/>
        </w:rPr>
      </w:r>
    </w:p>
    <w:p>
      <w:pPr>
        <w:pStyle w:val="Normal"/>
        <w:bidi w:val="0"/>
        <w:spacing w:lineRule="auto" w:line="276" w:before="0" w:after="140"/>
        <w:rPr>
          <w:rFonts w:ascii="Times New Roman" w:hAnsi="Times New Roman"/>
          <w:sz w:val="28"/>
          <w:szCs w:val="28"/>
        </w:rPr>
      </w:pPr>
      <w:r>
        <w:rPr>
          <w:rFonts w:ascii="Times New Roman" w:hAnsi="Times New Roman"/>
          <w:sz w:val="28"/>
          <w:szCs w:val="28"/>
        </w:rPr>
        <w:t>11. MEASUREMENT &amp; REPORTING PLAN</w:t>
      </w:r>
    </w:p>
    <w:p>
      <w:pPr>
        <w:pStyle w:val="Normal"/>
        <w:bidi w:val="0"/>
        <w:spacing w:lineRule="auto" w:line="276" w:before="0" w:after="140"/>
        <w:rPr>
          <w:rFonts w:ascii="Times New Roman" w:hAnsi="Times New Roman"/>
          <w:sz w:val="20"/>
          <w:szCs w:val="20"/>
        </w:rPr>
      </w:pPr>
      <w:r>
        <w:rPr>
          <w:rFonts w:ascii="Times New Roman" w:hAnsi="Times New Roman"/>
          <w:sz w:val="20"/>
          <w:szCs w:val="20"/>
        </w:rPr>
        <w:t>A quarterly dashboard is reviewed by the Executive Sponsor and Security Awareness Lead, tracking the KPIs defined in Section 3 against target trajectories:</w:t>
      </w:r>
    </w:p>
    <w:tbl>
      <w:tblPr>
        <w:tblW w:w="10000" w:type="dxa"/>
        <w:jc w:val="start"/>
        <w:tblInd w:w="0" w:type="dxa"/>
        <w:tblLayout w:type="fixed"/>
        <w:tblCellMar>
          <w:top w:w="58" w:type="dxa"/>
          <w:start w:w="58" w:type="dxa"/>
          <w:bottom w:w="58" w:type="dxa"/>
          <w:end w:w="58" w:type="dxa"/>
        </w:tblCellMar>
      </w:tblPr>
      <w:tblGrid>
        <w:gridCol w:w="1900"/>
        <w:gridCol w:w="1500"/>
        <w:gridCol w:w="1500"/>
        <w:gridCol w:w="1188"/>
        <w:gridCol w:w="1256"/>
        <w:gridCol w:w="2656"/>
      </w:tblGrid>
      <w:tr>
        <w:trPr>
          <w:tblHeader w:val="true"/>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METRIC</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BASELINE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Q1</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Q2</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Q3</w:t>
            </w:r>
          </w:p>
        </w:tc>
        <w:tc>
          <w:tcPr>
            <w:tcW w:w="26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Q4 (12-MONTH TARGET)</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Click rate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~33%</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18%</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12%</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8%</w:t>
            </w:r>
          </w:p>
        </w:tc>
        <w:tc>
          <w:tcPr>
            <w:tcW w:w="26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&lt; 5%</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Report rate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N/A</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10%</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15%</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20%</w:t>
            </w:r>
          </w:p>
        </w:tc>
        <w:tc>
          <w:tcPr>
            <w:tcW w:w="26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&gt; 25%</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Training completion</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0%</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40%</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65%</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85%</w:t>
            </w:r>
          </w:p>
        </w:tc>
        <w:tc>
          <w:tcPr>
            <w:tcW w:w="26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100%</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Repeat-clicker rate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N/A</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25%</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18%</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13%</w:t>
            </w:r>
          </w:p>
        </w:tc>
        <w:tc>
          <w:tcPr>
            <w:tcW w:w="26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sz w:val="20"/>
                <w:szCs w:val="20"/>
              </w:rPr>
            </w:pPr>
            <w:r>
              <w:rPr>
                <w:rFonts w:ascii="Times New Roman" w:hAnsi="Times New Roman"/>
                <w:sz w:val="20"/>
                <w:szCs w:val="20"/>
              </w:rPr>
              <w:t>&lt; 10%</w:t>
            </w:r>
          </w:p>
        </w:tc>
      </w:tr>
    </w:tbl>
    <w:p>
      <w:pPr>
        <w:pStyle w:val="Normal"/>
        <w:bidi w:val="0"/>
        <w:spacing w:lineRule="auto" w:line="276" w:before="0" w:after="140"/>
        <w:rPr>
          <w:rFonts w:ascii="Times New Roman" w:hAnsi="Times New Roman"/>
          <w:i/>
          <w:iCs/>
          <w:sz w:val="20"/>
          <w:szCs w:val="20"/>
        </w:rPr>
      </w:pPr>
      <w:r>
        <w:rPr>
          <w:rFonts w:ascii="Times New Roman" w:hAnsi="Times New Roman"/>
          <w:i/>
          <w:iCs/>
          <w:sz w:val="20"/>
          <w:szCs w:val="20"/>
        </w:rPr>
        <w:t>These quarterly targets are directional projections modeled on the KnowBe4 2025 benchmark trajectory (33.1% baseline to 4.1% at 12 months) and should be recalibrated after each quarter's actual simulation results.</w:t>
      </w:r>
    </w:p>
    <w:p>
      <w:pPr>
        <w:pStyle w:val="Normal"/>
        <w:bidi w:val="0"/>
        <w:spacing w:lineRule="auto" w:line="276" w:before="0" w:after="140"/>
        <w:rPr>
          <w:rFonts w:ascii="Times New Roman" w:hAnsi="Times New Roman"/>
          <w:sz w:val="28"/>
          <w:szCs w:val="28"/>
        </w:rPr>
      </w:pPr>
      <w:r>
        <w:rPr>
          <w:rFonts w:ascii="Times New Roman" w:hAnsi="Times New Roman"/>
          <w:sz w:val="28"/>
          <w:szCs w:val="28"/>
        </w:rPr>
        <w:t>12. Conclusion</w:t>
      </w:r>
    </w:p>
    <w:p>
      <w:pPr>
        <w:pStyle w:val="Normal"/>
        <w:bidi w:val="0"/>
        <w:spacing w:lineRule="auto" w:line="276" w:before="0" w:after="140"/>
        <w:rPr>
          <w:rFonts w:ascii="Times New Roman" w:hAnsi="Times New Roman"/>
          <w:sz w:val="20"/>
          <w:szCs w:val="20"/>
        </w:rPr>
      </w:pPr>
      <w:r>
        <w:rPr>
          <w:rFonts w:ascii="Times New Roman" w:hAnsi="Times New Roman"/>
          <w:sz w:val="20"/>
          <w:szCs w:val="20"/>
        </w:rPr>
        <w:t>Nimbus Shield turns the single biggest recurring finding across this internship's earlier deliverables — that people, not just systems, are the primary attack surface — into a concrete, scheduled, and budgeted 12-month program. It is designed to be measured quarterly against industry benchmarks rather than run once and forgotten, directly addressing the Week 3 Security Policy Review's finding that Nimbus's prior training consisted of a single onboarding session with no ongoing reinforcement.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LibreOffice/26.8.0.3$Linux_X86_64 LibreOffice_project/680$Build-3</Application>
  <AppVersion>15.0000</AppVersion>
  <Pages>6</Pages>
  <Words>1991</Words>
  <Characters>11966</Characters>
  <CharactersWithSpaces>13684</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2026-08-30T16:43:39Z</dcterms:created>
  <dc:creator/>
  <dc:description/>
  <dc:language>en-US</dc:language>
  <cp:lastModifiedBy/>
  <dcterms:modified xsi:type="dcterms:W3CDTF">2026-09-24T10:22:52Z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