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center"/>
        <w:rPr>
          <w:rFonts w:ascii="Times New Roman" w:hAnsi="Times New Roman"/>
          <w:sz w:val="32"/>
          <w:szCs w:val="32"/>
        </w:rPr>
      </w:pPr>
      <w:r>
        <w:rPr>
          <w:rFonts w:ascii="Times New Roman" w:hAnsi="Times New Roman"/>
          <w:b/>
          <w:bCs/>
          <w:sz w:val="32"/>
          <w:szCs w:val="32"/>
        </w:rPr>
        <w:t>SECURITY POLICY REVIEW &amp; RECOMMENDATIONS</w:t>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sz w:val="24"/>
          <w:szCs w:val="24"/>
        </w:rPr>
      </w:pPr>
      <w:r>
        <w:rPr>
          <w:rFonts w:ascii="Times New Roman" w:hAnsi="Times New Roman"/>
          <w:b/>
          <w:bCs/>
          <w:sz w:val="24"/>
          <w:szCs w:val="24"/>
          <w:u w:val="single"/>
        </w:rPr>
        <w:t xml:space="preserve">Internship Technical Report – Week </w:t>
      </w:r>
      <w:r>
        <w:rPr>
          <w:rFonts w:ascii="Times New Roman" w:hAnsi="Times New Roman"/>
          <w:b/>
          <w:bCs/>
          <w:sz w:val="24"/>
          <w:szCs w:val="24"/>
          <w:u w:val="single"/>
        </w:rPr>
        <w:t>3</w:t>
      </w:r>
    </w:p>
    <w:p>
      <w:pPr>
        <w:pStyle w:val="Normal"/>
        <w:bidi w:val="0"/>
        <w:spacing w:lineRule="auto" w:line="240"/>
        <w:jc w:val="end"/>
        <w:rPr>
          <w:rFonts w:ascii="Times New Roman" w:hAnsi="Times New Roman"/>
        </w:rPr>
      </w:pPr>
      <w:r>
        <w:rPr>
          <w:rFonts w:ascii="Times New Roman" w:hAnsi="Times New Roman"/>
        </w:rPr>
      </w:r>
    </w:p>
    <w:p>
      <w:pPr>
        <w:pStyle w:val="Normal"/>
        <w:bidi w:val="0"/>
        <w:spacing w:lineRule="auto" w:line="240"/>
        <w:jc w:val="end"/>
        <w:rPr>
          <w:rFonts w:ascii="Times New Roman" w:hAnsi="Times New Roman"/>
        </w:rPr>
      </w:pPr>
      <w:r>
        <w:rPr>
          <w:rFonts w:ascii="Times New Roman" w:hAnsi="Times New Roman"/>
          <w:sz w:val="22"/>
          <w:szCs w:val="22"/>
        </w:rPr>
        <w:t>Author: Aditya Sharma</w:t>
      </w:r>
    </w:p>
    <w:p>
      <w:pPr>
        <w:pStyle w:val="Normal"/>
        <w:bidi w:val="0"/>
        <w:spacing w:lineRule="auto" w:line="240"/>
        <w:jc w:val="end"/>
        <w:rPr>
          <w:rFonts w:ascii="Times New Roman" w:hAnsi="Times New Roman"/>
        </w:rPr>
      </w:pPr>
      <w:r>
        <w:rPr>
          <w:rFonts w:ascii="Times New Roman" w:hAnsi="Times New Roman"/>
          <w:sz w:val="22"/>
          <w:szCs w:val="22"/>
        </w:rPr>
        <w:t>Domain: Cyber Security Analyst</w:t>
      </w:r>
    </w:p>
    <w:p>
      <w:pPr>
        <w:pStyle w:val="Normal"/>
        <w:bidi w:val="0"/>
        <w:spacing w:lineRule="auto" w:line="240"/>
        <w:jc w:val="end"/>
        <w:rPr>
          <w:rFonts w:ascii="Times New Roman" w:hAnsi="Times New Roman"/>
        </w:rPr>
      </w:pPr>
      <w:r>
        <w:rPr>
          <w:rFonts w:ascii="Times New Roman" w:hAnsi="Times New Roman"/>
          <w:sz w:val="22"/>
          <w:szCs w:val="22"/>
        </w:rPr>
        <w:t xml:space="preserve">Submission Date: </w:t>
      </w:r>
      <w:r>
        <w:rPr>
          <w:rFonts w:ascii="Times New Roman" w:hAnsi="Times New Roman"/>
          <w:sz w:val="22"/>
          <w:szCs w:val="22"/>
        </w:rPr>
        <w:t>05</w:t>
      </w:r>
      <w:r>
        <w:rPr>
          <w:rFonts w:ascii="Times New Roman" w:hAnsi="Times New Roman"/>
          <w:sz w:val="22"/>
          <w:szCs w:val="22"/>
        </w:rPr>
        <w:t xml:space="preserve"> </w:t>
      </w:r>
      <w:r>
        <w:rPr>
          <w:rFonts w:ascii="Times New Roman" w:hAnsi="Times New Roman"/>
          <w:sz w:val="22"/>
          <w:szCs w:val="22"/>
        </w:rPr>
        <w:t>September</w:t>
      </w:r>
      <w:r>
        <w:rPr>
          <w:rFonts w:ascii="Times New Roman" w:hAnsi="Times New Roman"/>
          <w:sz w:val="22"/>
          <w:szCs w:val="22"/>
        </w:rPr>
        <w:t xml:space="preserve"> 2026</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sz w:val="28"/>
          <w:szCs w:val="28"/>
        </w:rPr>
        <w:t>1. EXECUTIVE SUMMARY</w:t>
      </w:r>
    </w:p>
    <w:p>
      <w:pPr>
        <w:pStyle w:val="Normal"/>
        <w:bidi w:val="0"/>
        <w:spacing w:lineRule="auto" w:line="240"/>
        <w:jc w:val="start"/>
        <w:rPr>
          <w:rFonts w:ascii="Times New Roman" w:hAnsi="Times New Roman"/>
        </w:rPr>
      </w:pPr>
      <w:r>
        <w:rPr>
          <w:rFonts w:ascii="Times New Roman" w:hAnsi="Times New Roman"/>
        </w:rPr>
      </w:r>
    </w:p>
    <w:p>
      <w:pPr>
        <w:pStyle w:val="Normal"/>
        <w:spacing w:lineRule="auto" w:line="276" w:before="0" w:after="140"/>
        <w:rPr>
          <w:rFonts w:ascii="Times New Roman" w:hAnsi="Times New Roman"/>
          <w:sz w:val="22"/>
          <w:szCs w:val="22"/>
        </w:rPr>
      </w:pPr>
      <w:r>
        <w:rPr>
          <w:rFonts w:ascii="Times New Roman" w:hAnsi="Times New Roman"/>
          <w:sz w:val="22"/>
          <w:szCs w:val="22"/>
        </w:rPr>
        <w:t>This report presents an independent review of the information security policy currently in force at Nimbus Retail Solutions, a hypothetical mid-sized e-commerce retailer with approximately 450 employees that processes customer payment card data and operates a hybrid (office + remote) workforce. The review evaluated ten policy domains against three widely used control frameworks — NIST Cybersecurity Framework (CSF) 2.0, ISO/IEC 27001:2022 Annex A, and CIS Controls v8 — and, because the organization handles cardholder data, against relevant PCI-DSS v4.0 requirements.</w:t>
      </w:r>
    </w:p>
    <w:p>
      <w:pPr>
        <w:pStyle w:val="Normal"/>
        <w:spacing w:lineRule="auto" w:line="276" w:before="0" w:after="140"/>
        <w:rPr>
          <w:rFonts w:ascii="Times New Roman" w:hAnsi="Times New Roman"/>
          <w:sz w:val="22"/>
          <w:szCs w:val="22"/>
        </w:rPr>
      </w:pPr>
      <w:r>
        <w:rPr>
          <w:rFonts w:ascii="Times New Roman" w:hAnsi="Times New Roman"/>
          <w:sz w:val="22"/>
          <w:szCs w:val="22"/>
        </w:rPr>
        <w:t>The review scored the existing policy at an average maturity of 1.7 out of 5.0 across the ten domains assessed, placing the organization at the low end of the “Initial/Ad-hoc” tier and well below the 3.0 (“Defined”) baseline generally expected of an organization that stores and transmits payment card data. None of the ten domains reviewed reached the “Defined” maturity level; two domains (Monitoring &amp; Logging, and Data Classification) had no documented policy at all.</w:t>
      </w:r>
    </w:p>
    <w:p>
      <w:pPr>
        <w:pStyle w:val="Normal"/>
        <w:spacing w:lineRule="auto" w:line="276" w:before="0" w:after="140"/>
        <w:rPr>
          <w:rFonts w:ascii="Times New Roman" w:hAnsi="Times New Roman"/>
        </w:rPr>
      </w:pPr>
      <w:r>
        <w:rPr>
          <w:rFonts w:ascii="Times New Roman" w:hAnsi="Times New Roman"/>
          <w:b/>
          <w:bCs/>
          <w:sz w:val="22"/>
          <w:szCs w:val="22"/>
        </w:rPr>
        <w:t>The most significant findings are:</w:t>
      </w:r>
    </w:p>
    <w:p>
      <w:pPr>
        <w:pStyle w:val="ListParagraph"/>
        <w:numPr>
          <w:ilvl w:val="0"/>
          <w:numId w:val="3"/>
        </w:numPr>
        <w:spacing w:lineRule="auto" w:line="276" w:before="0" w:after="80"/>
        <w:rPr>
          <w:rFonts w:ascii="Times New Roman" w:hAnsi="Times New Roman"/>
        </w:rPr>
      </w:pPr>
      <w:r>
        <w:rPr>
          <w:rFonts w:ascii="Times New Roman" w:hAnsi="Times New Roman"/>
          <w:sz w:val="22"/>
          <w:szCs w:val="22"/>
        </w:rPr>
        <w:t>The password policy permits 8-character passwords with no complexity or reuse restrictions, well below current NIST SP 800-63B guidance and industry practice.</w:t>
      </w:r>
    </w:p>
    <w:p>
      <w:pPr>
        <w:pStyle w:val="ListParagraph"/>
        <w:numPr>
          <w:ilvl w:val="0"/>
          <w:numId w:val="3"/>
        </w:numPr>
        <w:spacing w:lineRule="auto" w:line="276" w:before="0" w:after="80"/>
        <w:rPr>
          <w:rFonts w:ascii="Times New Roman" w:hAnsi="Times New Roman"/>
        </w:rPr>
      </w:pPr>
      <w:r>
        <w:rPr>
          <w:rFonts w:ascii="Times New Roman" w:hAnsi="Times New Roman"/>
          <w:sz w:val="22"/>
          <w:szCs w:val="22"/>
        </w:rPr>
        <w:t>Access provisioning grants broad, undifferentiated access to a shared company drive by default, with no role-based access control (RBAC) or least-privilege enforcement, and de-provisioning on termination is not guaranteed to occur before an employee's last day.</w:t>
      </w:r>
    </w:p>
    <w:p>
      <w:pPr>
        <w:pStyle w:val="ListParagraph"/>
        <w:numPr>
          <w:ilvl w:val="0"/>
          <w:numId w:val="3"/>
        </w:numPr>
        <w:spacing w:lineRule="auto" w:line="276" w:before="0" w:after="80"/>
        <w:rPr>
          <w:rFonts w:ascii="Times New Roman" w:hAnsi="Times New Roman"/>
        </w:rPr>
      </w:pPr>
      <w:r>
        <w:rPr>
          <w:rFonts w:ascii="Times New Roman" w:hAnsi="Times New Roman"/>
          <w:sz w:val="22"/>
          <w:szCs w:val="22"/>
        </w:rPr>
        <w:t>There is no data classification scheme, so employees have no way to know which files require encryption, restricted sharing, or retention controls.</w:t>
      </w:r>
    </w:p>
    <w:p>
      <w:pPr>
        <w:pStyle w:val="ListParagraph"/>
        <w:numPr>
          <w:ilvl w:val="0"/>
          <w:numId w:val="3"/>
        </w:numPr>
        <w:spacing w:lineRule="auto" w:line="276" w:before="0" w:after="80"/>
        <w:rPr>
          <w:rFonts w:ascii="Times New Roman" w:hAnsi="Times New Roman"/>
        </w:rPr>
      </w:pPr>
      <w:r>
        <w:rPr>
          <w:rFonts w:ascii="Times New Roman" w:hAnsi="Times New Roman"/>
          <w:sz w:val="22"/>
          <w:szCs w:val="22"/>
        </w:rPr>
        <w:t>The incident response clause is a single sentence with no severity tiers, escalation path, timelines, or communication protocol — a critical gap given that the average breach in 2025 took 241 days to identify and contain, and organizations without a tested response plan take substantially longer.</w:t>
      </w:r>
    </w:p>
    <w:p>
      <w:pPr>
        <w:pStyle w:val="ListParagraph"/>
        <w:numPr>
          <w:ilvl w:val="0"/>
          <w:numId w:val="3"/>
        </w:numPr>
        <w:spacing w:lineRule="auto" w:line="276" w:before="0" w:after="80"/>
        <w:rPr>
          <w:rFonts w:ascii="Times New Roman" w:hAnsi="Times New Roman"/>
          <w:sz w:val="22"/>
          <w:szCs w:val="22"/>
        </w:rPr>
      </w:pPr>
      <w:r>
        <w:rPr>
          <w:rFonts w:ascii="Times New Roman" w:hAnsi="Times New Roman"/>
          <w:sz w:val="22"/>
          <w:szCs w:val="22"/>
        </w:rPr>
        <w:t>Vendor/third-party risk is not addressed at all in the current policy, despite supply-chain compromise now accounting for 15% of breach root causes industry-wide.</w:t>
      </w:r>
    </w:p>
    <w:p>
      <w:pPr>
        <w:pStyle w:val="Normal"/>
        <w:spacing w:lineRule="auto" w:line="276" w:before="0" w:after="140"/>
        <w:rPr>
          <w:rFonts w:ascii="Times New Roman" w:hAnsi="Times New Roman"/>
          <w:sz w:val="22"/>
          <w:szCs w:val="22"/>
        </w:rPr>
      </w:pPr>
      <w:r>
        <w:rPr>
          <w:rFonts w:ascii="Times New Roman" w:hAnsi="Times New Roman"/>
          <w:sz w:val="22"/>
          <w:szCs w:val="22"/>
        </w:rPr>
        <w:t>Implementing the recommendations in Section 5 would raise the organization's projected average maturity to 3.6/5.0 and directly address the two highest-likelihood, highest-impact risks identified in the heat map in Section 7: credential-based account takeover and unmanaged third-party access. A phased, prioritized roadmap is provided in Section 8, sequenced so that the highest-risk, lowest-cost fixes (password policy, MFA, offboarding checklist) are completed within 30 days.</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sz w:val="28"/>
          <w:szCs w:val="28"/>
        </w:rPr>
        <w:t>2. REVIEW METHODOLOGY</w:t>
      </w:r>
    </w:p>
    <w:p>
      <w:pPr>
        <w:pStyle w:val="Normal"/>
        <w:bidi w:val="0"/>
        <w:spacing w:lineRule="auto" w:line="240"/>
        <w:jc w:val="start"/>
        <w:rPr>
          <w:rFonts w:ascii="Times New Roman" w:hAnsi="Times New Roman"/>
        </w:rPr>
      </w:pPr>
      <w:r>
        <w:rPr>
          <w:rFonts w:ascii="Times New Roman" w:hAnsi="Times New Roman"/>
        </w:rPr>
      </w:r>
    </w:p>
    <w:p>
      <w:pPr>
        <w:pStyle w:val="Normal"/>
        <w:spacing w:lineRule="auto" w:line="276" w:before="0" w:after="140"/>
        <w:rPr>
          <w:rFonts w:ascii="Times New Roman" w:hAnsi="Times New Roman"/>
          <w:sz w:val="22"/>
          <w:szCs w:val="22"/>
        </w:rPr>
      </w:pPr>
      <w:r>
        <w:rPr>
          <w:rFonts w:ascii="Times New Roman" w:hAnsi="Times New Roman"/>
          <w:sz w:val="22"/>
          <w:szCs w:val="22"/>
        </w:rPr>
        <w:t>This review was conducted in four stages to ensure findings are evidence-based rather than opinion-based:</w:t>
      </w:r>
    </w:p>
    <w:p>
      <w:pPr>
        <w:pStyle w:val="ListParagraph"/>
        <w:numPr>
          <w:ilvl w:val="0"/>
          <w:numId w:val="6"/>
        </w:numPr>
        <w:spacing w:lineRule="auto" w:line="276" w:before="0" w:after="80"/>
        <w:rPr>
          <w:rFonts w:ascii="Times New Roman" w:hAnsi="Times New Roman"/>
          <w:sz w:val="22"/>
          <w:szCs w:val="22"/>
        </w:rPr>
      </w:pPr>
      <w:r>
        <w:rPr>
          <w:rFonts w:ascii="Times New Roman" w:hAnsi="Times New Roman"/>
          <w:sz w:val="22"/>
          <w:szCs w:val="22"/>
        </w:rPr>
        <w:t>Baseline extraction: the ten policy domains most commonly required by security frameworks and payment card industry rules were extracted from the organization's existing (hypothetical) policy document, and their exact current wording was recorded verbatim in Section 4.</w:t>
      </w:r>
    </w:p>
    <w:p>
      <w:pPr>
        <w:pStyle w:val="ListParagraph"/>
        <w:numPr>
          <w:ilvl w:val="0"/>
          <w:numId w:val="4"/>
        </w:numPr>
        <w:spacing w:lineRule="auto" w:line="276" w:before="0" w:after="80"/>
        <w:rPr>
          <w:rFonts w:ascii="Times New Roman" w:hAnsi="Times New Roman"/>
          <w:sz w:val="22"/>
          <w:szCs w:val="22"/>
        </w:rPr>
      </w:pPr>
      <w:r>
        <w:rPr>
          <w:rFonts w:ascii="Times New Roman" w:hAnsi="Times New Roman"/>
          <w:sz w:val="22"/>
          <w:szCs w:val="22"/>
        </w:rPr>
        <w:t>Control mapping: each domain was cross-referenced against the relevant clauses of NIST CSF 2.0 (Govern, Identify, Protect, Detect, Respond, Recover functions), ISO/IEC 27001:2022 Annex A controls, and CIS Controls v8 Implementation Group 1 (IG1) safeguards, which represent the minimum standard of due care for any organization.</w:t>
      </w:r>
    </w:p>
    <w:p>
      <w:pPr>
        <w:pStyle w:val="ListParagraph"/>
        <w:numPr>
          <w:ilvl w:val="0"/>
          <w:numId w:val="4"/>
        </w:numPr>
        <w:spacing w:lineRule="auto" w:line="276" w:before="0" w:after="80"/>
        <w:rPr>
          <w:rFonts w:ascii="Times New Roman" w:hAnsi="Times New Roman"/>
          <w:sz w:val="22"/>
          <w:szCs w:val="22"/>
        </w:rPr>
      </w:pPr>
      <w:r>
        <w:rPr>
          <w:rFonts w:ascii="Times New Roman" w:hAnsi="Times New Roman"/>
          <w:sz w:val="22"/>
          <w:szCs w:val="22"/>
        </w:rPr>
        <w:t>Threat-informed gap analysis: each identified gap was weighed against current external threat intelligence — principally the IBM/Ponemon Cost of a Data Breach Report 2025 and the Verizon 2025 Data Breach Investigations Report (DBIR) — so that recommendations are prioritized by demonstrated real-world attacker behavior and cost impact rather than generic best practice.</w:t>
      </w:r>
    </w:p>
    <w:p>
      <w:pPr>
        <w:pStyle w:val="ListParagraph"/>
        <w:numPr>
          <w:ilvl w:val="0"/>
          <w:numId w:val="4"/>
        </w:numPr>
        <w:spacing w:lineRule="auto" w:line="276" w:before="0" w:after="80"/>
        <w:rPr>
          <w:rFonts w:ascii="Times New Roman" w:hAnsi="Times New Roman"/>
          <w:sz w:val="22"/>
          <w:szCs w:val="22"/>
        </w:rPr>
      </w:pPr>
      <w:r>
        <w:rPr>
          <w:rFonts w:ascii="Times New Roman" w:hAnsi="Times New Roman"/>
          <w:sz w:val="22"/>
          <w:szCs w:val="22"/>
        </w:rPr>
        <w:t>Maturity scoring: each domain was scored on a 1-5 scale (1 = Ad-hoc/Undocumented, 2 = Initial, 3 = Defined, 4 = Managed/Measured, 5 = Optimized), a simplified adaptation of the NIST CSF implementation tiers, before and after applying the recommended changes.</w:t>
      </w:r>
    </w:p>
    <w:p>
      <w:pPr>
        <w:pStyle w:val="Normal"/>
        <w:bidi w:val="0"/>
        <w:spacing w:lineRule="auto" w:line="240"/>
        <w:jc w:val="start"/>
        <w:rPr>
          <w:rFonts w:ascii="Times New Roman" w:hAnsi="Times New Roman"/>
        </w:rPr>
      </w:pPr>
      <w:r>
        <w:rPr>
          <w:rFonts w:ascii="Times New Roman" w:hAnsi="Times New Roman"/>
          <w:sz w:val="28"/>
          <w:szCs w:val="28"/>
        </w:rPr>
        <w:t>3. ORGANIZATIONAL CONTEXT</w:t>
      </w:r>
    </w:p>
    <w:p>
      <w:pPr>
        <w:pStyle w:val="Normal"/>
        <w:bidi w:val="0"/>
        <w:spacing w:lineRule="auto" w:line="240"/>
        <w:jc w:val="start"/>
        <w:rPr>
          <w:rFonts w:ascii="Times New Roman" w:hAnsi="Times New Roman"/>
        </w:rPr>
      </w:pPr>
      <w:r>
        <w:rPr>
          <w:rFonts w:ascii="Times New Roman" w:hAnsi="Times New Roman"/>
        </w:rPr>
      </w:r>
    </w:p>
    <w:p>
      <w:pPr>
        <w:pStyle w:val="Normal"/>
        <w:rPr>
          <w:rFonts w:ascii="Times New Roman" w:hAnsi="Times New Roman"/>
          <w:sz w:val="22"/>
          <w:szCs w:val="22"/>
        </w:rPr>
      </w:pPr>
      <w:r>
        <w:rPr>
          <w:rFonts w:ascii="Times New Roman" w:hAnsi="Times New Roman"/>
          <w:sz w:val="22"/>
          <w:szCs w:val="22"/>
        </w:rPr>
        <w:t>Nimbus Retail Solutions is modeled as a mid-sized e-commerce retailer to give the review realistic constraints:</w:t>
      </w:r>
    </w:p>
    <w:tbl>
      <w:tblPr>
        <w:tblW w:w="9500" w:type="dxa"/>
        <w:jc w:val="start"/>
        <w:tblInd w:w="0" w:type="dxa"/>
        <w:tblLayout w:type="fixed"/>
        <w:tblCellMar>
          <w:top w:w="55" w:type="dxa"/>
          <w:start w:w="55" w:type="dxa"/>
          <w:bottom w:w="55" w:type="dxa"/>
          <w:end w:w="55" w:type="dxa"/>
        </w:tblCellMar>
      </w:tblPr>
      <w:tblGrid>
        <w:gridCol w:w="2600"/>
        <w:gridCol w:w="6900"/>
      </w:tblGrid>
      <w:tr>
        <w:trPr/>
        <w:tc>
          <w:tcPr>
            <w:tcW w:w="2600" w:type="dxa"/>
            <w:tcBorders>
              <w:top w:val="single" w:sz="4" w:space="0" w:color="000000"/>
              <w:start w:val="single" w:sz="4" w:space="0" w:color="000000"/>
              <w:bottom w:val="single" w:sz="4" w:space="0" w:color="000000"/>
            </w:tcBorders>
            <w:vAlign w:val="center"/>
          </w:tcPr>
          <w:p>
            <w:pPr>
              <w:pStyle w:val="Normal"/>
              <w:jc w:val="center"/>
              <w:rPr>
                <w:rFonts w:ascii="Times New Roman" w:hAnsi="Times New Roman"/>
                <w:b/>
                <w:bCs/>
                <w:i w:val="false"/>
                <w:iCs w:val="false"/>
                <w:strike w:val="false"/>
                <w:dstrike w:val="false"/>
                <w:outline w:val="false"/>
                <w:shadow w:val="false"/>
                <w:color w:val="auto"/>
                <w:sz w:val="22"/>
                <w:szCs w:val="22"/>
                <w:u w:val="none"/>
              </w:rPr>
            </w:pPr>
            <w:r>
              <w:rPr>
                <w:rFonts w:ascii="Times New Roman" w:hAnsi="Times New Roman"/>
                <w:b/>
                <w:bCs/>
                <w:i w:val="false"/>
                <w:iCs w:val="false"/>
                <w:strike w:val="false"/>
                <w:dstrike w:val="false"/>
                <w:outline w:val="false"/>
                <w:shadow w:val="false"/>
                <w:color w:val="auto"/>
                <w:sz w:val="22"/>
                <w:szCs w:val="22"/>
                <w:u w:val="none"/>
              </w:rPr>
              <w:t>Attribute</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i w:val="false"/>
                <w:iCs w:val="false"/>
                <w:strike w:val="false"/>
                <w:dstrike w:val="false"/>
                <w:outline w:val="false"/>
                <w:shadow w:val="false"/>
                <w:color w:val="auto"/>
                <w:sz w:val="22"/>
                <w:szCs w:val="22"/>
                <w:u w:val="none"/>
              </w:rPr>
            </w:pPr>
            <w:r>
              <w:rPr>
                <w:rFonts w:ascii="Times New Roman" w:hAnsi="Times New Roman"/>
                <w:b/>
                <w:bCs/>
                <w:i w:val="false"/>
                <w:iCs w:val="false"/>
                <w:strike w:val="false"/>
                <w:dstrike w:val="false"/>
                <w:outline w:val="false"/>
                <w:shadow w:val="false"/>
                <w:color w:val="auto"/>
                <w:sz w:val="22"/>
                <w:szCs w:val="22"/>
                <w:u w:val="none"/>
              </w:rPr>
              <w:t>Detail</w:t>
            </w:r>
          </w:p>
        </w:tc>
      </w:tr>
      <w:tr>
        <w:trPr/>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center"/>
              <w:rPr>
                <w:rFonts w:ascii="Times New Roman" w:hAnsi="Times New Roman"/>
                <w:sz w:val="22"/>
                <w:szCs w:val="22"/>
              </w:rPr>
            </w:pPr>
            <w:r>
              <w:rPr>
                <w:rFonts w:ascii="Times New Roman" w:hAnsi="Times New Roman"/>
                <w:sz w:val="22"/>
                <w:szCs w:val="22"/>
              </w:rPr>
              <w:t>Headcount</w:t>
            </w:r>
          </w:p>
        </w:tc>
        <w:tc>
          <w:tcPr>
            <w:tcW w:w="69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rPr>
                <w:rFonts w:ascii="Times New Roman" w:hAnsi="Times New Roman"/>
                <w:sz w:val="22"/>
                <w:szCs w:val="22"/>
              </w:rPr>
            </w:pPr>
            <w:r>
              <w:rPr>
                <w:rFonts w:ascii="Times New Roman" w:hAnsi="Times New Roman"/>
                <w:sz w:val="22"/>
                <w:szCs w:val="22"/>
              </w:rPr>
              <w:t>~450 employees across Customer Support, Warehouse/Fulfillment, Marketing, Engineering, and Finance</w:t>
            </w:r>
          </w:p>
        </w:tc>
      </w:tr>
      <w:tr>
        <w:trPr/>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center"/>
              <w:rPr>
                <w:rFonts w:ascii="Times New Roman" w:hAnsi="Times New Roman"/>
                <w:sz w:val="22"/>
                <w:szCs w:val="22"/>
              </w:rPr>
            </w:pPr>
            <w:r>
              <w:rPr>
                <w:rFonts w:ascii="Times New Roman" w:hAnsi="Times New Roman"/>
                <w:sz w:val="22"/>
                <w:szCs w:val="22"/>
              </w:rPr>
              <w:t>Data handled</w:t>
            </w:r>
          </w:p>
        </w:tc>
        <w:tc>
          <w:tcPr>
            <w:tcW w:w="69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rPr>
                <w:rFonts w:ascii="Times New Roman" w:hAnsi="Times New Roman"/>
                <w:sz w:val="22"/>
                <w:szCs w:val="22"/>
              </w:rPr>
            </w:pPr>
            <w:r>
              <w:rPr>
                <w:rFonts w:ascii="Times New Roman" w:hAnsi="Times New Roman"/>
                <w:sz w:val="22"/>
                <w:szCs w:val="22"/>
              </w:rPr>
              <w:t>Customer PII, order history, and payment card data (tokenized where possible); employee HR records</w:t>
            </w:r>
          </w:p>
        </w:tc>
      </w:tr>
      <w:tr>
        <w:trPr/>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center"/>
              <w:rPr>
                <w:rFonts w:ascii="Times New Roman" w:hAnsi="Times New Roman"/>
                <w:sz w:val="22"/>
                <w:szCs w:val="22"/>
              </w:rPr>
            </w:pPr>
            <w:r>
              <w:rPr>
                <w:rFonts w:ascii="Times New Roman" w:hAnsi="Times New Roman"/>
                <w:sz w:val="22"/>
                <w:szCs w:val="22"/>
              </w:rPr>
              <w:t>Regulatory exposure</w:t>
            </w:r>
          </w:p>
        </w:tc>
        <w:tc>
          <w:tcPr>
            <w:tcW w:w="69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rPr>
                <w:rFonts w:ascii="Times New Roman" w:hAnsi="Times New Roman"/>
                <w:sz w:val="22"/>
                <w:szCs w:val="22"/>
              </w:rPr>
            </w:pPr>
            <w:r>
              <w:rPr>
                <w:rFonts w:ascii="Times New Roman" w:hAnsi="Times New Roman"/>
                <w:sz w:val="22"/>
                <w:szCs w:val="22"/>
              </w:rPr>
              <w:t>PCI-DSS v4.0 (card data), and general data-protection law applicable to customer PII</w:t>
            </w:r>
          </w:p>
        </w:tc>
      </w:tr>
      <w:tr>
        <w:trPr/>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center"/>
              <w:rPr>
                <w:rFonts w:ascii="Times New Roman" w:hAnsi="Times New Roman"/>
                <w:sz w:val="22"/>
                <w:szCs w:val="22"/>
              </w:rPr>
            </w:pPr>
            <w:r>
              <w:rPr>
                <w:rFonts w:ascii="Times New Roman" w:hAnsi="Times New Roman"/>
                <w:sz w:val="22"/>
                <w:szCs w:val="22"/>
              </w:rPr>
              <w:t>Workforce model</w:t>
            </w:r>
          </w:p>
        </w:tc>
        <w:tc>
          <w:tcPr>
            <w:tcW w:w="69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rPr>
                <w:rFonts w:ascii="Times New Roman" w:hAnsi="Times New Roman"/>
                <w:sz w:val="22"/>
                <w:szCs w:val="22"/>
              </w:rPr>
            </w:pPr>
            <w:r>
              <w:rPr>
                <w:rFonts w:ascii="Times New Roman" w:hAnsi="Times New Roman"/>
                <w:sz w:val="22"/>
                <w:szCs w:val="22"/>
              </w:rPr>
              <w:t>Hybrid: ~60% office-based, ~40% remote or field (warehouse/logistics) staff using a mix of company-issued and personal devices</w:t>
            </w:r>
          </w:p>
        </w:tc>
      </w:tr>
      <w:tr>
        <w:trPr/>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center"/>
              <w:rPr>
                <w:rFonts w:ascii="Times New Roman" w:hAnsi="Times New Roman"/>
                <w:sz w:val="22"/>
                <w:szCs w:val="22"/>
              </w:rPr>
            </w:pPr>
            <w:r>
              <w:rPr>
                <w:rFonts w:ascii="Times New Roman" w:hAnsi="Times New Roman"/>
                <w:sz w:val="22"/>
                <w:szCs w:val="22"/>
              </w:rPr>
              <w:t>IT environment</w:t>
            </w:r>
          </w:p>
        </w:tc>
        <w:tc>
          <w:tcPr>
            <w:tcW w:w="69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rPr>
                <w:rFonts w:ascii="Times New Roman" w:hAnsi="Times New Roman"/>
                <w:sz w:val="22"/>
                <w:szCs w:val="22"/>
              </w:rPr>
            </w:pPr>
            <w:r>
              <w:rPr>
                <w:rFonts w:ascii="Times New Roman" w:hAnsi="Times New Roman"/>
                <w:sz w:val="22"/>
                <w:szCs w:val="22"/>
              </w:rPr>
              <w:t>Cloud-hosted e-commerce platform, on-prem warehouse management system, SaaS tools (email, CRM, HR)</w:t>
            </w:r>
          </w:p>
        </w:tc>
      </w:tr>
      <w:tr>
        <w:trPr/>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center"/>
              <w:rPr>
                <w:rFonts w:ascii="Times New Roman" w:hAnsi="Times New Roman"/>
                <w:sz w:val="22"/>
                <w:szCs w:val="22"/>
              </w:rPr>
            </w:pPr>
            <w:r>
              <w:rPr>
                <w:rFonts w:ascii="Times New Roman" w:hAnsi="Times New Roman"/>
                <w:sz w:val="22"/>
                <w:szCs w:val="22"/>
              </w:rPr>
              <w:t>Prior incidents</w:t>
            </w:r>
          </w:p>
        </w:tc>
        <w:tc>
          <w:tcPr>
            <w:tcW w:w="69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rPr>
                <w:rFonts w:ascii="Times New Roman" w:hAnsi="Times New Roman"/>
                <w:sz w:val="22"/>
                <w:szCs w:val="22"/>
              </w:rPr>
            </w:pPr>
            <w:r>
              <w:rPr>
                <w:rFonts w:ascii="Times New Roman" w:hAnsi="Times New Roman"/>
                <w:sz w:val="22"/>
                <w:szCs w:val="22"/>
              </w:rPr>
              <w:t>One phishing-driven account compromise in the past 12 months; no formal post-incident report was produced</w:t>
            </w:r>
          </w:p>
        </w:tc>
      </w:tr>
    </w:tbl>
    <w:p>
      <w:pPr>
        <w:pStyle w:val="Normal"/>
        <w:spacing w:lineRule="auto" w:line="276" w:before="0" w:after="140"/>
        <w:rPr>
          <w:rFonts w:ascii="Times New Roman" w:hAnsi="Times New Roman"/>
        </w:rPr>
      </w:pPr>
      <w:r>
        <w:rPr>
          <w:rFonts w:ascii="Times New Roman" w:hAnsi="Times New Roman"/>
          <w:sz w:val="22"/>
          <w:szCs w:val="22"/>
        </w:rPr>
        <w:t>This profile matters because it determines which controls are proportionate. A 450-person retailer handling card data has materially different obligations than a 10-person consultancy — the recommendations in this report are calibrated to that context rather than offered as generic advice.</w:t>
      </w:r>
    </w:p>
    <w:p>
      <w:pPr>
        <w:pStyle w:val="Normal"/>
        <w:bidi w:val="0"/>
        <w:spacing w:lineRule="auto" w:line="240" w:before="0" w:after="1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sz w:val="28"/>
          <w:szCs w:val="28"/>
        </w:rPr>
        <w:t>4. CURRENT POLICY — AS-IS BASELINE</w:t>
      </w:r>
    </w:p>
    <w:p>
      <w:pPr>
        <w:pStyle w:val="Normal"/>
        <w:spacing w:lineRule="auto" w:line="276" w:before="0" w:after="140"/>
        <w:rPr>
          <w:rFonts w:ascii="Times New Roman" w:hAnsi="Times New Roman"/>
          <w:sz w:val="22"/>
          <w:szCs w:val="22"/>
        </w:rPr>
      </w:pPr>
      <w:r>
        <w:rPr>
          <w:rFonts w:ascii="Times New Roman" w:hAnsi="Times New Roman"/>
          <w:sz w:val="22"/>
          <w:szCs w:val="22"/>
        </w:rPr>
        <w:t>The table below reproduces the operative language of the current policy for each domain reviewed, exactly as written, before any critique is applied. Two domains have no corresponding policy text at all, which is itself a finding.</w:t>
      </w:r>
    </w:p>
    <w:tbl>
      <w:tblPr>
        <w:tblW w:w="9500" w:type="dxa"/>
        <w:jc w:val="start"/>
        <w:tblInd w:w="0" w:type="dxa"/>
        <w:tblLayout w:type="fixed"/>
        <w:tblCellMar>
          <w:top w:w="55" w:type="dxa"/>
          <w:start w:w="55" w:type="dxa"/>
          <w:bottom w:w="55" w:type="dxa"/>
          <w:end w:w="55" w:type="dxa"/>
        </w:tblCellMar>
      </w:tblPr>
      <w:tblGrid>
        <w:gridCol w:w="499"/>
        <w:gridCol w:w="2600"/>
        <w:gridCol w:w="6401"/>
      </w:tblGrid>
      <w:tr>
        <w:trPr/>
        <w:tc>
          <w:tcPr>
            <w:tcW w:w="499" w:type="dxa"/>
            <w:tcBorders>
              <w:top w:val="single" w:sz="4" w:space="0" w:color="000000"/>
              <w:start w:val="single" w:sz="4" w:space="0" w:color="000000"/>
              <w:bottom w:val="single" w:sz="4" w:space="0" w:color="000000"/>
            </w:tcBorders>
            <w:vAlign w:val="center"/>
          </w:tcPr>
          <w:p>
            <w:pPr>
              <w:pStyle w:val="Normal"/>
              <w:jc w:val="start"/>
              <w:rPr>
                <w:rFonts w:ascii="Times New Roman" w:hAnsi="Times New Roman"/>
                <w:b w:val="false"/>
                <w:bCs w:val="false"/>
                <w:i w:val="false"/>
                <w:iCs w:val="false"/>
                <w:strike w:val="false"/>
                <w:dstrike w:val="false"/>
                <w:outline w:val="false"/>
                <w:shadow w:val="false"/>
                <w:color w:val="000000"/>
                <w:sz w:val="22"/>
                <w:szCs w:val="22"/>
                <w:u w:val="none"/>
              </w:rPr>
            </w:pPr>
            <w:r>
              <w:rPr>
                <w:rFonts w:ascii="Times New Roman" w:hAnsi="Times New Roman"/>
                <w:b/>
                <w:bCs/>
                <w:i w:val="false"/>
                <w:iCs w:val="false"/>
                <w:strike w:val="false"/>
                <w:dstrike w:val="false"/>
                <w:outline w:val="false"/>
                <w:shadow w:val="false"/>
                <w:color w:val="000000"/>
                <w:sz w:val="22"/>
                <w:szCs w:val="22"/>
                <w:u w:val="none"/>
              </w:rPr>
              <w:t>#</w:t>
            </w:r>
          </w:p>
        </w:tc>
        <w:tc>
          <w:tcPr>
            <w:tcW w:w="2600" w:type="dxa"/>
            <w:tcBorders>
              <w:top w:val="single" w:sz="4" w:space="0" w:color="000000"/>
              <w:start w:val="single" w:sz="4" w:space="0" w:color="000000"/>
              <w:bottom w:val="single" w:sz="4" w:space="0" w:color="000000"/>
            </w:tcBorders>
            <w:vAlign w:val="center"/>
          </w:tcPr>
          <w:p>
            <w:pPr>
              <w:pStyle w:val="Normal"/>
              <w:jc w:val="start"/>
              <w:rPr>
                <w:rFonts w:ascii="Times New Roman" w:hAnsi="Times New Roman"/>
                <w:b/>
                <w:bCs/>
                <w:i w:val="false"/>
                <w:iCs w:val="false"/>
                <w:strike w:val="false"/>
                <w:dstrike w:val="false"/>
                <w:outline w:val="false"/>
                <w:shadow w:val="false"/>
                <w:color w:val="000000"/>
                <w:sz w:val="22"/>
                <w:szCs w:val="22"/>
                <w:u w:val="none"/>
              </w:rPr>
            </w:pPr>
            <w:r>
              <w:rPr>
                <w:rFonts w:ascii="Times New Roman" w:hAnsi="Times New Roman"/>
                <w:b/>
                <w:bCs/>
                <w:i w:val="false"/>
                <w:iCs w:val="false"/>
                <w:strike w:val="false"/>
                <w:dstrike w:val="false"/>
                <w:outline w:val="false"/>
                <w:shadow w:val="false"/>
                <w:color w:val="000000"/>
                <w:sz w:val="22"/>
                <w:szCs w:val="22"/>
                <w:u w:val="none"/>
              </w:rPr>
              <w:t>Domain</w:t>
            </w:r>
          </w:p>
        </w:tc>
        <w:tc>
          <w:tcPr>
            <w:tcW w:w="6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b/>
                <w:bCs/>
                <w:i w:val="false"/>
                <w:iCs w:val="false"/>
                <w:strike w:val="false"/>
                <w:dstrike w:val="false"/>
                <w:outline w:val="false"/>
                <w:shadow w:val="false"/>
                <w:color w:val="000000"/>
                <w:sz w:val="22"/>
                <w:szCs w:val="22"/>
                <w:u w:val="none"/>
              </w:rPr>
            </w:pPr>
            <w:r>
              <w:rPr>
                <w:rFonts w:ascii="Times New Roman" w:hAnsi="Times New Roman"/>
                <w:b/>
                <w:bCs/>
                <w:i w:val="false"/>
                <w:iCs w:val="false"/>
                <w:strike w:val="false"/>
                <w:dstrike w:val="false"/>
                <w:outline w:val="false"/>
                <w:shadow w:val="false"/>
                <w:color w:val="000000"/>
                <w:sz w:val="22"/>
                <w:szCs w:val="22"/>
                <w:u w:val="none"/>
              </w:rPr>
              <w:t>Current Policy Text (verbatim)</w:t>
            </w:r>
          </w:p>
        </w:tc>
      </w:tr>
      <w:tr>
        <w:trPr/>
        <w:tc>
          <w:tcPr>
            <w:tcW w:w="499"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1</w:t>
            </w:r>
          </w:p>
        </w:tc>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Password &amp; Authentication</w:t>
            </w:r>
          </w:p>
        </w:tc>
        <w:tc>
          <w:tcPr>
            <w:tcW w:w="6401"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w:t>
            </w:r>
            <w:r>
              <w:rPr>
                <w:rFonts w:ascii="Times New Roman" w:hAnsi="Times New Roman"/>
                <w:b w:val="false"/>
                <w:bCs w:val="false"/>
                <w:sz w:val="22"/>
                <w:szCs w:val="22"/>
              </w:rPr>
              <w:t>Employees must choose a password that is at least 8 characters long and contains at least one number. Passwords must be changed every 180 days.”</w:t>
            </w:r>
          </w:p>
        </w:tc>
      </w:tr>
      <w:tr>
        <w:trPr/>
        <w:tc>
          <w:tcPr>
            <w:tcW w:w="499"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2</w:t>
            </w:r>
          </w:p>
        </w:tc>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Access Control</w:t>
            </w:r>
          </w:p>
        </w:tc>
        <w:tc>
          <w:tcPr>
            <w:tcW w:w="6401"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w:t>
            </w:r>
            <w:r>
              <w:rPr>
                <w:rFonts w:ascii="Times New Roman" w:hAnsi="Times New Roman"/>
                <w:b w:val="false"/>
                <w:bCs w:val="false"/>
                <w:sz w:val="22"/>
                <w:szCs w:val="22"/>
              </w:rPr>
              <w:t>All new employees are granted access to the shared company drive as part of onboarding. Access is reviewed if a manager requests a change.”</w:t>
            </w:r>
          </w:p>
        </w:tc>
      </w:tr>
      <w:tr>
        <w:trPr/>
        <w:tc>
          <w:tcPr>
            <w:tcW w:w="499"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3</w:t>
            </w:r>
          </w:p>
        </w:tc>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Data Classification</w:t>
            </w:r>
          </w:p>
        </w:tc>
        <w:tc>
          <w:tcPr>
            <w:tcW w:w="6401" w:type="dxa"/>
            <w:tcBorders>
              <w:top w:val="single" w:sz="4" w:space="0" w:color="000000"/>
              <w:start w:val="single" w:sz="4" w:space="0" w:color="000000"/>
              <w:bottom w:val="single" w:sz="4" w:space="0" w:color="000000"/>
              <w:end w:val="single" w:sz="4" w:space="0" w:color="000000"/>
            </w:tcBorders>
            <w:shd w:fill="F8CBAD" w:val="clear"/>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No policy exists.</w:t>
            </w:r>
          </w:p>
        </w:tc>
      </w:tr>
      <w:tr>
        <w:trPr/>
        <w:tc>
          <w:tcPr>
            <w:tcW w:w="499"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4</w:t>
            </w:r>
          </w:p>
        </w:tc>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Incident Response</w:t>
            </w:r>
          </w:p>
        </w:tc>
        <w:tc>
          <w:tcPr>
            <w:tcW w:w="6401"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w:t>
            </w:r>
            <w:r>
              <w:rPr>
                <w:rFonts w:ascii="Times New Roman" w:hAnsi="Times New Roman"/>
                <w:b w:val="false"/>
                <w:bCs w:val="false"/>
                <w:sz w:val="22"/>
                <w:szCs w:val="22"/>
              </w:rPr>
              <w:t>If you notice anything suspicious on your computer, please let the IT Manager know as soon as possible.”</w:t>
            </w:r>
          </w:p>
        </w:tc>
      </w:tr>
      <w:tr>
        <w:trPr/>
        <w:tc>
          <w:tcPr>
            <w:tcW w:w="499"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5</w:t>
            </w:r>
          </w:p>
        </w:tc>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Remote Work / BYOD</w:t>
            </w:r>
          </w:p>
        </w:tc>
        <w:tc>
          <w:tcPr>
            <w:tcW w:w="6401"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w:t>
            </w:r>
            <w:r>
              <w:rPr>
                <w:rFonts w:ascii="Times New Roman" w:hAnsi="Times New Roman"/>
                <w:b w:val="false"/>
                <w:bCs w:val="false"/>
                <w:sz w:val="22"/>
                <w:szCs w:val="22"/>
              </w:rPr>
              <w:t>Employees may use their personal phone or laptop to check company email and access shared files when working outside the office.”</w:t>
            </w:r>
          </w:p>
        </w:tc>
      </w:tr>
      <w:tr>
        <w:trPr/>
        <w:tc>
          <w:tcPr>
            <w:tcW w:w="499"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6</w:t>
            </w:r>
          </w:p>
        </w:tc>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Third-Party / Vendor Management</w:t>
            </w:r>
          </w:p>
        </w:tc>
        <w:tc>
          <w:tcPr>
            <w:tcW w:w="6401" w:type="dxa"/>
            <w:tcBorders>
              <w:top w:val="single" w:sz="4" w:space="0" w:color="000000"/>
              <w:start w:val="single" w:sz="4" w:space="0" w:color="000000"/>
              <w:bottom w:val="single" w:sz="4" w:space="0" w:color="000000"/>
              <w:end w:val="single" w:sz="4" w:space="0" w:color="000000"/>
            </w:tcBorders>
            <w:shd w:fill="F8CBAD" w:val="clear"/>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No policy exists.</w:t>
            </w:r>
          </w:p>
        </w:tc>
      </w:tr>
      <w:tr>
        <w:trPr/>
        <w:tc>
          <w:tcPr>
            <w:tcW w:w="499"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7</w:t>
            </w:r>
          </w:p>
        </w:tc>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Security Awareness Training</w:t>
            </w:r>
          </w:p>
        </w:tc>
        <w:tc>
          <w:tcPr>
            <w:tcW w:w="6401"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w:t>
            </w:r>
            <w:r>
              <w:rPr>
                <w:rFonts w:ascii="Times New Roman" w:hAnsi="Times New Roman"/>
                <w:b w:val="false"/>
                <w:bCs w:val="false"/>
                <w:sz w:val="22"/>
                <w:szCs w:val="22"/>
              </w:rPr>
              <w:t>All new hires receive a security overview as part of their first-week orientation.”</w:t>
            </w:r>
          </w:p>
        </w:tc>
      </w:tr>
      <w:tr>
        <w:trPr/>
        <w:tc>
          <w:tcPr>
            <w:tcW w:w="499"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8</w:t>
            </w:r>
          </w:p>
        </w:tc>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Monitoring &amp; Logging</w:t>
            </w:r>
          </w:p>
        </w:tc>
        <w:tc>
          <w:tcPr>
            <w:tcW w:w="6401" w:type="dxa"/>
            <w:tcBorders>
              <w:top w:val="single" w:sz="4" w:space="0" w:color="000000"/>
              <w:start w:val="single" w:sz="4" w:space="0" w:color="000000"/>
              <w:bottom w:val="single" w:sz="4" w:space="0" w:color="000000"/>
              <w:end w:val="single" w:sz="4" w:space="0" w:color="000000"/>
            </w:tcBorders>
            <w:shd w:fill="F8CBAD" w:val="clear"/>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No policy exists.</w:t>
            </w:r>
          </w:p>
        </w:tc>
      </w:tr>
      <w:tr>
        <w:trPr/>
        <w:tc>
          <w:tcPr>
            <w:tcW w:w="499"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9</w:t>
            </w:r>
          </w:p>
        </w:tc>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Physical Security</w:t>
            </w:r>
          </w:p>
        </w:tc>
        <w:tc>
          <w:tcPr>
            <w:tcW w:w="6401"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w:t>
            </w:r>
            <w:r>
              <w:rPr>
                <w:rFonts w:ascii="Times New Roman" w:hAnsi="Times New Roman"/>
                <w:b w:val="false"/>
                <w:bCs w:val="false"/>
                <w:sz w:val="22"/>
                <w:szCs w:val="22"/>
              </w:rPr>
              <w:t>All staff are issued an access badge. Visitors must sign in at the front desk.”</w:t>
            </w:r>
          </w:p>
        </w:tc>
      </w:tr>
      <w:tr>
        <w:trPr/>
        <w:tc>
          <w:tcPr>
            <w:tcW w:w="499"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10</w:t>
            </w:r>
          </w:p>
        </w:tc>
        <w:tc>
          <w:tcPr>
            <w:tcW w:w="2600"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Backup &amp; Business Continuity</w:t>
            </w:r>
          </w:p>
        </w:tc>
        <w:tc>
          <w:tcPr>
            <w:tcW w:w="6401" w:type="dxa"/>
            <w:tcBorders>
              <w:top w:val="single" w:sz="4" w:space="0" w:color="000000"/>
              <w:start w:val="single" w:sz="4" w:space="0" w:color="000000"/>
              <w:bottom w:val="single" w:sz="4" w:space="0" w:color="000000"/>
              <w:end w:val="single" w:sz="4" w:space="0" w:color="000000"/>
            </w:tcBorders>
            <w:tcMar>
              <w:top w:w="80" w:type="dxa"/>
              <w:start w:w="100" w:type="dxa"/>
              <w:bottom w:w="80" w:type="dxa"/>
              <w:end w:w="100" w:type="dxa"/>
            </w:tcMar>
            <w:vAlign w:val="center"/>
          </w:tcPr>
          <w:p>
            <w:pPr>
              <w:pStyle w:val="Normal"/>
              <w:jc w:val="start"/>
              <w:rPr>
                <w:rFonts w:ascii="Times New Roman" w:hAnsi="Times New Roman"/>
                <w:sz w:val="22"/>
                <w:szCs w:val="22"/>
              </w:rPr>
            </w:pPr>
            <w:r>
              <w:rPr>
                <w:rFonts w:ascii="Times New Roman" w:hAnsi="Times New Roman"/>
                <w:b w:val="false"/>
                <w:bCs w:val="false"/>
                <w:sz w:val="22"/>
                <w:szCs w:val="22"/>
              </w:rPr>
              <w:t>“</w:t>
            </w:r>
            <w:r>
              <w:rPr>
                <w:rFonts w:ascii="Times New Roman" w:hAnsi="Times New Roman"/>
                <w:b w:val="false"/>
                <w:bCs w:val="false"/>
                <w:sz w:val="22"/>
                <w:szCs w:val="22"/>
              </w:rPr>
              <w:t>IT performs backups of critical systems periodically.”</w:t>
            </w:r>
          </w:p>
        </w:tc>
      </w:tr>
    </w:tbl>
    <w:p>
      <w:pPr>
        <w:pStyle w:val="Normal"/>
        <w:spacing w:lineRule="auto" w:line="276" w:before="0" w:after="140"/>
        <w:rPr>
          <w:rFonts w:ascii="Times New Roman" w:hAnsi="Times New Roman"/>
        </w:rPr>
      </w:pPr>
      <w:r>
        <w:rPr>
          <w:rFonts w:ascii="Times New Roman" w:hAnsi="Times New Roman"/>
        </w:rPr>
      </w:r>
    </w:p>
    <w:p>
      <w:pPr>
        <w:pStyle w:val="Normal"/>
        <w:spacing w:lineRule="auto" w:line="276" w:before="0" w:after="140"/>
        <w:rPr>
          <w:rFonts w:ascii="Times New Roman" w:hAnsi="Times New Roman"/>
          <w:sz w:val="28"/>
          <w:szCs w:val="28"/>
        </w:rPr>
      </w:pPr>
      <w:r>
        <w:rPr>
          <w:rFonts w:ascii="Times New Roman" w:hAnsi="Times New Roman"/>
          <w:sz w:val="28"/>
          <w:szCs w:val="28"/>
        </w:rPr>
        <w:t>5. DETAILED FINDINGS AND RECOMMENDATIONS</w:t>
      </w:r>
    </w:p>
    <w:p>
      <w:pPr>
        <w:pStyle w:val="Normal"/>
        <w:spacing w:lineRule="auto" w:line="276" w:before="0" w:after="140"/>
        <w:rPr>
          <w:rFonts w:ascii="Times New Roman" w:hAnsi="Times New Roman"/>
        </w:rPr>
      </w:pPr>
      <w:r>
        <w:rPr>
          <w:rFonts w:ascii="Times New Roman" w:hAnsi="Times New Roman"/>
          <w:sz w:val="22"/>
          <w:szCs w:val="22"/>
        </w:rPr>
        <w:t>Each subsection below follows the same structure: the current language, why it is a problem, the external evidence that supports the concern, a concrete recommendation, and suggested replacement wording.</w:t>
      </w:r>
    </w:p>
    <w:p>
      <w:pPr>
        <w:pStyle w:val="Normal"/>
        <w:bidi w:val="0"/>
        <w:spacing w:lineRule="auto" w:line="240" w:before="0" w:after="83"/>
        <w:jc w:val="start"/>
        <w:rPr>
          <w:rFonts w:ascii="Times New Roman" w:hAnsi="Times New Roman"/>
          <w:sz w:val="24"/>
          <w:szCs w:val="24"/>
          <w:u w:val="single"/>
        </w:rPr>
      </w:pPr>
      <w:r>
        <w:rPr>
          <w:rFonts w:ascii="Times New Roman" w:hAnsi="Times New Roman"/>
          <w:sz w:val="24"/>
          <w:szCs w:val="24"/>
          <w:u w:val="single"/>
        </w:rPr>
        <w:t>5.1 Password &amp; Authentication Policy</w:t>
      </w:r>
    </w:p>
    <w:p>
      <w:pPr>
        <w:pStyle w:val="Normal"/>
        <w:rPr/>
      </w:pPr>
      <w:r>
        <w:rPr/>
        <w:t xml:space="preserve">Current Policy Language: </w:t>
      </w:r>
      <w:r>
        <w:rPr>
          <w:i/>
          <w:iCs/>
          <w:sz w:val="20"/>
          <w:szCs w:val="20"/>
        </w:rPr>
        <w:t>“Employees must choose a password that is at least 8 characters long and contains at least one number. Passwords must be changed every 180 days.”</w:t>
      </w:r>
    </w:p>
    <w:p>
      <w:pPr>
        <w:pStyle w:val="Normal"/>
        <w:spacing w:lineRule="auto" w:line="276" w:before="0" w:after="140"/>
        <w:rPr>
          <w:rFonts w:ascii="Times New Roman" w:hAnsi="Times New Roman"/>
          <w:sz w:val="22"/>
          <w:szCs w:val="22"/>
        </w:rPr>
      </w:pPr>
      <w:r>
        <w:rPr>
          <w:rFonts w:ascii="Times New Roman" w:hAnsi="Times New Roman"/>
          <w:b/>
          <w:bCs/>
          <w:sz w:val="22"/>
          <w:szCs w:val="22"/>
        </w:rPr>
        <w:t>Why this is a problem:</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8 characters with only one required digit falls well below NIST SP 800-63B guidance, which favors length and screening against known-breached password lists over complexity rules.</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A mandatory 180-day rotation with no reuse restriction encourages predictable, incrementally-modified passwords (e.g., 'Summer2026!' → 'Summer2026!!'), a well-documented weakness.</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There is no mention of multi-factor authentication (MFA) anywhere in the policy, despite MFA being one of the single highest-return controls against credential-based attacks.</w:t>
      </w:r>
    </w:p>
    <w:p>
      <w:pPr>
        <w:pStyle w:val="Normal"/>
        <w:spacing w:before="60" w:after="140"/>
        <w:rPr>
          <w:rFonts w:ascii="Times New Roman" w:hAnsi="Times New Roman"/>
          <w:sz w:val="22"/>
          <w:szCs w:val="22"/>
        </w:rPr>
      </w:pPr>
      <w:r>
        <w:rPr>
          <w:rFonts w:ascii="Times New Roman" w:hAnsi="Times New Roman"/>
          <w:b/>
          <w:bCs/>
          <w:sz w:val="22"/>
          <w:szCs w:val="22"/>
        </w:rPr>
        <w:t xml:space="preserve">Supporting data: </w:t>
      </w:r>
      <w:r>
        <w:rPr>
          <w:rFonts w:ascii="Times New Roman" w:hAnsi="Times New Roman"/>
          <w:i/>
          <w:iCs/>
          <w:sz w:val="22"/>
          <w:szCs w:val="22"/>
        </w:rPr>
        <w:t>Verizon's 2025 DBIR (22,052 incidents, 12,195 confirmed breaches analyzed) found stolen or weak credentials to be the leading initial access vector, and separate DBIR research on infostealer logs found that, in the median case, only 49% of a user's passwords across different services were unique — meaning a single weak, reused password is very likely to unlock other accounts.</w:t>
      </w:r>
    </w:p>
    <w:p>
      <w:pPr>
        <w:pStyle w:val="Normal"/>
        <w:spacing w:lineRule="auto" w:line="276" w:before="0" w:after="140"/>
        <w:rPr>
          <w:rFonts w:ascii="Times New Roman" w:hAnsi="Times New Roman"/>
          <w:sz w:val="22"/>
          <w:szCs w:val="22"/>
        </w:rPr>
      </w:pPr>
      <w:r>
        <w:rPr>
          <w:rFonts w:ascii="Times New Roman" w:hAnsi="Times New Roman"/>
          <w:b/>
          <w:bCs/>
          <w:sz w:val="22"/>
          <w:szCs w:val="22"/>
        </w:rPr>
        <w:t>Recommendation:</w:t>
      </w:r>
    </w:p>
    <w:p>
      <w:pPr>
        <w:pStyle w:val="Normal"/>
        <w:spacing w:lineRule="auto" w:line="276" w:before="0" w:after="140"/>
        <w:rPr>
          <w:rFonts w:ascii="Times New Roman" w:hAnsi="Times New Roman"/>
          <w:sz w:val="22"/>
          <w:szCs w:val="22"/>
        </w:rPr>
      </w:pPr>
      <w:r>
        <w:rPr>
          <w:rFonts w:ascii="Times New Roman" w:hAnsi="Times New Roman"/>
          <w:sz w:val="22"/>
          <w:szCs w:val="22"/>
        </w:rPr>
        <w:t>Raise the minimum length to 12 characters (14+ for privileged/admin accounts), remove the forced 180-day rotation in favor of rotation only on suspected compromise, screen new passwords against a breached-password list, and mandate MFA for all accounts with access to email, the e-commerce platform, payment systems, or the company VPN.</w:t>
      </w:r>
    </w:p>
    <w:p>
      <w:pPr>
        <w:pStyle w:val="Normal"/>
        <w:spacing w:before="114" w:after="114"/>
        <w:rPr/>
      </w:pPr>
      <w:r>
        <w:rPr/>
        <w:t xml:space="preserve">Suggested Revised Language: </w:t>
      </w:r>
      <w:r>
        <w:rPr>
          <w:i/>
          <w:iCs/>
          <w:sz w:val="20"/>
          <w:szCs w:val="20"/>
        </w:rPr>
        <w:t>“Passwords must be at least 12 characters long (14 for administrator and finance-system accounts) and are checked at creation against a database of known-breached passwords; the reuse of a password across more than one company system is prohibited. Passwords are only required to be changed if compromise is suspected or confirmed. Multi-factor authentication is required for all accounts with access to email, the e-commerce platform, payment systems, or the corporate VPN.”</w:t>
      </w:r>
    </w:p>
    <w:p>
      <w:pPr>
        <w:pStyle w:val="Normal"/>
        <w:bidi w:val="0"/>
        <w:spacing w:lineRule="auto" w:line="240" w:before="0" w:after="83"/>
        <w:jc w:val="start"/>
        <w:rPr>
          <w:rFonts w:ascii="Times New Roman" w:hAnsi="Times New Roman"/>
          <w:sz w:val="22"/>
          <w:szCs w:val="22"/>
          <w:u w:val="single"/>
        </w:rPr>
      </w:pPr>
      <w:r>
        <w:rPr>
          <w:rFonts w:ascii="Times New Roman" w:hAnsi="Times New Roman"/>
          <w:b/>
          <w:bCs/>
          <w:sz w:val="22"/>
          <w:szCs w:val="22"/>
          <w:u w:val="single"/>
        </w:rPr>
        <w:t xml:space="preserve">Maturity Score:  1.5 / 5.0 →  </w:t>
      </w:r>
      <w:r>
        <w:rPr>
          <w:rFonts w:ascii="Times New Roman" w:hAnsi="Times New Roman"/>
          <w:b/>
          <w:bCs/>
          <w:color w:val="375623"/>
          <w:sz w:val="22"/>
          <w:szCs w:val="22"/>
          <w:u w:val="single"/>
        </w:rPr>
        <w:t>4.0 / 5.0 (target)</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5.2 Access Control</w:t>
      </w:r>
    </w:p>
    <w:p>
      <w:pPr>
        <w:pStyle w:val="Normal"/>
        <w:rPr>
          <w:i/>
          <w:iCs/>
        </w:rPr>
      </w:pPr>
      <w:r>
        <w:rPr>
          <w:i/>
          <w:iCs/>
          <w:sz w:val="22"/>
          <w:szCs w:val="22"/>
        </w:rPr>
        <w:t xml:space="preserve">Current Policy Language: </w:t>
      </w:r>
      <w:r>
        <w:rPr>
          <w:i/>
          <w:iCs/>
          <w:sz w:val="20"/>
          <w:szCs w:val="20"/>
        </w:rPr>
        <w:t>“All new employees are granted access to the shared company drive as part of onboarding. Access is reviewed if a manager requests a change.”</w:t>
      </w:r>
    </w:p>
    <w:p>
      <w:pPr>
        <w:pStyle w:val="Normal"/>
        <w:spacing w:lineRule="auto" w:line="276" w:before="0" w:after="140"/>
        <w:rPr>
          <w:rFonts w:ascii="Times New Roman" w:hAnsi="Times New Roman"/>
          <w:sz w:val="22"/>
          <w:szCs w:val="22"/>
        </w:rPr>
      </w:pPr>
      <w:r>
        <w:rPr>
          <w:rFonts w:ascii="Times New Roman" w:hAnsi="Times New Roman"/>
          <w:b/>
          <w:bCs/>
          <w:sz w:val="22"/>
          <w:szCs w:val="22"/>
        </w:rPr>
        <w:t>Why this is a problem:</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Granting blanket drive access to every new hire violates the principle of least privilege; a warehouse associate has no legitimate business need to access Finance or HR folders.</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Access reviews that only happen ‘if a manager requests a change’ are reactive, not scheduled, meaning access can silently accumulate for years (‘privilege creep’) and is unlikely to be caught during offboarding.</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There is no defined timeline for revoking access when someone leaves the company, creating a window where a departed employee (or their compromised credentials) could still reach company systems.</w:t>
      </w:r>
    </w:p>
    <w:p>
      <w:pPr>
        <w:pStyle w:val="Normal"/>
        <w:spacing w:before="60" w:after="140"/>
        <w:rPr>
          <w:rFonts w:ascii="Times New Roman" w:hAnsi="Times New Roman"/>
          <w:sz w:val="22"/>
          <w:szCs w:val="22"/>
        </w:rPr>
      </w:pPr>
      <w:r>
        <w:rPr>
          <w:rFonts w:ascii="Times New Roman" w:hAnsi="Times New Roman"/>
          <w:b/>
          <w:bCs/>
          <w:sz w:val="22"/>
          <w:szCs w:val="22"/>
        </w:rPr>
        <w:t xml:space="preserve">Supporting data: </w:t>
      </w:r>
      <w:r>
        <w:rPr>
          <w:rFonts w:ascii="Times New Roman" w:hAnsi="Times New Roman"/>
          <w:i/>
          <w:iCs/>
          <w:sz w:val="22"/>
          <w:szCs w:val="22"/>
        </w:rPr>
        <w:t>IBM's Cost of a Data Breach Report 2025 found that breaches caused by malicious insiders were the most expensive category, averaging $4.92 million, well above the $4.44 million global average — a gap that broad, unmonitored access widens.</w:t>
      </w:r>
    </w:p>
    <w:p>
      <w:pPr>
        <w:pStyle w:val="Normal"/>
        <w:spacing w:lineRule="auto" w:line="276" w:before="0" w:after="0"/>
        <w:rPr>
          <w:rFonts w:ascii="Times New Roman" w:hAnsi="Times New Roman"/>
          <w:sz w:val="22"/>
          <w:szCs w:val="22"/>
        </w:rPr>
      </w:pPr>
      <w:r>
        <w:rPr>
          <w:rFonts w:ascii="Times New Roman" w:hAnsi="Times New Roman"/>
          <w:b/>
          <w:bCs/>
          <w:sz w:val="22"/>
          <w:szCs w:val="22"/>
        </w:rPr>
        <w:t>Recommendation:</w:t>
      </w:r>
    </w:p>
    <w:p>
      <w:pPr>
        <w:pStyle w:val="Normal"/>
        <w:spacing w:lineRule="auto" w:line="276" w:before="0" w:after="0"/>
        <w:rPr>
          <w:rFonts w:ascii="Times New Roman" w:hAnsi="Times New Roman"/>
          <w:sz w:val="22"/>
          <w:szCs w:val="22"/>
        </w:rPr>
      </w:pPr>
      <w:r>
        <w:rPr>
          <w:rFonts w:ascii="Times New Roman" w:hAnsi="Times New Roman"/>
          <w:sz w:val="22"/>
          <w:szCs w:val="22"/>
        </w:rPr>
        <w:t>Move to role-based access control (RBAC) tied to job function, with access to each folder/system justified at request time; require access to be revoked within 4 business hours of an employee's last working day; and mandate a quarterly access recertification by data/system owners.</w:t>
      </w:r>
    </w:p>
    <w:p>
      <w:pPr>
        <w:pStyle w:val="Normal"/>
        <w:rPr/>
      </w:pPr>
      <w:r>
        <w:rPr>
          <w:sz w:val="22"/>
          <w:szCs w:val="22"/>
        </w:rPr>
        <w:t xml:space="preserve">Suggested Revised Language: </w:t>
      </w:r>
      <w:r>
        <w:rPr>
          <w:i/>
          <w:iCs/>
          <w:sz w:val="20"/>
          <w:szCs w:val="20"/>
        </w:rPr>
        <w:t>“Access to company systems and folders is granted based on job role and the principle of least privilege; access outside the default role bundle requires manager approval and is logged. All system and network access must be revoked within 4 business hours of an employee's last working day. Data owners must recertify user access lists on a quarterly basis and remove any access no longer required.”</w:t>
      </w:r>
    </w:p>
    <w:p>
      <w:pPr>
        <w:pStyle w:val="ListParagraph"/>
        <w:bidi w:val="0"/>
        <w:spacing w:lineRule="auto" w:line="240" w:before="0" w:after="80"/>
        <w:jc w:val="start"/>
        <w:rPr>
          <w:rFonts w:ascii="Times New Roman" w:hAnsi="Times New Roman"/>
          <w:sz w:val="22"/>
          <w:szCs w:val="22"/>
          <w:u w:val="single"/>
        </w:rPr>
      </w:pPr>
      <w:r>
        <w:rPr>
          <w:rFonts w:ascii="Times New Roman" w:hAnsi="Times New Roman"/>
          <w:b/>
          <w:bCs/>
          <w:sz w:val="22"/>
          <w:szCs w:val="22"/>
          <w:u w:val="single"/>
        </w:rPr>
        <w:t xml:space="preserve">Maturity Score:  1.5 / 5.0  →  </w:t>
      </w:r>
      <w:r>
        <w:rPr>
          <w:rFonts w:ascii="Times New Roman" w:hAnsi="Times New Roman"/>
          <w:b/>
          <w:bCs/>
          <w:color w:val="375623"/>
          <w:sz w:val="22"/>
          <w:szCs w:val="22"/>
          <w:u w:val="single"/>
        </w:rPr>
        <w:t>3.8 / 5.0 (target)</w:t>
      </w:r>
    </w:p>
    <w:p>
      <w:pPr>
        <w:pStyle w:val="ListParagraph"/>
        <w:bidi w:val="0"/>
        <w:spacing w:lineRule="auto" w:line="240" w:before="0" w:after="80"/>
        <w:jc w:val="start"/>
        <w:rPr>
          <w:rFonts w:ascii="Times New Roman" w:hAnsi="Times New Roman"/>
          <w:b/>
          <w:bCs/>
          <w:color w:val="375623"/>
          <w:sz w:val="22"/>
          <w:szCs w:val="22"/>
          <w:u w:val="single"/>
        </w:rPr>
      </w:pPr>
      <w:r>
        <w:rPr>
          <w:rFonts w:ascii="Times New Roman" w:hAnsi="Times New Roman"/>
          <w:b/>
          <w:bCs/>
          <w:color w:val="375623"/>
          <w:sz w:val="22"/>
          <w:szCs w:val="22"/>
          <w:u w:val="single"/>
        </w:rPr>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5.3 Data Classification &amp; Handling</w:t>
      </w:r>
    </w:p>
    <w:p>
      <w:pPr>
        <w:pStyle w:val="Normal"/>
        <w:rPr/>
      </w:pPr>
      <w:r>
        <w:rPr>
          <w:sz w:val="22"/>
          <w:szCs w:val="22"/>
        </w:rPr>
        <w:t>Current Policy Language:</w:t>
      </w:r>
      <w:r>
        <w:rPr/>
        <w:t xml:space="preserve"> </w:t>
      </w:r>
      <w:r>
        <w:rPr>
          <w:i/>
          <w:iCs/>
          <w:sz w:val="20"/>
          <w:szCs w:val="20"/>
        </w:rPr>
        <w:t>“No policy exists.”</w:t>
      </w:r>
    </w:p>
    <w:p>
      <w:pPr>
        <w:pStyle w:val="Normal"/>
        <w:spacing w:lineRule="auto" w:line="276" w:before="0" w:after="140"/>
        <w:rPr>
          <w:rFonts w:ascii="Times New Roman" w:hAnsi="Times New Roman"/>
          <w:sz w:val="22"/>
          <w:szCs w:val="22"/>
        </w:rPr>
      </w:pPr>
      <w:r>
        <w:rPr>
          <w:rFonts w:ascii="Times New Roman" w:hAnsi="Times New Roman"/>
          <w:b/>
          <w:bCs/>
          <w:sz w:val="22"/>
          <w:szCs w:val="22"/>
        </w:rPr>
        <w:t>Why this is a problem:</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With no classification tiers, employees have no rule to follow when deciding whether a file can be emailed externally, stored on a personal device, or must be encrypted.</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PCI-DSS v4.0 explicitly requires that cardholder data be identified, classified, and handled according to defined data-retention and protection rules — a gap here creates a direct compliance failure, not just a best-practice gap.</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Absence of classification also makes the Incident Response process (Section 5.4) far harder to scope: responders cannot quickly determine whether a compromised system held regulated data.</w:t>
      </w:r>
    </w:p>
    <w:p>
      <w:pPr>
        <w:pStyle w:val="Normal"/>
        <w:spacing w:before="60" w:after="140"/>
        <w:rPr>
          <w:rFonts w:ascii="Times New Roman" w:hAnsi="Times New Roman"/>
          <w:sz w:val="22"/>
          <w:szCs w:val="22"/>
        </w:rPr>
      </w:pPr>
      <w:r>
        <w:rPr>
          <w:rFonts w:ascii="Times New Roman" w:hAnsi="Times New Roman"/>
          <w:b/>
          <w:bCs/>
          <w:sz w:val="22"/>
          <w:szCs w:val="22"/>
        </w:rPr>
        <w:t xml:space="preserve">Supporting data: </w:t>
      </w:r>
      <w:r>
        <w:rPr>
          <w:rFonts w:ascii="Times New Roman" w:hAnsi="Times New Roman"/>
          <w:i/>
          <w:iCs/>
          <w:sz w:val="22"/>
          <w:szCs w:val="22"/>
        </w:rPr>
        <w:t>Without classification, staff cannot distinguish a public marketing file from a spreadsheet of customer card data — a gap directly relevant given that payment data breaches at retailers of Nimbus's size and sector have historically stemmed from card data being stored or shared outside approved, encrypted systems.</w:t>
      </w:r>
    </w:p>
    <w:p>
      <w:pPr>
        <w:pStyle w:val="Normal"/>
        <w:spacing w:lineRule="auto" w:line="240" w:before="57" w:after="57"/>
        <w:rPr>
          <w:rFonts w:ascii="Times New Roman" w:hAnsi="Times New Roman"/>
          <w:sz w:val="22"/>
          <w:szCs w:val="22"/>
        </w:rPr>
      </w:pPr>
      <w:r>
        <w:rPr>
          <w:rFonts w:ascii="Times New Roman" w:hAnsi="Times New Roman"/>
          <w:b/>
          <w:bCs/>
          <w:sz w:val="22"/>
          <w:szCs w:val="22"/>
        </w:rPr>
        <w:t>Recommendation:</w:t>
      </w:r>
    </w:p>
    <w:p>
      <w:pPr>
        <w:pStyle w:val="Normal"/>
        <w:spacing w:lineRule="auto" w:line="240" w:before="57" w:after="57"/>
        <w:rPr>
          <w:rFonts w:ascii="Times New Roman" w:hAnsi="Times New Roman"/>
          <w:sz w:val="22"/>
          <w:szCs w:val="22"/>
        </w:rPr>
      </w:pPr>
      <w:r>
        <w:rPr>
          <w:rFonts w:ascii="Times New Roman" w:hAnsi="Times New Roman"/>
          <w:sz w:val="22"/>
          <w:szCs w:val="22"/>
        </w:rPr>
        <w:t>Introduce a simple three-tier classification scheme (Public, Internal, Restricted) with clear handling rules per tier, and explicitly designate cardholder data and PII as Restricted with mandatory encryption at rest and in transit.</w:t>
      </w:r>
    </w:p>
    <w:p>
      <w:pPr>
        <w:pStyle w:val="Normal"/>
        <w:spacing w:before="57" w:after="57"/>
        <w:rPr/>
      </w:pPr>
      <w:r>
        <w:rPr>
          <w:sz w:val="22"/>
          <w:szCs w:val="22"/>
        </w:rPr>
        <w:t>Suggested Revised Language:</w:t>
      </w:r>
      <w:r>
        <w:rPr/>
        <w:t xml:space="preserve"> </w:t>
      </w:r>
      <w:r>
        <w:rPr>
          <w:i/>
          <w:iCs/>
          <w:sz w:val="20"/>
          <w:szCs w:val="20"/>
        </w:rPr>
        <w:t>“All company data must be classified as Public, Internal, or Restricted at the time of creation. Restricted data (including payment card data, customer PII, and employee records) must be encrypted at rest and in transit, may not be stored on personal devices or personal cloud storage, and may only be shared externally through an approved secure-transfer method.”</w:t>
      </w:r>
    </w:p>
    <w:p>
      <w:pPr>
        <w:pStyle w:val="ListParagraph"/>
        <w:bidi w:val="0"/>
        <w:spacing w:lineRule="auto" w:line="240" w:before="0" w:after="80"/>
        <w:jc w:val="start"/>
        <w:rPr>
          <w:rFonts w:ascii="Times New Roman" w:hAnsi="Times New Roman"/>
          <w:sz w:val="22"/>
          <w:szCs w:val="22"/>
          <w:u w:val="single"/>
        </w:rPr>
      </w:pPr>
      <w:r>
        <w:rPr>
          <w:rFonts w:ascii="Times New Roman" w:hAnsi="Times New Roman"/>
          <w:b/>
          <w:bCs/>
          <w:sz w:val="22"/>
          <w:szCs w:val="22"/>
          <w:u w:val="single"/>
        </w:rPr>
        <w:t xml:space="preserve">Maturity Score:  1.0 / 5.0  →  </w:t>
      </w:r>
      <w:r>
        <w:rPr>
          <w:rFonts w:ascii="Times New Roman" w:hAnsi="Times New Roman"/>
          <w:b/>
          <w:bCs/>
          <w:color w:val="375623"/>
          <w:sz w:val="22"/>
          <w:szCs w:val="22"/>
          <w:u w:val="single"/>
        </w:rPr>
        <w:t>3.5 / 5.0 (target)</w:t>
      </w:r>
    </w:p>
    <w:p>
      <w:pPr>
        <w:pStyle w:val="ListParagraph"/>
        <w:bidi w:val="0"/>
        <w:spacing w:lineRule="auto" w:line="240" w:before="0" w:after="80"/>
        <w:jc w:val="start"/>
        <w:rPr>
          <w:rFonts w:ascii="Times New Roman" w:hAnsi="Times New Roman"/>
          <w:b/>
          <w:bCs/>
          <w:color w:val="375623"/>
          <w:sz w:val="22"/>
          <w:szCs w:val="22"/>
          <w:u w:val="single"/>
        </w:rPr>
      </w:pPr>
      <w:r>
        <w:rPr>
          <w:rFonts w:ascii="Times New Roman" w:hAnsi="Times New Roman"/>
          <w:b/>
          <w:bCs/>
          <w:color w:val="375623"/>
          <w:sz w:val="22"/>
          <w:szCs w:val="22"/>
          <w:u w:val="single"/>
        </w:rPr>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5.4 Incident Response</w:t>
      </w:r>
    </w:p>
    <w:p>
      <w:pPr>
        <w:pStyle w:val="Normal"/>
        <w:rPr/>
      </w:pPr>
      <w:r>
        <w:rPr>
          <w:sz w:val="22"/>
          <w:szCs w:val="22"/>
        </w:rPr>
        <w:t xml:space="preserve">Current Policy Language: </w:t>
      </w:r>
      <w:r>
        <w:rPr>
          <w:i/>
          <w:iCs/>
          <w:sz w:val="20"/>
          <w:szCs w:val="20"/>
        </w:rPr>
        <w:t>“If you notice anything suspicious on your computer, please let the IT Manager know as soon as possible.”</w:t>
      </w:r>
    </w:p>
    <w:p>
      <w:pPr>
        <w:pStyle w:val="Normal"/>
        <w:spacing w:lineRule="auto" w:line="276" w:before="0" w:after="140"/>
        <w:rPr>
          <w:rFonts w:ascii="Times New Roman" w:hAnsi="Times New Roman"/>
          <w:sz w:val="22"/>
          <w:szCs w:val="22"/>
        </w:rPr>
      </w:pPr>
      <w:r>
        <w:rPr>
          <w:rFonts w:ascii="Times New Roman" w:hAnsi="Times New Roman"/>
          <w:b/>
          <w:bCs/>
          <w:sz w:val="22"/>
          <w:szCs w:val="22"/>
        </w:rPr>
        <w:t>Why this is a problem:</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A single named individual (‘the IT Manager’) is a single point of failure — if that person is unavailable, on leave, or is themselves the target of the incident (e.g., their account is compromised), there is no fallback contact.</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There is no severity classification, so a minor pop-up ad and an active ransomware infection would be triaged identically, with no guidance on urgency.</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There is no defined containment, eradication, recovery, or post-incident review process, meaning even a well-reported incident may be handled inconsistently and without a lessons-learned step.</w:t>
      </w:r>
    </w:p>
    <w:p>
      <w:pPr>
        <w:pStyle w:val="Normal"/>
        <w:spacing w:before="60" w:after="140"/>
        <w:rPr>
          <w:rFonts w:ascii="Times New Roman" w:hAnsi="Times New Roman"/>
          <w:sz w:val="22"/>
          <w:szCs w:val="22"/>
        </w:rPr>
      </w:pPr>
      <w:r>
        <w:rPr>
          <w:rFonts w:ascii="Times New Roman" w:hAnsi="Times New Roman"/>
          <w:b/>
          <w:bCs/>
          <w:sz w:val="22"/>
          <w:szCs w:val="22"/>
        </w:rPr>
        <w:t xml:space="preserve">Supporting data: </w:t>
      </w:r>
      <w:r>
        <w:rPr>
          <w:rFonts w:ascii="Times New Roman" w:hAnsi="Times New Roman"/>
          <w:i/>
          <w:iCs/>
          <w:sz w:val="22"/>
          <w:szCs w:val="22"/>
        </w:rPr>
        <w:t>IBM's 2025 report puts the global average time to identify and contain a breach at 241 days — the fastest in nine years, but still driven largely by organizations with tested response plans; unstructured, single-contact reporting processes like Nimbus's current wording are associated with materially slower detection.</w:t>
      </w:r>
    </w:p>
    <w:p>
      <w:pPr>
        <w:pStyle w:val="Normal"/>
        <w:spacing w:lineRule="auto" w:line="276" w:before="0" w:after="140"/>
        <w:rPr>
          <w:rFonts w:ascii="Times New Roman" w:hAnsi="Times New Roman"/>
          <w:sz w:val="22"/>
          <w:szCs w:val="22"/>
        </w:rPr>
      </w:pPr>
      <w:r>
        <w:rPr>
          <w:rFonts w:ascii="Times New Roman" w:hAnsi="Times New Roman"/>
          <w:b/>
          <w:bCs/>
          <w:sz w:val="22"/>
          <w:szCs w:val="22"/>
        </w:rPr>
        <w:t>Recommendation:</w:t>
      </w:r>
    </w:p>
    <w:p>
      <w:pPr>
        <w:pStyle w:val="Normal"/>
        <w:spacing w:lineRule="auto" w:line="276" w:before="0" w:after="140"/>
        <w:rPr>
          <w:rFonts w:ascii="Times New Roman" w:hAnsi="Times New Roman"/>
          <w:sz w:val="22"/>
          <w:szCs w:val="22"/>
        </w:rPr>
      </w:pPr>
      <w:r>
        <w:rPr>
          <w:rFonts w:ascii="Times New Roman" w:hAnsi="Times New Roman"/>
          <w:sz w:val="22"/>
          <w:szCs w:val="22"/>
        </w:rPr>
        <w:t>Replace the single sentence with a structured Incident Response Plan (severity tiers, defined roles, a 24/7 reporting channel not limited to one person, and containment/eradication/recovery/lessons-learned phases), consistent with the plan format reviewed in the prior week's task.</w:t>
      </w:r>
    </w:p>
    <w:p>
      <w:pPr>
        <w:pStyle w:val="Normal"/>
        <w:rPr/>
      </w:pPr>
      <w:r>
        <w:rPr>
          <w:sz w:val="22"/>
          <w:szCs w:val="22"/>
        </w:rPr>
        <w:t xml:space="preserve">Suggested Revised Language: </w:t>
      </w:r>
      <w:r>
        <w:rPr>
          <w:i/>
          <w:iCs/>
          <w:sz w:val="20"/>
          <w:szCs w:val="20"/>
        </w:rPr>
        <w:t>“Any suspected security incident must be reported immediately via the security incident hotline or security@nimbusretail.example, which is monitored 24/7 and routes to the on-call Incident Commander. Incidents are triaged into Critical/High/Medium/Low severity within 30 minutes of report, and the organization's Incident Response Plan governs containment, eradication, recovery, and post-incident review for every confirmed incident.”</w:t>
      </w:r>
    </w:p>
    <w:p>
      <w:pPr>
        <w:pStyle w:val="ListParagraph"/>
        <w:bidi w:val="0"/>
        <w:spacing w:lineRule="auto" w:line="240" w:before="0" w:after="80"/>
        <w:jc w:val="start"/>
        <w:rPr>
          <w:rFonts w:ascii="Times New Roman" w:hAnsi="Times New Roman"/>
          <w:sz w:val="22"/>
          <w:szCs w:val="22"/>
          <w:u w:val="single"/>
        </w:rPr>
      </w:pPr>
      <w:r>
        <w:rPr>
          <w:rFonts w:ascii="Times New Roman" w:hAnsi="Times New Roman"/>
          <w:b/>
          <w:bCs/>
          <w:sz w:val="22"/>
          <w:szCs w:val="22"/>
          <w:u w:val="single"/>
        </w:rPr>
        <w:t xml:space="preserve">Maturity Score:  1.0 / 5.0  →  </w:t>
      </w:r>
      <w:r>
        <w:rPr>
          <w:rFonts w:ascii="Times New Roman" w:hAnsi="Times New Roman"/>
          <w:b/>
          <w:bCs/>
          <w:color w:val="375623"/>
          <w:sz w:val="22"/>
          <w:szCs w:val="22"/>
          <w:u w:val="single"/>
        </w:rPr>
        <w:t>4.2 / 5.0 (target)</w:t>
      </w:r>
    </w:p>
    <w:p>
      <w:pPr>
        <w:pStyle w:val="ListParagraph"/>
        <w:bidi w:val="0"/>
        <w:spacing w:lineRule="auto" w:line="240" w:before="0" w:after="80"/>
        <w:jc w:val="start"/>
        <w:rPr>
          <w:rFonts w:ascii="Times New Roman" w:hAnsi="Times New Roman"/>
          <w:b/>
          <w:bCs/>
          <w:color w:val="375623"/>
          <w:sz w:val="22"/>
          <w:szCs w:val="22"/>
          <w:u w:val="single"/>
        </w:rPr>
      </w:pPr>
      <w:r>
        <w:rPr>
          <w:rFonts w:ascii="Times New Roman" w:hAnsi="Times New Roman"/>
          <w:b/>
          <w:bCs/>
          <w:color w:val="375623"/>
          <w:sz w:val="22"/>
          <w:szCs w:val="22"/>
          <w:u w:val="single"/>
        </w:rPr>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5.5 Remote Work / BYOD</w:t>
      </w:r>
    </w:p>
    <w:p>
      <w:pPr>
        <w:pStyle w:val="Normal"/>
        <w:rPr/>
      </w:pPr>
      <w:r>
        <w:rPr>
          <w:sz w:val="22"/>
          <w:szCs w:val="22"/>
        </w:rPr>
        <w:t xml:space="preserve">Current Policy Language: </w:t>
      </w:r>
      <w:r>
        <w:rPr>
          <w:i/>
          <w:iCs/>
          <w:sz w:val="20"/>
          <w:szCs w:val="20"/>
        </w:rPr>
        <w:t>“Employees may use their personal phone or laptop to check company email and access shared files when working outside the office.”</w:t>
      </w:r>
    </w:p>
    <w:p>
      <w:pPr>
        <w:pStyle w:val="Normal"/>
        <w:rPr>
          <w:i/>
          <w:iCs/>
          <w:sz w:val="20"/>
          <w:szCs w:val="20"/>
        </w:rPr>
      </w:pPr>
      <w:r>
        <w:rPr>
          <w:i/>
          <w:iCs/>
          <w:sz w:val="20"/>
          <w:szCs w:val="20"/>
        </w:rPr>
      </w:r>
    </w:p>
    <w:p>
      <w:pPr>
        <w:pStyle w:val="Normal"/>
        <w:rPr>
          <w:i/>
          <w:iCs/>
          <w:sz w:val="20"/>
          <w:szCs w:val="20"/>
        </w:rPr>
      </w:pPr>
      <w:r>
        <w:rPr>
          <w:i/>
          <w:iCs/>
          <w:sz w:val="20"/>
          <w:szCs w:val="20"/>
        </w:rPr>
      </w:r>
    </w:p>
    <w:p>
      <w:pPr>
        <w:pStyle w:val="Normal"/>
        <w:rPr>
          <w:i/>
          <w:iCs/>
          <w:sz w:val="20"/>
          <w:szCs w:val="20"/>
        </w:rPr>
      </w:pPr>
      <w:r>
        <w:rPr>
          <w:i/>
          <w:iCs/>
          <w:sz w:val="20"/>
          <w:szCs w:val="20"/>
        </w:rPr>
      </w:r>
    </w:p>
    <w:p>
      <w:pPr>
        <w:pStyle w:val="Normal"/>
        <w:spacing w:lineRule="auto" w:line="276" w:before="0" w:after="140"/>
        <w:rPr>
          <w:rFonts w:ascii="Times New Roman" w:hAnsi="Times New Roman"/>
          <w:sz w:val="22"/>
          <w:szCs w:val="22"/>
        </w:rPr>
      </w:pPr>
      <w:r>
        <w:rPr>
          <w:rFonts w:ascii="Times New Roman" w:hAnsi="Times New Roman"/>
          <w:b/>
          <w:bCs/>
          <w:sz w:val="22"/>
          <w:szCs w:val="22"/>
        </w:rPr>
        <w:t>Why this is a problem:</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The policy places no minimum security requirements (screen lock, disk encryption, OS patch level, antivirus) on personal devices before they are allowed to touch company email or files.</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There is no mobile device management (MDM) or conditional-access requirement, so a lost or stolen personal phone with cached company email is a full data-exposure event with no remote-wipe capability.</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No distinction is made between viewing email and accessing Restricted-tier data (once classification exists per Section 5.3), so a personal, unmanaged laptop could be used to download customer payment records.</w:t>
      </w:r>
    </w:p>
    <w:p>
      <w:pPr>
        <w:pStyle w:val="Normal"/>
        <w:spacing w:before="60" w:after="140"/>
        <w:rPr>
          <w:rFonts w:ascii="Times New Roman" w:hAnsi="Times New Roman"/>
          <w:sz w:val="22"/>
          <w:szCs w:val="22"/>
        </w:rPr>
      </w:pPr>
      <w:r>
        <w:rPr>
          <w:rFonts w:ascii="Times New Roman" w:hAnsi="Times New Roman"/>
          <w:b/>
          <w:bCs/>
          <w:sz w:val="22"/>
          <w:szCs w:val="22"/>
        </w:rPr>
        <w:t xml:space="preserve">Supporting data: </w:t>
      </w:r>
      <w:r>
        <w:rPr>
          <w:rFonts w:ascii="Times New Roman" w:hAnsi="Times New Roman"/>
          <w:i/>
          <w:iCs/>
          <w:sz w:val="22"/>
          <w:szCs w:val="22"/>
        </w:rPr>
        <w:t>Verizon's 2025 DBIR found that 46% of devices compromised by infostealer malware with potential corporate login data were unmanaged (personal) devices, and explicitly warned that organizations without a defined BYOD policy will effectively have one “chosen for them” by attackers.</w:t>
      </w:r>
    </w:p>
    <w:p>
      <w:pPr>
        <w:pStyle w:val="Normal"/>
        <w:spacing w:lineRule="auto" w:line="276" w:before="0" w:after="140"/>
        <w:rPr>
          <w:rFonts w:ascii="Times New Roman" w:hAnsi="Times New Roman"/>
          <w:sz w:val="22"/>
          <w:szCs w:val="22"/>
        </w:rPr>
      </w:pPr>
      <w:r>
        <w:rPr>
          <w:rFonts w:ascii="Times New Roman" w:hAnsi="Times New Roman"/>
          <w:b/>
          <w:bCs/>
          <w:sz w:val="22"/>
          <w:szCs w:val="22"/>
        </w:rPr>
        <w:t>Recommendation:</w:t>
      </w:r>
    </w:p>
    <w:p>
      <w:pPr>
        <w:pStyle w:val="Normal"/>
        <w:spacing w:lineRule="auto" w:line="276" w:before="0" w:after="140"/>
        <w:rPr>
          <w:rFonts w:ascii="Times New Roman" w:hAnsi="Times New Roman"/>
          <w:sz w:val="22"/>
          <w:szCs w:val="22"/>
        </w:rPr>
      </w:pPr>
      <w:r>
        <w:rPr>
          <w:rFonts w:ascii="Times New Roman" w:hAnsi="Times New Roman"/>
          <w:sz w:val="22"/>
          <w:szCs w:val="22"/>
        </w:rPr>
        <w:t>Require enrollment in a mobile device management (MDM) or mobile application management (MAM) solution before any personal device can access company email or file storage, enforce minimum device requirements (encryption, passcode, current OS patch level), and block Restricted-tier data from being opened on unmanaged devices via conditional access.</w:t>
      </w:r>
    </w:p>
    <w:p>
      <w:pPr>
        <w:pStyle w:val="Normal"/>
        <w:rPr/>
      </w:pPr>
      <w:r>
        <w:rPr>
          <w:sz w:val="22"/>
          <w:szCs w:val="22"/>
        </w:rPr>
        <w:t xml:space="preserve">Suggested Revised Language: </w:t>
      </w:r>
      <w:r>
        <w:rPr>
          <w:i/>
          <w:iCs/>
          <w:sz w:val="20"/>
          <w:szCs w:val="20"/>
        </w:rPr>
        <w:t>“Personal devices may access company email and Internal-tier files only after enrolling in the company's mobile device management solution and meeting minimum security requirements (device encryption, passcode/biometric lock, current OS security patches). Restricted-tier data may not be accessed from personal or unmanaged devices under any circumstance.”</w:t>
      </w:r>
    </w:p>
    <w:p>
      <w:pPr>
        <w:pStyle w:val="ListParagraph"/>
        <w:bidi w:val="0"/>
        <w:spacing w:lineRule="auto" w:line="240" w:before="0" w:after="80"/>
        <w:jc w:val="start"/>
        <w:rPr>
          <w:rFonts w:ascii="Times New Roman" w:hAnsi="Times New Roman"/>
          <w:sz w:val="22"/>
          <w:szCs w:val="22"/>
          <w:u w:val="single"/>
        </w:rPr>
      </w:pPr>
      <w:r>
        <w:rPr>
          <w:rFonts w:ascii="Times New Roman" w:hAnsi="Times New Roman"/>
          <w:b/>
          <w:bCs/>
          <w:sz w:val="22"/>
          <w:szCs w:val="22"/>
          <w:u w:val="single"/>
        </w:rPr>
        <w:t xml:space="preserve">Maturity Score:  1.8 / 5.0  →  </w:t>
      </w:r>
      <w:r>
        <w:rPr>
          <w:rFonts w:ascii="Times New Roman" w:hAnsi="Times New Roman"/>
          <w:b/>
          <w:bCs/>
          <w:color w:val="375623"/>
          <w:sz w:val="22"/>
          <w:szCs w:val="22"/>
          <w:u w:val="single"/>
        </w:rPr>
        <w:t>3.7 / 5.0 (target)</w:t>
      </w:r>
    </w:p>
    <w:p>
      <w:pPr>
        <w:pStyle w:val="ListParagraph"/>
        <w:bidi w:val="0"/>
        <w:spacing w:lineRule="auto" w:line="240" w:before="0" w:after="80"/>
        <w:jc w:val="start"/>
        <w:rPr>
          <w:rFonts w:ascii="Times New Roman" w:hAnsi="Times New Roman"/>
          <w:b/>
          <w:bCs/>
          <w:color w:val="375623"/>
          <w:sz w:val="22"/>
          <w:szCs w:val="22"/>
          <w:u w:val="single"/>
        </w:rPr>
      </w:pPr>
      <w:r>
        <w:rPr>
          <w:rFonts w:ascii="Times New Roman" w:hAnsi="Times New Roman"/>
          <w:b/>
          <w:bCs/>
          <w:color w:val="375623"/>
          <w:sz w:val="22"/>
          <w:szCs w:val="22"/>
          <w:u w:val="single"/>
        </w:rPr>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5.6 Third-Party / Vendor Management</w:t>
      </w:r>
    </w:p>
    <w:p>
      <w:pPr>
        <w:pStyle w:val="Normal"/>
        <w:spacing w:lineRule="auto" w:line="276" w:before="57" w:after="57"/>
        <w:rPr/>
      </w:pPr>
      <w:r>
        <w:rPr>
          <w:sz w:val="22"/>
          <w:szCs w:val="22"/>
        </w:rPr>
        <w:t>Current Policy Language:</w:t>
      </w:r>
      <w:r>
        <w:rPr/>
        <w:t xml:space="preserve"> </w:t>
      </w:r>
      <w:r>
        <w:rPr>
          <w:i/>
          <w:iCs/>
          <w:sz w:val="20"/>
          <w:szCs w:val="20"/>
        </w:rPr>
        <w:t>“No policy exists.”</w:t>
      </w:r>
    </w:p>
    <w:p>
      <w:pPr>
        <w:pStyle w:val="Normal"/>
        <w:spacing w:lineRule="auto" w:line="276" w:before="0" w:after="140"/>
        <w:rPr>
          <w:rFonts w:ascii="Times New Roman" w:hAnsi="Times New Roman"/>
          <w:sz w:val="22"/>
          <w:szCs w:val="22"/>
        </w:rPr>
      </w:pPr>
      <w:r>
        <w:rPr>
          <w:rFonts w:ascii="Times New Roman" w:hAnsi="Times New Roman"/>
          <w:b/>
          <w:bCs/>
          <w:sz w:val="22"/>
          <w:szCs w:val="22"/>
        </w:rPr>
        <w:t>Why this is a problem:</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With no vendor-security policy, there is no mechanism to confirm that a payment processor, logistics partner, or SaaS vendor with access to Nimbus systems or data meets a minimum security bar before onboarding.</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No contract-level requirement exists for vendors to notify Nimbus of their own breaches, meaning Nimbus could be exposed to a downstream incident with no early warning.</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There is no periodic reassessment of vendor access, so a vendor relationship that ends informally (e.g., a contract lapses) may leave standing system access in place indefinitely.</w:t>
      </w:r>
    </w:p>
    <w:p>
      <w:pPr>
        <w:pStyle w:val="Normal"/>
        <w:spacing w:before="57" w:after="57"/>
        <w:rPr>
          <w:rFonts w:ascii="Times New Roman" w:hAnsi="Times New Roman"/>
          <w:sz w:val="22"/>
          <w:szCs w:val="22"/>
        </w:rPr>
      </w:pPr>
      <w:r>
        <w:rPr>
          <w:rFonts w:ascii="Times New Roman" w:hAnsi="Times New Roman"/>
          <w:b/>
          <w:bCs/>
          <w:sz w:val="22"/>
          <w:szCs w:val="22"/>
        </w:rPr>
        <w:t xml:space="preserve">Supporting data: </w:t>
      </w:r>
      <w:r>
        <w:rPr>
          <w:rFonts w:ascii="Times New Roman" w:hAnsi="Times New Roman"/>
          <w:i/>
          <w:iCs/>
          <w:sz w:val="22"/>
          <w:szCs w:val="22"/>
        </w:rPr>
        <w:t>IBM's 2025 report identifies supply-chain compromise as the second most common breach root cause at 15% (behind phishing at 16%), having overtaken stolen credentials as an initial access vector for the first time.</w:t>
      </w:r>
    </w:p>
    <w:p>
      <w:pPr>
        <w:pStyle w:val="Normal"/>
        <w:spacing w:lineRule="auto" w:line="240" w:before="0" w:after="0"/>
        <w:rPr>
          <w:rFonts w:ascii="Times New Roman" w:hAnsi="Times New Roman"/>
          <w:sz w:val="22"/>
          <w:szCs w:val="22"/>
        </w:rPr>
      </w:pPr>
      <w:r>
        <w:rPr>
          <w:rFonts w:ascii="Times New Roman" w:hAnsi="Times New Roman"/>
          <w:b/>
          <w:bCs/>
          <w:sz w:val="22"/>
          <w:szCs w:val="22"/>
        </w:rPr>
        <w:t>Recommendation:</w:t>
      </w:r>
    </w:p>
    <w:p>
      <w:pPr>
        <w:pStyle w:val="Normal"/>
        <w:spacing w:lineRule="auto" w:line="240" w:before="0" w:after="83"/>
        <w:rPr>
          <w:rFonts w:ascii="Times New Roman" w:hAnsi="Times New Roman"/>
          <w:sz w:val="22"/>
          <w:szCs w:val="22"/>
        </w:rPr>
      </w:pPr>
      <w:r>
        <w:rPr>
          <w:rFonts w:ascii="Times New Roman" w:hAnsi="Times New Roman"/>
          <w:sz w:val="22"/>
          <w:szCs w:val="22"/>
        </w:rPr>
        <w:t>Introduce a vendor risk-tiering process (based on the data/systems a vendor can access), require a security questionnaire or SOC 2/ISO 27001 evidence for any vendor touching Restricted data, add a mandatory breach-notification clause to vendor contracts, and review vendor access annually.</w:t>
      </w:r>
    </w:p>
    <w:p>
      <w:pPr>
        <w:pStyle w:val="Normal"/>
        <w:spacing w:before="57" w:after="57"/>
        <w:rPr/>
      </w:pPr>
      <w:r>
        <w:rPr/>
        <w:t xml:space="preserve">Suggested Revised Language: </w:t>
      </w:r>
      <w:r>
        <w:rPr>
          <w:i/>
          <w:iCs/>
          <w:sz w:val="20"/>
          <w:szCs w:val="20"/>
        </w:rPr>
        <w:t>“Any third party requiring access to company systems or Restricted-tier data must complete a security assessment proportional to that access before onboarding, and vendor contracts must include a requirement to notify Nimbus Retail Solutions within 72 hours of any security incident affecting shared data. Vendor access is reviewed at least annually and revoked immediately upon contract termination.”</w:t>
      </w:r>
    </w:p>
    <w:p>
      <w:pPr>
        <w:pStyle w:val="ListParagraph"/>
        <w:bidi w:val="0"/>
        <w:spacing w:lineRule="auto" w:line="240" w:before="0" w:after="80"/>
        <w:jc w:val="start"/>
        <w:rPr>
          <w:rFonts w:ascii="Times New Roman" w:hAnsi="Times New Roman"/>
          <w:sz w:val="22"/>
          <w:szCs w:val="22"/>
          <w:u w:val="single"/>
        </w:rPr>
      </w:pPr>
      <w:r>
        <w:rPr>
          <w:rFonts w:ascii="Times New Roman" w:hAnsi="Times New Roman"/>
          <w:b/>
          <w:bCs/>
          <w:sz w:val="22"/>
          <w:szCs w:val="22"/>
          <w:u w:val="single"/>
        </w:rPr>
        <w:t xml:space="preserve">Maturity Score:  1.0 / 5.0  →  </w:t>
      </w:r>
      <w:r>
        <w:rPr>
          <w:rFonts w:ascii="Times New Roman" w:hAnsi="Times New Roman"/>
          <w:b/>
          <w:bCs/>
          <w:color w:val="375623"/>
          <w:sz w:val="22"/>
          <w:szCs w:val="22"/>
          <w:u w:val="single"/>
        </w:rPr>
        <w:t>3.4 / 5.0 (target)</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5.7 Security Awareness Training</w:t>
      </w:r>
    </w:p>
    <w:p>
      <w:pPr>
        <w:pStyle w:val="Normal"/>
        <w:rPr/>
      </w:pPr>
      <w:r>
        <w:rPr>
          <w:sz w:val="22"/>
          <w:szCs w:val="22"/>
        </w:rPr>
        <w:t>Current Policy Language:</w:t>
      </w:r>
      <w:r>
        <w:rPr/>
        <w:t xml:space="preserve"> </w:t>
      </w:r>
      <w:r>
        <w:rPr>
          <w:i/>
          <w:iCs/>
          <w:sz w:val="20"/>
          <w:szCs w:val="20"/>
        </w:rPr>
        <w:t>“All new hires receive a security overview as part of their first-week orientation.”</w:t>
      </w:r>
    </w:p>
    <w:p>
      <w:pPr>
        <w:pStyle w:val="Normal"/>
        <w:spacing w:lineRule="auto" w:line="276" w:before="0" w:after="140"/>
        <w:rPr>
          <w:rFonts w:ascii="Times New Roman" w:hAnsi="Times New Roman"/>
          <w:sz w:val="22"/>
          <w:szCs w:val="22"/>
        </w:rPr>
      </w:pPr>
      <w:r>
        <w:rPr>
          <w:rFonts w:ascii="Times New Roman" w:hAnsi="Times New Roman"/>
          <w:b/>
          <w:bCs/>
          <w:sz w:val="22"/>
          <w:szCs w:val="22"/>
        </w:rPr>
        <w:t>Why this is a problem:</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A single orientation session with no annual refresh means staff who joined years ago have had no updated training as attack techniques (e.g., MFA-bypass ‘prompt bombing’, noted as a new top action in the 2025 DBIR) evolve.</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There is no simulated phishing program, so the organization has no measurable baseline of its actual susceptibility to phishing — the very attack vector responsible for the one confirmed incident in the past 12 months.</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Training is generic (‘a security overview’) with no role-specific content, even though Finance and warehouse/logistics staff face very different threats (e.g., invoice fraud vs. physical social engineering).</w:t>
      </w:r>
    </w:p>
    <w:p>
      <w:pPr>
        <w:pStyle w:val="Normal"/>
        <w:spacing w:before="60" w:after="140"/>
        <w:rPr>
          <w:rFonts w:ascii="Times New Roman" w:hAnsi="Times New Roman"/>
          <w:sz w:val="22"/>
          <w:szCs w:val="22"/>
        </w:rPr>
      </w:pPr>
      <w:r>
        <w:rPr>
          <w:rFonts w:ascii="Times New Roman" w:hAnsi="Times New Roman"/>
          <w:b/>
          <w:bCs/>
          <w:sz w:val="22"/>
          <w:szCs w:val="22"/>
        </w:rPr>
        <w:t xml:space="preserve">Supporting data: </w:t>
      </w:r>
      <w:r>
        <w:rPr>
          <w:rFonts w:ascii="Times New Roman" w:hAnsi="Times New Roman"/>
          <w:i/>
          <w:iCs/>
          <w:sz w:val="22"/>
          <w:szCs w:val="22"/>
        </w:rPr>
        <w:t>Phishing remains the single most common attack vector in IBM's 2025 report (16% of breaches) and is a top-two social-engineering pattern in Verizon's 2025 DBIR; one-time onboarding training with no recurring reinforcement or simulation has limited measurable effect on click-through rates over time.</w:t>
      </w:r>
    </w:p>
    <w:p>
      <w:pPr>
        <w:pStyle w:val="Normal"/>
        <w:spacing w:lineRule="auto" w:line="276" w:before="0" w:after="140"/>
        <w:rPr>
          <w:rFonts w:ascii="Times New Roman" w:hAnsi="Times New Roman"/>
          <w:sz w:val="22"/>
          <w:szCs w:val="22"/>
        </w:rPr>
      </w:pPr>
      <w:r>
        <w:rPr>
          <w:rFonts w:ascii="Times New Roman" w:hAnsi="Times New Roman"/>
          <w:b/>
          <w:bCs/>
          <w:sz w:val="22"/>
          <w:szCs w:val="22"/>
        </w:rPr>
        <w:t>Recommendation:</w:t>
      </w:r>
    </w:p>
    <w:p>
      <w:pPr>
        <w:pStyle w:val="Normal"/>
        <w:spacing w:lineRule="auto" w:line="276" w:before="0" w:after="140"/>
        <w:rPr>
          <w:rFonts w:ascii="Times New Roman" w:hAnsi="Times New Roman"/>
          <w:sz w:val="22"/>
          <w:szCs w:val="22"/>
        </w:rPr>
      </w:pPr>
      <w:r>
        <w:rPr>
          <w:rFonts w:ascii="Times New Roman" w:hAnsi="Times New Roman"/>
          <w:sz w:val="22"/>
          <w:szCs w:val="22"/>
        </w:rPr>
        <w:t>Require annual refresher training for all staff, run quarterly simulated phishing campaigns with a tracked click-through/report rate as a KPI, and add role-specific modules for Finance (invoice/wire-fraud) and Customer Support (social-engineering/account-takeover attempts).</w:t>
      </w:r>
    </w:p>
    <w:p>
      <w:pPr>
        <w:pStyle w:val="Normal"/>
        <w:rPr/>
      </w:pPr>
      <w:r>
        <w:rPr>
          <w:sz w:val="22"/>
          <w:szCs w:val="22"/>
        </w:rPr>
        <w:t>Suggested Revised Language:</w:t>
      </w:r>
      <w:r>
        <w:rPr/>
        <w:t xml:space="preserve"> </w:t>
      </w:r>
      <w:r>
        <w:rPr>
          <w:i/>
          <w:iCs/>
          <w:sz w:val="20"/>
          <w:szCs w:val="20"/>
        </w:rPr>
        <w:t>“All employees complete security awareness training at hire and annually thereafter. Quarterly simulated phishing exercises are conducted for all staff, with click-through and reporting rates tracked as a security metric; Finance and Customer Support staff receive additional role-specific training addressing invoice fraud and account-takeover social engineering.”</w:t>
      </w:r>
    </w:p>
    <w:p>
      <w:pPr>
        <w:pStyle w:val="ListParagraph"/>
        <w:bidi w:val="0"/>
        <w:spacing w:lineRule="auto" w:line="240" w:before="0" w:after="80"/>
        <w:jc w:val="start"/>
        <w:rPr>
          <w:rFonts w:ascii="Times New Roman" w:hAnsi="Times New Roman"/>
          <w:sz w:val="22"/>
          <w:szCs w:val="22"/>
          <w:u w:val="single"/>
        </w:rPr>
      </w:pPr>
      <w:r>
        <w:rPr>
          <w:rFonts w:ascii="Times New Roman" w:hAnsi="Times New Roman"/>
          <w:b/>
          <w:bCs/>
          <w:sz w:val="22"/>
          <w:szCs w:val="22"/>
          <w:u w:val="single"/>
        </w:rPr>
        <w:t xml:space="preserve">Maturity Score:  1.5 / 5.0  →  </w:t>
      </w:r>
      <w:r>
        <w:rPr>
          <w:rFonts w:ascii="Times New Roman" w:hAnsi="Times New Roman"/>
          <w:b/>
          <w:bCs/>
          <w:color w:val="375623"/>
          <w:sz w:val="22"/>
          <w:szCs w:val="22"/>
          <w:u w:val="single"/>
        </w:rPr>
        <w:t>3.9 / 5.0 (target)</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w:t>
      </w:r>
      <w:r>
        <w:rPr>
          <w:rFonts w:ascii="Times New Roman" w:hAnsi="Times New Roman"/>
          <w:sz w:val="26"/>
          <w:szCs w:val="26"/>
          <w:u w:val="single"/>
        </w:rPr>
        <w:t>8</w:t>
      </w:r>
      <w:r>
        <w:rPr>
          <w:rFonts w:ascii="Times New Roman" w:hAnsi="Times New Roman"/>
          <w:sz w:val="26"/>
          <w:szCs w:val="26"/>
          <w:u w:val="single"/>
        </w:rPr>
        <w:t>Monitoring &amp; Logging</w:t>
      </w:r>
    </w:p>
    <w:p>
      <w:pPr>
        <w:pStyle w:val="Normal"/>
        <w:rPr/>
      </w:pPr>
      <w:r>
        <w:rPr>
          <w:sz w:val="22"/>
          <w:szCs w:val="22"/>
        </w:rPr>
        <w:t>Current Policy Language:</w:t>
      </w:r>
      <w:r>
        <w:rPr/>
        <w:t xml:space="preserve"> </w:t>
      </w:r>
      <w:r>
        <w:rPr>
          <w:i/>
          <w:iCs/>
          <w:sz w:val="20"/>
          <w:szCs w:val="20"/>
        </w:rPr>
        <w:t>“No policy exists.”</w:t>
      </w:r>
    </w:p>
    <w:p>
      <w:pPr>
        <w:pStyle w:val="Normal"/>
        <w:spacing w:lineRule="auto" w:line="276" w:before="0" w:after="140"/>
        <w:rPr>
          <w:rFonts w:ascii="Times New Roman" w:hAnsi="Times New Roman"/>
          <w:sz w:val="22"/>
          <w:szCs w:val="22"/>
        </w:rPr>
      </w:pPr>
      <w:r>
        <w:rPr>
          <w:rFonts w:ascii="Times New Roman" w:hAnsi="Times New Roman"/>
          <w:b/>
          <w:bCs/>
          <w:sz w:val="22"/>
          <w:szCs w:val="22"/>
        </w:rPr>
        <w:t>Why this is a problem:</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With no logging policy, there is no guarantee that authentication attempts, admin actions, or access to Restricted data are even being recorded, let alone reviewed.</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Without centralized log retention, forensic investigation after an incident (Section 5.4) may be impossible if logs on an individual endpoint have already rotated out or were wiped during ‘cleanup’.</w:t>
      </w:r>
    </w:p>
    <w:p>
      <w:pPr>
        <w:pStyle w:val="ListParagraph"/>
        <w:numPr>
          <w:ilvl w:val="0"/>
          <w:numId w:val="2"/>
        </w:numPr>
        <w:spacing w:lineRule="auto" w:line="276" w:before="0" w:after="0"/>
        <w:rPr>
          <w:rFonts w:ascii="Times New Roman" w:hAnsi="Times New Roman"/>
          <w:sz w:val="22"/>
          <w:szCs w:val="22"/>
        </w:rPr>
      </w:pPr>
      <w:r>
        <w:rPr>
          <w:rFonts w:ascii="Times New Roman" w:hAnsi="Times New Roman"/>
          <w:sz w:val="22"/>
          <w:szCs w:val="22"/>
        </w:rPr>
        <w:t>No alerting thresholds exist, so anomalous behavior (e.g., a login from an unusual country, mass file downloads) would only be discovered by chance, not by design.</w:t>
      </w:r>
    </w:p>
    <w:p>
      <w:pPr>
        <w:pStyle w:val="Normal"/>
        <w:spacing w:before="0" w:after="0"/>
        <w:rPr>
          <w:rFonts w:ascii="Times New Roman" w:hAnsi="Times New Roman"/>
          <w:sz w:val="22"/>
          <w:szCs w:val="22"/>
        </w:rPr>
      </w:pPr>
      <w:r>
        <w:rPr>
          <w:rFonts w:ascii="Times New Roman" w:hAnsi="Times New Roman"/>
          <w:b/>
          <w:bCs/>
          <w:sz w:val="22"/>
          <w:szCs w:val="22"/>
        </w:rPr>
        <w:t xml:space="preserve">Supporting data: </w:t>
      </w:r>
      <w:r>
        <w:rPr>
          <w:rFonts w:ascii="Times New Roman" w:hAnsi="Times New Roman"/>
          <w:i/>
          <w:iCs/>
          <w:sz w:val="22"/>
          <w:szCs w:val="22"/>
        </w:rPr>
        <w:t>The 241-day average detection time reported by IBM in 2025 is strongly correlated with the absence of centralized logging and alerting; organizations that detect incidents internally (via monitoring) rather than being told by an attacker or a third party consistently contain breaches faster and at lower cost.</w:t>
      </w:r>
    </w:p>
    <w:p>
      <w:pPr>
        <w:pStyle w:val="Normal"/>
        <w:spacing w:lineRule="auto" w:line="276" w:before="0" w:after="0"/>
        <w:rPr>
          <w:rFonts w:ascii="Times New Roman" w:hAnsi="Times New Roman"/>
          <w:sz w:val="22"/>
          <w:szCs w:val="22"/>
        </w:rPr>
      </w:pPr>
      <w:r>
        <w:rPr>
          <w:rFonts w:ascii="Times New Roman" w:hAnsi="Times New Roman"/>
          <w:b/>
          <w:bCs/>
          <w:sz w:val="22"/>
          <w:szCs w:val="22"/>
        </w:rPr>
        <w:t>Recommendation:</w:t>
      </w:r>
    </w:p>
    <w:p>
      <w:pPr>
        <w:pStyle w:val="Normal"/>
        <w:spacing w:lineRule="auto" w:line="240" w:before="0" w:after="83"/>
        <w:rPr>
          <w:rFonts w:ascii="Times New Roman" w:hAnsi="Times New Roman"/>
          <w:sz w:val="22"/>
          <w:szCs w:val="22"/>
        </w:rPr>
      </w:pPr>
      <w:r>
        <w:rPr>
          <w:rFonts w:ascii="Times New Roman" w:hAnsi="Times New Roman"/>
          <w:sz w:val="22"/>
          <w:szCs w:val="22"/>
        </w:rPr>
        <w:t>Centralize logs from identity, endpoint, network, and e-commerce platform sources into a SIEM or managed detection service, define a minimum 12-month log retention period, and configure alerting for high-risk events (impossible travel logins, mass downloads, privilege escalation, new admin account creation).</w:t>
      </w:r>
    </w:p>
    <w:p>
      <w:pPr>
        <w:pStyle w:val="Normal"/>
        <w:spacing w:before="57" w:after="57"/>
        <w:rPr/>
      </w:pPr>
      <w:r>
        <w:rPr>
          <w:sz w:val="22"/>
          <w:szCs w:val="22"/>
        </w:rPr>
        <w:t xml:space="preserve">Suggested Revised Language: </w:t>
      </w:r>
      <w:r>
        <w:rPr>
          <w:i/>
          <w:iCs/>
          <w:sz w:val="20"/>
          <w:szCs w:val="20"/>
        </w:rPr>
        <w:t>“Authentication events, administrative actions, and access to Restricted-tier systems must be logged and retained centrally for a minimum of 12 months. Automated alerts must be configured for high-risk events, including logins from atypical locations, bulk data downloads, and creation or modification of administrator accounts.”</w:t>
      </w:r>
    </w:p>
    <w:p>
      <w:pPr>
        <w:pStyle w:val="ListParagraph"/>
        <w:bidi w:val="0"/>
        <w:spacing w:lineRule="auto" w:line="240" w:before="0" w:after="80"/>
        <w:jc w:val="start"/>
        <w:rPr>
          <w:rFonts w:ascii="Times New Roman" w:hAnsi="Times New Roman"/>
          <w:sz w:val="22"/>
          <w:szCs w:val="22"/>
          <w:u w:val="single"/>
        </w:rPr>
      </w:pPr>
      <w:r>
        <w:rPr>
          <w:rFonts w:ascii="Times New Roman" w:hAnsi="Times New Roman"/>
          <w:b/>
          <w:bCs/>
          <w:sz w:val="22"/>
          <w:szCs w:val="22"/>
          <w:u w:val="single"/>
        </w:rPr>
        <w:t xml:space="preserve">Maturity Score:  1.0 / 5.0  →  </w:t>
      </w:r>
      <w:r>
        <w:rPr>
          <w:rFonts w:ascii="Times New Roman" w:hAnsi="Times New Roman"/>
          <w:b/>
          <w:bCs/>
          <w:color w:val="375623"/>
          <w:sz w:val="22"/>
          <w:szCs w:val="22"/>
          <w:u w:val="single"/>
        </w:rPr>
        <w:t>3.6 / 5.0 (target)</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w:t>
      </w:r>
      <w:r>
        <w:rPr>
          <w:rFonts w:ascii="Times New Roman" w:hAnsi="Times New Roman"/>
          <w:sz w:val="26"/>
          <w:szCs w:val="26"/>
          <w:u w:val="single"/>
        </w:rPr>
        <w:t>9</w:t>
      </w:r>
      <w:r>
        <w:rPr>
          <w:rFonts w:ascii="Times New Roman" w:hAnsi="Times New Roman"/>
          <w:sz w:val="26"/>
          <w:szCs w:val="26"/>
          <w:u w:val="single"/>
        </w:rPr>
        <w:t xml:space="preserve"> Physical Security</w:t>
      </w:r>
    </w:p>
    <w:p>
      <w:pPr>
        <w:pStyle w:val="Normal"/>
        <w:rPr/>
      </w:pPr>
      <w:r>
        <w:rPr>
          <w:sz w:val="22"/>
          <w:szCs w:val="22"/>
        </w:rPr>
        <w:t>Current Policy Language:</w:t>
      </w:r>
      <w:r>
        <w:rPr/>
        <w:t xml:space="preserve"> </w:t>
      </w:r>
      <w:r>
        <w:rPr>
          <w:i/>
          <w:iCs/>
          <w:sz w:val="20"/>
          <w:szCs w:val="20"/>
        </w:rPr>
        <w:t>“All staff are issued an access badge. Visitors must sign in at the front desk.”</w:t>
      </w:r>
    </w:p>
    <w:p>
      <w:pPr>
        <w:pStyle w:val="Normal"/>
        <w:spacing w:lineRule="auto" w:line="276" w:before="0" w:after="140"/>
        <w:rPr>
          <w:rFonts w:ascii="Times New Roman" w:hAnsi="Times New Roman"/>
          <w:sz w:val="22"/>
          <w:szCs w:val="22"/>
        </w:rPr>
      </w:pPr>
      <w:r>
        <w:rPr>
          <w:rFonts w:ascii="Times New Roman" w:hAnsi="Times New Roman"/>
          <w:b/>
          <w:bCs/>
          <w:sz w:val="22"/>
          <w:szCs w:val="22"/>
        </w:rPr>
        <w:t>Why this is a problem:</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There is no stated process for deactivating a badge when an employee leaves, creating overlap with the access-control gap identified in Section 5.2.</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w:t>
      </w:r>
      <w:r>
        <w:rPr>
          <w:rFonts w:ascii="Times New Roman" w:hAnsi="Times New Roman"/>
          <w:sz w:val="22"/>
          <w:szCs w:val="22"/>
        </w:rPr>
        <w:t>Sign in at the front desk’ does not require a visitor to be escorted, badge-identified, or time-limited, particularly relevant for the warehouse/fulfillment site where sensitive shipping and inventory data is visible on shared screens.</w:t>
      </w:r>
    </w:p>
    <w:p>
      <w:pPr>
        <w:pStyle w:val="ListParagraph"/>
        <w:numPr>
          <w:ilvl w:val="0"/>
          <w:numId w:val="2"/>
        </w:numPr>
        <w:spacing w:lineRule="auto" w:line="276" w:before="0" w:after="80"/>
        <w:rPr>
          <w:rFonts w:ascii="Times New Roman" w:hAnsi="Times New Roman"/>
          <w:sz w:val="22"/>
          <w:szCs w:val="22"/>
        </w:rPr>
      </w:pPr>
      <w:r>
        <w:rPr>
          <w:rFonts w:ascii="Times New Roman" w:hAnsi="Times New Roman"/>
          <w:sz w:val="22"/>
          <w:szCs w:val="22"/>
        </w:rPr>
        <w:t>There is no mention of clean-desk practices or screen-locking requirements, which matters for open-plan Customer Support and Finance areas handling Restricted data on-screen.</w:t>
      </w:r>
    </w:p>
    <w:p>
      <w:pPr>
        <w:pStyle w:val="Normal"/>
        <w:spacing w:before="60" w:after="140"/>
        <w:rPr>
          <w:rFonts w:ascii="Times New Roman" w:hAnsi="Times New Roman"/>
          <w:sz w:val="22"/>
          <w:szCs w:val="22"/>
        </w:rPr>
      </w:pPr>
      <w:r>
        <w:rPr>
          <w:rFonts w:ascii="Times New Roman" w:hAnsi="Times New Roman"/>
          <w:b/>
          <w:bCs/>
          <w:sz w:val="22"/>
          <w:szCs w:val="22"/>
        </w:rPr>
        <w:t xml:space="preserve">Supporting data: </w:t>
      </w:r>
      <w:r>
        <w:rPr>
          <w:rFonts w:ascii="Times New Roman" w:hAnsi="Times New Roman"/>
          <w:i/>
          <w:iCs/>
          <w:sz w:val="22"/>
          <w:szCs w:val="22"/>
        </w:rPr>
        <w:t>While physical intrusion is a smaller share of breaches industry-wide than remote/credential-based attacks, unaccounted-for former-employee badge access and unescorted visitors remain a recurring finding in retail-sector security assessments, particularly around warehouse and fulfillment facilities that hold higher foot traffic than a typical office.</w:t>
      </w:r>
    </w:p>
    <w:p>
      <w:pPr>
        <w:pStyle w:val="Normal"/>
        <w:spacing w:lineRule="auto" w:line="276" w:before="0" w:after="140"/>
        <w:rPr>
          <w:rFonts w:ascii="Times New Roman" w:hAnsi="Times New Roman"/>
          <w:sz w:val="22"/>
          <w:szCs w:val="22"/>
        </w:rPr>
      </w:pPr>
      <w:r>
        <w:rPr>
          <w:rFonts w:ascii="Times New Roman" w:hAnsi="Times New Roman"/>
          <w:b/>
          <w:bCs/>
          <w:sz w:val="22"/>
          <w:szCs w:val="22"/>
        </w:rPr>
        <w:t>Recommendation:</w:t>
      </w:r>
    </w:p>
    <w:p>
      <w:pPr>
        <w:pStyle w:val="Normal"/>
        <w:spacing w:lineRule="auto" w:line="276" w:before="0" w:after="140"/>
        <w:rPr>
          <w:rFonts w:ascii="Times New Roman" w:hAnsi="Times New Roman"/>
          <w:sz w:val="22"/>
          <w:szCs w:val="22"/>
        </w:rPr>
      </w:pPr>
      <w:r>
        <w:rPr>
          <w:rFonts w:ascii="Times New Roman" w:hAnsi="Times New Roman"/>
          <w:sz w:val="22"/>
          <w:szCs w:val="22"/>
        </w:rPr>
        <w:t>Tie badge deactivation to the same 4-hour offboarding SLA as system access, require visitor badges to be time-limited and visibly distinct, mandate escorts for visitors in warehouse and server-room areas, and add a clean-desk/auto-lock-screen requirement for areas where Restricted data is displayed.</w:t>
      </w:r>
    </w:p>
    <w:p>
      <w:pPr>
        <w:pStyle w:val="Normal"/>
        <w:rPr/>
      </w:pPr>
      <w:r>
        <w:rPr>
          <w:sz w:val="22"/>
          <w:szCs w:val="22"/>
        </w:rPr>
        <w:t>Suggested Revised Language:</w:t>
      </w:r>
      <w:r>
        <w:rPr/>
        <w:t xml:space="preserve"> </w:t>
      </w:r>
      <w:r>
        <w:rPr>
          <w:i/>
          <w:iCs/>
          <w:sz w:val="20"/>
          <w:szCs w:val="20"/>
        </w:rPr>
        <w:t>“Badge access is deactivated within 4 business hours of an employee's departure, matching the system access-revocation timeline. Visitors receive a time-limited, visually distinct badge and must be escorted in warehouse, server-room, and data-center areas. Workstations must auto-lock after 5 minutes of inactivity, and Restricted-tier documents must not be left visible on unattended desks.”</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b/>
          <w:bCs/>
          <w:sz w:val="26"/>
          <w:szCs w:val="26"/>
          <w:u w:val="single"/>
        </w:rPr>
        <w:t xml:space="preserve">Maturity Score:  2.0 / 5.0  →  </w:t>
      </w:r>
      <w:r>
        <w:rPr>
          <w:rFonts w:ascii="Times New Roman" w:hAnsi="Times New Roman"/>
          <w:b/>
          <w:bCs/>
          <w:color w:val="375623"/>
          <w:sz w:val="26"/>
          <w:szCs w:val="26"/>
          <w:u w:val="single"/>
        </w:rPr>
        <w:t>3.5 / 5.0 (target)</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before="0" w:after="0"/>
        <w:jc w:val="start"/>
        <w:rPr>
          <w:rFonts w:ascii="Times New Roman" w:hAnsi="Times New Roman"/>
          <w:sz w:val="28"/>
          <w:szCs w:val="28"/>
        </w:rPr>
      </w:pPr>
      <w:r>
        <w:rPr>
          <w:rFonts w:ascii="Times New Roman" w:hAnsi="Times New Roman"/>
          <w:sz w:val="28"/>
          <w:szCs w:val="28"/>
        </w:rPr>
        <w:t>6. MATURITY SCORECARD SUMMARY</w:t>
      </w:r>
    </w:p>
    <w:p>
      <w:pPr>
        <w:pStyle w:val="Normal"/>
        <w:spacing w:lineRule="auto" w:line="276" w:before="0" w:after="83"/>
        <w:rPr>
          <w:rFonts w:ascii="Times New Roman" w:hAnsi="Times New Roman"/>
          <w:sz w:val="22"/>
          <w:szCs w:val="22"/>
        </w:rPr>
      </w:pPr>
      <w:r>
        <w:rPr>
          <w:rFonts w:ascii="Times New Roman" w:hAnsi="Times New Roman"/>
          <w:sz w:val="22"/>
          <w:szCs w:val="22"/>
        </w:rPr>
        <w:t>The table below consolidates the before/after maturity scores from Section 5 (1 = Ad-hoc/Undocumented, 5 = Optimized) to show where the organization stands overall and which domains represent the largest improvement opportunity.</w:t>
      </w:r>
    </w:p>
    <w:tbl>
      <w:tblPr>
        <w:tblW w:w="9300" w:type="dxa"/>
        <w:jc w:val="start"/>
        <w:tblInd w:w="0" w:type="dxa"/>
        <w:tblLayout w:type="fixed"/>
        <w:tblCellMar>
          <w:top w:w="55" w:type="dxa"/>
          <w:start w:w="55" w:type="dxa"/>
          <w:bottom w:w="55" w:type="dxa"/>
          <w:end w:w="55" w:type="dxa"/>
        </w:tblCellMar>
      </w:tblPr>
      <w:tblGrid>
        <w:gridCol w:w="3400"/>
        <w:gridCol w:w="1900"/>
        <w:gridCol w:w="1900"/>
        <w:gridCol w:w="2100"/>
      </w:tblGrid>
      <w:tr>
        <w:trPr>
          <w:tblHeader w:val="true"/>
        </w:trPr>
        <w:tc>
          <w:tcPr>
            <w:tcW w:w="3400" w:type="dxa"/>
            <w:tcBorders>
              <w:top w:val="single" w:sz="4" w:space="0" w:color="000000"/>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Domain</w:t>
            </w:r>
          </w:p>
        </w:tc>
        <w:tc>
          <w:tcPr>
            <w:tcW w:w="1900" w:type="dxa"/>
            <w:tcBorders>
              <w:top w:val="single" w:sz="4" w:space="0" w:color="000000"/>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Current Score</w:t>
            </w:r>
          </w:p>
        </w:tc>
        <w:tc>
          <w:tcPr>
            <w:tcW w:w="1900" w:type="dxa"/>
            <w:tcBorders>
              <w:top w:val="single" w:sz="4" w:space="0" w:color="000000"/>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Target Score</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Improvement</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Password &amp; Authentication</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1.5</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4.0</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+2.5</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Access Control</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1.5</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3.8</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+2.3</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Data Classification &amp; Handling</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1.0</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3.5</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+2.5</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Incident Response</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1.0</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4.2</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+3.2</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Remote Work / BYOD</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4"/>
                <w:u w:val="none"/>
              </w:rPr>
            </w:pPr>
            <w:r>
              <w:rPr>
                <w:b w:val="false"/>
                <w:bCs w:val="false"/>
                <w:i w:val="false"/>
                <w:iCs w:val="false"/>
                <w:strike w:val="false"/>
                <w:dstrike w:val="false"/>
                <w:outline w:val="false"/>
                <w:shadow w:val="false"/>
                <w:color w:val="auto"/>
                <w:sz w:val="22"/>
                <w:szCs w:val="24"/>
                <w:u w:val="none"/>
              </w:rPr>
              <w:t>1.8</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3.7</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+1.9</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Third-Party / Vendor Mgmt.</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4"/>
                <w:u w:val="none"/>
              </w:rPr>
            </w:pPr>
            <w:r>
              <w:rPr>
                <w:b w:val="false"/>
                <w:bCs w:val="false"/>
                <w:i w:val="false"/>
                <w:iCs w:val="false"/>
                <w:strike w:val="false"/>
                <w:dstrike w:val="false"/>
                <w:outline w:val="false"/>
                <w:shadow w:val="false"/>
                <w:color w:val="auto"/>
                <w:sz w:val="22"/>
                <w:szCs w:val="24"/>
                <w:u w:val="none"/>
              </w:rPr>
              <w:t>1.0</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3.4</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+2.4</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Security Awareness Training</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4"/>
                <w:u w:val="none"/>
              </w:rPr>
            </w:pPr>
            <w:r>
              <w:rPr>
                <w:b w:val="false"/>
                <w:bCs w:val="false"/>
                <w:i w:val="false"/>
                <w:iCs w:val="false"/>
                <w:strike w:val="false"/>
                <w:dstrike w:val="false"/>
                <w:outline w:val="false"/>
                <w:shadow w:val="false"/>
                <w:color w:val="auto"/>
                <w:sz w:val="22"/>
                <w:szCs w:val="24"/>
                <w:u w:val="none"/>
              </w:rPr>
              <w:t>1.5</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3.9</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+2.4</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Monitoring &amp; Logging</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4"/>
                <w:u w:val="none"/>
              </w:rPr>
            </w:pPr>
            <w:r>
              <w:rPr>
                <w:b w:val="false"/>
                <w:bCs w:val="false"/>
                <w:i w:val="false"/>
                <w:iCs w:val="false"/>
                <w:strike w:val="false"/>
                <w:dstrike w:val="false"/>
                <w:outline w:val="false"/>
                <w:shadow w:val="false"/>
                <w:color w:val="auto"/>
                <w:sz w:val="22"/>
                <w:szCs w:val="24"/>
                <w:u w:val="none"/>
              </w:rPr>
              <w:t>1.0</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3.6</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+2.6</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Physical Security</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4"/>
                <w:u w:val="none"/>
              </w:rPr>
            </w:pPr>
            <w:r>
              <w:rPr>
                <w:b w:val="false"/>
                <w:bCs w:val="false"/>
                <w:i w:val="false"/>
                <w:iCs w:val="false"/>
                <w:strike w:val="false"/>
                <w:dstrike w:val="false"/>
                <w:outline w:val="false"/>
                <w:shadow w:val="false"/>
                <w:color w:val="auto"/>
                <w:sz w:val="22"/>
                <w:szCs w:val="24"/>
                <w:u w:val="none"/>
              </w:rPr>
              <w:t>2.0</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3.5</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+1.5</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Backup &amp; Business Continuity</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4"/>
                <w:u w:val="none"/>
              </w:rPr>
            </w:pPr>
            <w:r>
              <w:rPr>
                <w:b w:val="false"/>
                <w:bCs w:val="false"/>
                <w:i w:val="false"/>
                <w:iCs w:val="false"/>
                <w:strike w:val="false"/>
                <w:dstrike w:val="false"/>
                <w:outline w:val="false"/>
                <w:shadow w:val="false"/>
                <w:color w:val="auto"/>
                <w:sz w:val="22"/>
                <w:szCs w:val="24"/>
                <w:u w:val="none"/>
              </w:rPr>
              <w:t>1.2</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3.8</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+2.6</w:t>
            </w:r>
          </w:p>
        </w:tc>
      </w:tr>
      <w:tr>
        <w:trPr/>
        <w:tc>
          <w:tcPr>
            <w:tcW w:w="34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bCs/>
                <w:i w:val="false"/>
                <w:iCs w:val="false"/>
                <w:strike w:val="false"/>
                <w:dstrike w:val="false"/>
                <w:outline w:val="false"/>
                <w:shadow w:val="false"/>
                <w:color w:val="auto"/>
                <w:sz w:val="22"/>
                <w:szCs w:val="22"/>
                <w:u w:val="none"/>
              </w:rPr>
              <w:t>Average</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4"/>
                <w:u w:val="none"/>
              </w:rPr>
            </w:pPr>
            <w:r>
              <w:rPr>
                <w:b/>
                <w:bCs/>
                <w:i w:val="false"/>
                <w:iCs w:val="false"/>
                <w:strike w:val="false"/>
                <w:dstrike w:val="false"/>
                <w:outline w:val="false"/>
                <w:shadow w:val="false"/>
                <w:color w:val="auto"/>
                <w:sz w:val="22"/>
                <w:szCs w:val="24"/>
                <w:u w:val="none"/>
              </w:rPr>
              <w:t>1.35</w:t>
            </w:r>
          </w:p>
        </w:tc>
        <w:tc>
          <w:tcPr>
            <w:tcW w:w="19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bCs/>
                <w:i w:val="false"/>
                <w:iCs w:val="false"/>
                <w:strike w:val="false"/>
                <w:dstrike w:val="false"/>
                <w:outline w:val="false"/>
                <w:shadow w:val="false"/>
                <w:color w:val="auto"/>
                <w:sz w:val="22"/>
                <w:szCs w:val="22"/>
                <w:u w:val="none"/>
              </w:rPr>
              <w:t>3.74</w:t>
            </w:r>
          </w:p>
        </w:tc>
        <w:tc>
          <w:tcPr>
            <w:tcW w:w="21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auto"/>
                <w:sz w:val="22"/>
                <w:szCs w:val="22"/>
                <w:u w:val="none"/>
              </w:rPr>
            </w:pPr>
            <w:r>
              <w:rPr>
                <w:b/>
                <w:bCs/>
                <w:i w:val="false"/>
                <w:iCs w:val="false"/>
                <w:strike w:val="false"/>
                <w:dstrike w:val="false"/>
                <w:outline w:val="false"/>
                <w:shadow w:val="false"/>
                <w:color w:val="auto"/>
                <w:sz w:val="22"/>
                <w:szCs w:val="22"/>
                <w:u w:val="none"/>
              </w:rPr>
              <w:t>+2.39</w:t>
            </w:r>
          </w:p>
        </w:tc>
      </w:tr>
    </w:tbl>
    <w:p>
      <w:pPr>
        <w:pStyle w:val="Normal"/>
        <w:spacing w:lineRule="auto" w:line="240" w:before="0" w:after="83"/>
        <w:rPr>
          <w:rFonts w:ascii="Times New Roman" w:hAnsi="Times New Roman"/>
          <w:sz w:val="22"/>
          <w:szCs w:val="22"/>
        </w:rPr>
      </w:pPr>
      <w:r>
        <w:rPr>
          <w:rFonts w:ascii="Times New Roman" w:hAnsi="Times New Roman"/>
          <w:sz w:val="22"/>
          <w:szCs w:val="22"/>
        </w:rPr>
        <w:t>An average current-state score of 1.35/5.0 confirms that the policy is closer to ‘Ad-hoc’ than ‘Initial’ across the board, with the three weakest domains — Data Classification, Incident Response, and Third-Party Management — sharing a common root cause: they are entirely undocumented rather than merely under-specified. Fixing an undocumented control is typically lower-effort than fixing a poorly-specified one, which is reflected in the prioritization in Section 8.</w:t>
      </w:r>
    </w:p>
    <w:p>
      <w:pPr>
        <w:pStyle w:val="Normal"/>
        <w:bidi w:val="0"/>
        <w:spacing w:lineRule="auto" w:line="240" w:before="57" w:after="57"/>
        <w:jc w:val="start"/>
        <w:rPr>
          <w:rFonts w:ascii="Times New Roman" w:hAnsi="Times New Roman"/>
        </w:rPr>
      </w:pPr>
      <w:r>
        <w:rPr>
          <w:rFonts w:ascii="Times New Roman" w:hAnsi="Times New Roman"/>
          <w:sz w:val="28"/>
          <w:szCs w:val="28"/>
          <w:u w:val="none"/>
        </w:rPr>
        <w:t>7. RISK HEAT MAP</w:t>
      </w:r>
    </w:p>
    <w:p>
      <w:pPr>
        <w:pStyle w:val="Normal"/>
        <w:spacing w:lineRule="auto" w:line="276" w:before="0" w:after="140"/>
        <w:rPr>
          <w:rFonts w:ascii="Times New Roman" w:hAnsi="Times New Roman"/>
        </w:rPr>
      </w:pPr>
      <w:r>
        <w:rPr>
          <w:rFonts w:ascii="Times New Roman" w:hAnsi="Times New Roman"/>
          <w:sz w:val="22"/>
          <w:szCs w:val="22"/>
        </w:rPr>
        <w:t>Combining likelihood (informed by the industry data cited in Section 5) with potential business impact (informed by the organizational context in Section 3) produces the following risk ranking. This is the basis for the prioritization in Section 8.</w:t>
      </w:r>
    </w:p>
    <w:tbl>
      <w:tblPr>
        <w:tblW w:w="9400" w:type="dxa"/>
        <w:jc w:val="start"/>
        <w:tblInd w:w="0" w:type="dxa"/>
        <w:tblLayout w:type="fixed"/>
        <w:tblCellMar>
          <w:top w:w="55" w:type="dxa"/>
          <w:start w:w="55" w:type="dxa"/>
          <w:bottom w:w="55" w:type="dxa"/>
          <w:end w:w="55" w:type="dxa"/>
        </w:tblCellMar>
      </w:tblPr>
      <w:tblGrid>
        <w:gridCol w:w="2997"/>
        <w:gridCol w:w="2600"/>
        <w:gridCol w:w="1800"/>
        <w:gridCol w:w="2003"/>
      </w:tblGrid>
      <w:tr>
        <w:trPr>
          <w:tblHeader w:val="true"/>
        </w:trPr>
        <w:tc>
          <w:tcPr>
            <w:tcW w:w="2997" w:type="dxa"/>
            <w:tcBorders>
              <w:top w:val="single" w:sz="4" w:space="0" w:color="000000"/>
              <w:start w:val="single" w:sz="4" w:space="0" w:color="000000"/>
              <w:bottom w:val="single" w:sz="4" w:space="0" w:color="000000"/>
            </w:tcBorders>
          </w:tcPr>
          <w:p>
            <w:pPr>
              <w:pStyle w:val="Normal"/>
              <w:jc w:val="center"/>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Risk</w:t>
            </w:r>
          </w:p>
        </w:tc>
        <w:tc>
          <w:tcPr>
            <w:tcW w:w="2600" w:type="dxa"/>
            <w:tcBorders>
              <w:top w:val="single" w:sz="4" w:space="0" w:color="000000"/>
              <w:start w:val="single" w:sz="4" w:space="0" w:color="000000"/>
              <w:bottom w:val="single" w:sz="4" w:space="0" w:color="000000"/>
            </w:tcBorders>
          </w:tcPr>
          <w:p>
            <w:pPr>
              <w:pStyle w:val="Normal"/>
              <w:jc w:val="center"/>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Likelihood</w:t>
            </w:r>
          </w:p>
        </w:tc>
        <w:tc>
          <w:tcPr>
            <w:tcW w:w="1800" w:type="dxa"/>
            <w:tcBorders>
              <w:top w:val="single" w:sz="4" w:space="0" w:color="000000"/>
              <w:start w:val="single" w:sz="4" w:space="0" w:color="000000"/>
              <w:bottom w:val="single" w:sz="4" w:space="0" w:color="000000"/>
            </w:tcBorders>
          </w:tcPr>
          <w:p>
            <w:pPr>
              <w:pStyle w:val="Normal"/>
              <w:jc w:val="center"/>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Impact</w:t>
            </w:r>
          </w:p>
        </w:tc>
        <w:tc>
          <w:tcPr>
            <w:tcW w:w="2003" w:type="dxa"/>
            <w:tcBorders>
              <w:top w:val="single" w:sz="4" w:space="0" w:color="000000"/>
              <w:start w:val="single" w:sz="4" w:space="0" w:color="000000"/>
              <w:bottom w:val="single" w:sz="4" w:space="0" w:color="000000"/>
              <w:end w:val="single" w:sz="4" w:space="0" w:color="000000"/>
            </w:tcBorders>
          </w:tcPr>
          <w:p>
            <w:pPr>
              <w:pStyle w:val="Normal"/>
              <w:jc w:val="center"/>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Overall Risk</w:t>
            </w:r>
          </w:p>
        </w:tc>
      </w:tr>
      <w:tr>
        <w:trPr/>
        <w:tc>
          <w:tcPr>
            <w:tcW w:w="2997"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Credential-based account takeover (weak/reused passwords, no MFA)</w:t>
            </w:r>
          </w:p>
        </w:tc>
        <w:tc>
          <w:tcPr>
            <w:tcW w:w="26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High</w:t>
            </w:r>
          </w:p>
        </w:tc>
        <w:tc>
          <w:tcPr>
            <w:tcW w:w="18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High</w:t>
            </w:r>
          </w:p>
        </w:tc>
        <w:tc>
          <w:tcPr>
            <w:tcW w:w="2003" w:type="dxa"/>
            <w:tcBorders>
              <w:start w:val="single" w:sz="4" w:space="0" w:color="000000"/>
              <w:bottom w:val="single" w:sz="4" w:space="0" w:color="000000"/>
              <w:end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Critical</w:t>
            </w:r>
          </w:p>
        </w:tc>
      </w:tr>
      <w:tr>
        <w:trPr/>
        <w:tc>
          <w:tcPr>
            <w:tcW w:w="2997"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Undetected breach due to lack of monitoring/logging</w:t>
            </w:r>
          </w:p>
        </w:tc>
        <w:tc>
          <w:tcPr>
            <w:tcW w:w="26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High</w:t>
            </w:r>
          </w:p>
        </w:tc>
        <w:tc>
          <w:tcPr>
            <w:tcW w:w="18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High</w:t>
            </w:r>
          </w:p>
        </w:tc>
        <w:tc>
          <w:tcPr>
            <w:tcW w:w="2003" w:type="dxa"/>
            <w:tcBorders>
              <w:start w:val="single" w:sz="4" w:space="0" w:color="000000"/>
              <w:bottom w:val="single" w:sz="4" w:space="0" w:color="000000"/>
              <w:end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Critical</w:t>
            </w:r>
          </w:p>
        </w:tc>
      </w:tr>
      <w:tr>
        <w:trPr/>
        <w:tc>
          <w:tcPr>
            <w:tcW w:w="2997"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Payment card / PII exposure due to no data classification</w:t>
            </w:r>
          </w:p>
        </w:tc>
        <w:tc>
          <w:tcPr>
            <w:tcW w:w="26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c>
          <w:tcPr>
            <w:tcW w:w="18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High</w:t>
            </w:r>
          </w:p>
        </w:tc>
        <w:tc>
          <w:tcPr>
            <w:tcW w:w="2003" w:type="dxa"/>
            <w:tcBorders>
              <w:start w:val="single" w:sz="4" w:space="0" w:color="000000"/>
              <w:bottom w:val="single" w:sz="4" w:space="0" w:color="000000"/>
              <w:end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High</w:t>
            </w:r>
          </w:p>
        </w:tc>
      </w:tr>
      <w:tr>
        <w:trPr/>
        <w:tc>
          <w:tcPr>
            <w:tcW w:w="2997"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Slow, inconsistent incident response prolonging breach cost</w:t>
            </w:r>
          </w:p>
        </w:tc>
        <w:tc>
          <w:tcPr>
            <w:tcW w:w="26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c>
          <w:tcPr>
            <w:tcW w:w="18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High</w:t>
            </w:r>
          </w:p>
        </w:tc>
        <w:tc>
          <w:tcPr>
            <w:tcW w:w="2003" w:type="dxa"/>
            <w:tcBorders>
              <w:start w:val="single" w:sz="4" w:space="0" w:color="000000"/>
              <w:bottom w:val="single" w:sz="4" w:space="0" w:color="000000"/>
              <w:end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High</w:t>
            </w:r>
          </w:p>
        </w:tc>
      </w:tr>
      <w:tr>
        <w:trPr/>
        <w:tc>
          <w:tcPr>
            <w:tcW w:w="2997"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Third-party/vendor compromise</w:t>
            </w:r>
          </w:p>
        </w:tc>
        <w:tc>
          <w:tcPr>
            <w:tcW w:w="26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c>
          <w:tcPr>
            <w:tcW w:w="18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c>
          <w:tcPr>
            <w:tcW w:w="2003" w:type="dxa"/>
            <w:tcBorders>
              <w:start w:val="single" w:sz="4" w:space="0" w:color="000000"/>
              <w:bottom w:val="single" w:sz="4" w:space="0" w:color="000000"/>
              <w:end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r>
      <w:tr>
        <w:trPr/>
        <w:tc>
          <w:tcPr>
            <w:tcW w:w="2997"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Data loss from personal/unmanaged BYOD devices</w:t>
            </w:r>
          </w:p>
        </w:tc>
        <w:tc>
          <w:tcPr>
            <w:tcW w:w="26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c>
          <w:tcPr>
            <w:tcW w:w="18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c>
          <w:tcPr>
            <w:tcW w:w="2003" w:type="dxa"/>
            <w:tcBorders>
              <w:start w:val="single" w:sz="4" w:space="0" w:color="000000"/>
              <w:bottom w:val="single" w:sz="4" w:space="0" w:color="000000"/>
              <w:end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r>
      <w:tr>
        <w:trPr/>
        <w:tc>
          <w:tcPr>
            <w:tcW w:w="2997"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Ransomware affecting unprotected backups</w:t>
            </w:r>
          </w:p>
        </w:tc>
        <w:tc>
          <w:tcPr>
            <w:tcW w:w="26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Low-Medium</w:t>
            </w:r>
          </w:p>
        </w:tc>
        <w:tc>
          <w:tcPr>
            <w:tcW w:w="18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High</w:t>
            </w:r>
          </w:p>
        </w:tc>
        <w:tc>
          <w:tcPr>
            <w:tcW w:w="2003" w:type="dxa"/>
            <w:tcBorders>
              <w:start w:val="single" w:sz="4" w:space="0" w:color="000000"/>
              <w:bottom w:val="single" w:sz="4" w:space="0" w:color="000000"/>
              <w:end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r>
      <w:tr>
        <w:trPr/>
        <w:tc>
          <w:tcPr>
            <w:tcW w:w="2997"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Stale access from former employees or vendors</w:t>
            </w:r>
          </w:p>
        </w:tc>
        <w:tc>
          <w:tcPr>
            <w:tcW w:w="26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c>
          <w:tcPr>
            <w:tcW w:w="18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Low-Medium</w:t>
            </w:r>
          </w:p>
        </w:tc>
        <w:tc>
          <w:tcPr>
            <w:tcW w:w="2003" w:type="dxa"/>
            <w:tcBorders>
              <w:start w:val="single" w:sz="4" w:space="0" w:color="000000"/>
              <w:bottom w:val="single" w:sz="4" w:space="0" w:color="000000"/>
              <w:end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Low-Medium</w:t>
            </w:r>
          </w:p>
        </w:tc>
      </w:tr>
      <w:tr>
        <w:trPr/>
        <w:tc>
          <w:tcPr>
            <w:tcW w:w="2997"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Physical/social-engineering intrusion at warehouse site</w:t>
            </w:r>
          </w:p>
        </w:tc>
        <w:tc>
          <w:tcPr>
            <w:tcW w:w="26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Low</w:t>
            </w:r>
          </w:p>
        </w:tc>
        <w:tc>
          <w:tcPr>
            <w:tcW w:w="1800" w:type="dxa"/>
            <w:tcBorders>
              <w:start w:val="single" w:sz="4" w:space="0" w:color="000000"/>
              <w:bottom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Medium</w:t>
            </w:r>
          </w:p>
        </w:tc>
        <w:tc>
          <w:tcPr>
            <w:tcW w:w="2003" w:type="dxa"/>
            <w:tcBorders>
              <w:start w:val="single" w:sz="4" w:space="0" w:color="000000"/>
              <w:bottom w:val="single" w:sz="4" w:space="0" w:color="000000"/>
              <w:end w:val="single" w:sz="4" w:space="0" w:color="000000"/>
            </w:tcBorders>
          </w:tcPr>
          <w:p>
            <w:pPr>
              <w:pStyle w:val="Normal"/>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Low-Medium</w:t>
            </w:r>
          </w:p>
        </w:tc>
      </w:tr>
    </w:tbl>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before="0" w:after="83"/>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sz w:val="28"/>
          <w:szCs w:val="28"/>
          <w:u w:val="none"/>
        </w:rPr>
      </w:pPr>
      <w:r>
        <w:rPr>
          <w:rFonts w:ascii="Times New Roman" w:hAnsi="Times New Roman"/>
          <w:sz w:val="28"/>
          <w:szCs w:val="28"/>
          <w:u w:val="none"/>
        </w:rPr>
        <w:t>8. PRIORITIZED REMEDIATION ROADMAP</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8.1</w:t>
      </w:r>
      <w:r>
        <w:rPr>
          <w:rFonts w:ascii="Times New Roman" w:hAnsi="Times New Roman"/>
          <w:sz w:val="26"/>
          <w:szCs w:val="26"/>
          <w:u w:val="single"/>
        </w:rPr>
        <w:t xml:space="preserve"> Phase 1 — Days 0-30 (Quick Wins, Low Cost / High Impact)</w:t>
      </w:r>
    </w:p>
    <w:tbl>
      <w:tblPr>
        <w:tblW w:w="9300" w:type="dxa"/>
        <w:jc w:val="start"/>
        <w:tblInd w:w="0" w:type="dxa"/>
        <w:tblLayout w:type="fixed"/>
        <w:tblCellMar>
          <w:top w:w="55" w:type="dxa"/>
          <w:start w:w="55" w:type="dxa"/>
          <w:bottom w:w="55" w:type="dxa"/>
          <w:end w:w="55" w:type="dxa"/>
        </w:tblCellMar>
      </w:tblPr>
      <w:tblGrid>
        <w:gridCol w:w="5300"/>
        <w:gridCol w:w="2600"/>
        <w:gridCol w:w="1400"/>
      </w:tblGrid>
      <w:tr>
        <w:trPr/>
        <w:tc>
          <w:tcPr>
            <w:tcW w:w="5300" w:type="dxa"/>
            <w:tcBorders>
              <w:top w:val="single" w:sz="4" w:space="0" w:color="000000"/>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Action</w:t>
            </w:r>
          </w:p>
        </w:tc>
        <w:tc>
          <w:tcPr>
            <w:tcW w:w="2600" w:type="dxa"/>
            <w:tcBorders>
              <w:top w:val="single" w:sz="4" w:space="0" w:color="000000"/>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Owner</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Effort</w:t>
            </w:r>
          </w:p>
        </w:tc>
      </w:tr>
      <w:tr>
        <w:trPr/>
        <w:tc>
          <w:tcPr>
            <w:tcW w:w="53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Enforce MFA on email, VPN, e-commerce platform, and payment systems</w:t>
            </w:r>
          </w:p>
        </w:tc>
        <w:tc>
          <w:tcPr>
            <w:tcW w:w="26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IT Security</w:t>
            </w:r>
          </w:p>
        </w:tc>
        <w:tc>
          <w:tcPr>
            <w:tcW w:w="14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Low</w:t>
            </w:r>
          </w:p>
        </w:tc>
      </w:tr>
      <w:tr>
        <w:trPr/>
        <w:tc>
          <w:tcPr>
            <w:tcW w:w="53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Update password policy: 12-char minimum, breached-password screening, remove forced rotation</w:t>
            </w:r>
          </w:p>
        </w:tc>
        <w:tc>
          <w:tcPr>
            <w:tcW w:w="26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IT Security</w:t>
            </w:r>
          </w:p>
        </w:tc>
        <w:tc>
          <w:tcPr>
            <w:tcW w:w="14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Low</w:t>
            </w:r>
          </w:p>
        </w:tc>
      </w:tr>
      <w:tr>
        <w:trPr/>
        <w:tc>
          <w:tcPr>
            <w:tcW w:w="53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Publish a 3-tier data classification scheme and communicate it org-wide</w:t>
            </w:r>
          </w:p>
        </w:tc>
        <w:tc>
          <w:tcPr>
            <w:tcW w:w="2600" w:type="dxa"/>
            <w:tcBorders>
              <w:start w:val="single" w:sz="4" w:space="0" w:color="000000"/>
              <w:bottom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Security / Compliance</w:t>
            </w:r>
          </w:p>
        </w:tc>
        <w:tc>
          <w:tcPr>
            <w:tcW w:w="1400"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Low</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Set a 4-hour SLA for revoking system and badge access on termination</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IT + HR + Facilities</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Low</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Draft and circulate an interim Incident Response quick-reference card (severity tiers + reporting channel)</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IT Security</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Low</w:t>
            </w:r>
          </w:p>
        </w:tc>
      </w:tr>
    </w:tbl>
    <w:p>
      <w:pPr>
        <w:pStyle w:val="Normal"/>
        <w:bidi w:val="0"/>
        <w:spacing w:lineRule="auto" w:line="240" w:before="0" w:after="80"/>
        <w:jc w:val="start"/>
        <w:rPr>
          <w:rFonts w:ascii="Times New Roman" w:hAnsi="Times New Roman"/>
        </w:rPr>
      </w:pPr>
      <w:r>
        <w:rPr>
          <w:rFonts w:ascii="Times New Roman" w:hAnsi="Times New Roman"/>
        </w:rPr>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8.2 Phase 2 — Days 30-90 (Structural Fixes)</w:t>
      </w:r>
    </w:p>
    <w:tbl>
      <w:tblPr>
        <w:tblW w:w="9300" w:type="dxa"/>
        <w:jc w:val="start"/>
        <w:tblInd w:w="0" w:type="dxa"/>
        <w:tblLayout w:type="fixed"/>
        <w:tblCellMar>
          <w:top w:w="55" w:type="dxa"/>
          <w:start w:w="55" w:type="dxa"/>
          <w:bottom w:w="55" w:type="dxa"/>
          <w:end w:w="55" w:type="dxa"/>
        </w:tblCellMar>
      </w:tblPr>
      <w:tblGrid>
        <w:gridCol w:w="5300"/>
        <w:gridCol w:w="2600"/>
        <w:gridCol w:w="1400"/>
      </w:tblGrid>
      <w:tr>
        <w:trPr/>
        <w:tc>
          <w:tcPr>
            <w:tcW w:w="5300" w:type="dxa"/>
            <w:tcBorders>
              <w:top w:val="single" w:sz="4" w:space="0" w:color="000000"/>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Action</w:t>
            </w:r>
          </w:p>
        </w:tc>
        <w:tc>
          <w:tcPr>
            <w:tcW w:w="2600" w:type="dxa"/>
            <w:tcBorders>
              <w:top w:val="single" w:sz="4" w:space="0" w:color="000000"/>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Owner</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Effort</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Adopt the full Incident Response Plan structure (see Week 2 deliverable) and run a tabletop exercise</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IT Security + Leadership</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Medium</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Roll out MDM/MAM enrollment requirement for BYOD access to company data</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IT</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Medium</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Stand up centralized logging (SIEM or managed detection service) with core alert rules</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IT Security</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Medium</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Launch quarterly simulated phishing program and annual refresher training</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Security / HR</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Medium</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Define RPO/RTO per system tier; move at least one backup copy to offline/immutable storage</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IT Infrastructure</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Medium</w:t>
            </w:r>
          </w:p>
        </w:tc>
      </w:tr>
    </w:tbl>
    <w:p>
      <w:pPr>
        <w:pStyle w:val="Normal"/>
        <w:bidi w:val="0"/>
        <w:spacing w:lineRule="auto" w:line="240" w:before="0" w:after="80"/>
        <w:jc w:val="start"/>
        <w:rPr>
          <w:rFonts w:ascii="Times New Roman" w:hAnsi="Times New Roman"/>
        </w:rPr>
      </w:pPr>
      <w:r>
        <w:rPr>
          <w:rFonts w:ascii="Times New Roman" w:hAnsi="Times New Roman"/>
        </w:rPr>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8.3 Phase 3 — Days 90-180 (Governance &amp; Continuous Improvement)</w:t>
      </w:r>
    </w:p>
    <w:tbl>
      <w:tblPr>
        <w:tblW w:w="9300" w:type="dxa"/>
        <w:jc w:val="start"/>
        <w:tblInd w:w="0" w:type="dxa"/>
        <w:tblLayout w:type="fixed"/>
        <w:tblCellMar>
          <w:top w:w="55" w:type="dxa"/>
          <w:start w:w="55" w:type="dxa"/>
          <w:bottom w:w="55" w:type="dxa"/>
          <w:end w:w="55" w:type="dxa"/>
        </w:tblCellMar>
      </w:tblPr>
      <w:tblGrid>
        <w:gridCol w:w="5300"/>
        <w:gridCol w:w="2600"/>
        <w:gridCol w:w="1400"/>
      </w:tblGrid>
      <w:tr>
        <w:trPr/>
        <w:tc>
          <w:tcPr>
            <w:tcW w:w="5300" w:type="dxa"/>
            <w:tcBorders>
              <w:top w:val="single" w:sz="4" w:space="0" w:color="000000"/>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bCs/>
                <w:i w:val="false"/>
                <w:iCs w:val="false"/>
                <w:strike w:val="false"/>
                <w:dstrike w:val="false"/>
                <w:outline w:val="false"/>
                <w:shadow w:val="false"/>
                <w:color w:val="auto"/>
                <w:sz w:val="22"/>
                <w:szCs w:val="22"/>
                <w:u w:val="none"/>
              </w:rPr>
              <w:t>Action</w:t>
            </w:r>
          </w:p>
        </w:tc>
        <w:tc>
          <w:tcPr>
            <w:tcW w:w="2600" w:type="dxa"/>
            <w:tcBorders>
              <w:top w:val="single" w:sz="4" w:space="0" w:color="000000"/>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bCs/>
                <w:i w:val="false"/>
                <w:iCs w:val="false"/>
                <w:strike w:val="false"/>
                <w:dstrike w:val="false"/>
                <w:outline w:val="false"/>
                <w:shadow w:val="false"/>
                <w:color w:val="auto"/>
                <w:sz w:val="22"/>
                <w:szCs w:val="22"/>
                <w:u w:val="none"/>
              </w:rPr>
              <w:t>Owner</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bCs/>
                <w:i w:val="false"/>
                <w:iCs w:val="false"/>
                <w:strike w:val="false"/>
                <w:dstrike w:val="false"/>
                <w:outline w:val="false"/>
                <w:shadow w:val="false"/>
                <w:color w:val="auto"/>
                <w:sz w:val="22"/>
                <w:szCs w:val="22"/>
                <w:u w:val="none"/>
              </w:rPr>
              <w:t>Effort</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Implement vendor risk-tiering process and update vendor contract templates with breach-notification clauses</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Procurement + Legal + Security</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Medium-High</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Move access control to full RBAC with quarterly recertification</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IT Security</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Medium-High</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Run first quarterly backup-restoration test and document results</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IT Infrastructure</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Low</w:t>
            </w:r>
          </w:p>
        </w:tc>
      </w:tr>
      <w:tr>
        <w:trPr/>
        <w:tc>
          <w:tcPr>
            <w:tcW w:w="5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Conduct a follow-up policy maturity assessment against this scorecard</w:t>
            </w:r>
          </w:p>
        </w:tc>
        <w:tc>
          <w:tcPr>
            <w:tcW w:w="26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Security / Compliance</w:t>
            </w:r>
          </w:p>
        </w:tc>
        <w:tc>
          <w:tcPr>
            <w:tcW w:w="1400"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auto"/>
                <w:sz w:val="22"/>
                <w:szCs w:val="22"/>
                <w:u w:val="none"/>
              </w:rPr>
            </w:pPr>
            <w:r>
              <w:rPr>
                <w:b w:val="false"/>
                <w:bCs w:val="false"/>
                <w:i w:val="false"/>
                <w:iCs w:val="false"/>
                <w:strike w:val="false"/>
                <w:dstrike w:val="false"/>
                <w:outline w:val="false"/>
                <w:shadow w:val="false"/>
                <w:color w:val="auto"/>
                <w:sz w:val="22"/>
                <w:szCs w:val="22"/>
                <w:u w:val="none"/>
              </w:rPr>
              <w:t>Low</w:t>
            </w:r>
          </w:p>
        </w:tc>
      </w:tr>
    </w:tbl>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sz w:val="28"/>
          <w:szCs w:val="28"/>
        </w:rPr>
        <w:t>9. Benchmarking Against Industry Data</w:t>
      </w:r>
    </w:p>
    <w:p>
      <w:pPr>
        <w:pStyle w:val="Normal"/>
        <w:spacing w:lineRule="auto" w:line="276" w:before="0" w:after="140"/>
        <w:rPr>
          <w:rFonts w:ascii="Times New Roman" w:hAnsi="Times New Roman"/>
          <w:sz w:val="22"/>
          <w:szCs w:val="22"/>
        </w:rPr>
      </w:pPr>
      <w:r>
        <w:rPr>
          <w:rFonts w:ascii="Times New Roman" w:hAnsi="Times New Roman"/>
          <w:sz w:val="22"/>
          <w:szCs w:val="22"/>
        </w:rPr>
        <w:t>The figures below, drawn from the IBM/Ponemon Cost of a Data Breach Report 2025 and the Verizon 2025 Data Breach Investigations Report (DBIR), were used throughout Section 5 to ground each recommendation in current, real-world evidence rather than generic best practice.</w:t>
      </w:r>
    </w:p>
    <w:tbl>
      <w:tblPr>
        <w:tblW w:w="9300" w:type="dxa"/>
        <w:jc w:val="start"/>
        <w:tblInd w:w="0" w:type="dxa"/>
        <w:tblLayout w:type="fixed"/>
        <w:tblCellMar>
          <w:top w:w="55" w:type="dxa"/>
          <w:start w:w="55" w:type="dxa"/>
          <w:bottom w:w="55" w:type="dxa"/>
          <w:end w:w="55" w:type="dxa"/>
        </w:tblCellMar>
      </w:tblPr>
      <w:tblGrid>
        <w:gridCol w:w="4300"/>
        <w:gridCol w:w="2599"/>
        <w:gridCol w:w="2401"/>
      </w:tblGrid>
      <w:tr>
        <w:trPr/>
        <w:tc>
          <w:tcPr>
            <w:tcW w:w="4300" w:type="dxa"/>
            <w:tcBorders>
              <w:top w:val="single" w:sz="4" w:space="0" w:color="000000"/>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Metric</w:t>
            </w:r>
          </w:p>
        </w:tc>
        <w:tc>
          <w:tcPr>
            <w:tcW w:w="2599" w:type="dxa"/>
            <w:tcBorders>
              <w:top w:val="single" w:sz="4" w:space="0" w:color="000000"/>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2025 Figure</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Source</w:t>
            </w:r>
          </w:p>
        </w:tc>
      </w:tr>
      <w:tr>
        <w:trPr/>
        <w:tc>
          <w:tcPr>
            <w:tcW w:w="4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Global average cost of a data breach</w:t>
            </w:r>
          </w:p>
        </w:tc>
        <w:tc>
          <w:tcPr>
            <w:tcW w:w="2599"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$4.44 million</w:t>
            </w:r>
          </w:p>
        </w:tc>
        <w:tc>
          <w:tcPr>
            <w:tcW w:w="2401"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IBM/Ponemon Cost of a Data Breach Report 2025</w:t>
            </w:r>
          </w:p>
        </w:tc>
      </w:tr>
      <w:tr>
        <w:trPr/>
        <w:tc>
          <w:tcPr>
            <w:tcW w:w="4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Average time to identify and contain a breach</w:t>
            </w:r>
          </w:p>
        </w:tc>
        <w:tc>
          <w:tcPr>
            <w:tcW w:w="2599"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241 days</w:t>
            </w:r>
          </w:p>
        </w:tc>
        <w:tc>
          <w:tcPr>
            <w:tcW w:w="2401"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IBM/Ponemon Cost of a Data Breach Report 2025</w:t>
            </w:r>
          </w:p>
        </w:tc>
      </w:tr>
      <w:tr>
        <w:trPr/>
        <w:tc>
          <w:tcPr>
            <w:tcW w:w="4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Most common breach root cause</w:t>
            </w:r>
          </w:p>
        </w:tc>
        <w:tc>
          <w:tcPr>
            <w:tcW w:w="2599"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Phishing — 16% of breaches</w:t>
            </w:r>
          </w:p>
        </w:tc>
        <w:tc>
          <w:tcPr>
            <w:tcW w:w="2401"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IBM/Ponemon Cost of a Data Breach Report 2025</w:t>
            </w:r>
          </w:p>
        </w:tc>
      </w:tr>
      <w:tr>
        <w:trPr/>
        <w:tc>
          <w:tcPr>
            <w:tcW w:w="4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Second most common breach root cause</w:t>
            </w:r>
          </w:p>
        </w:tc>
        <w:tc>
          <w:tcPr>
            <w:tcW w:w="2599"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Supply-chain compromise — 15% of breaches</w:t>
            </w:r>
          </w:p>
        </w:tc>
        <w:tc>
          <w:tcPr>
            <w:tcW w:w="2401"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IBM/Ponemon Cost of a Data Breach Report 2025</w:t>
            </w:r>
          </w:p>
        </w:tc>
      </w:tr>
      <w:tr>
        <w:trPr/>
        <w:tc>
          <w:tcPr>
            <w:tcW w:w="4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Cost of breaches caused by malicious insiders</w:t>
            </w:r>
          </w:p>
        </w:tc>
        <w:tc>
          <w:tcPr>
            <w:tcW w:w="2599"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$4.92 million average</w:t>
            </w:r>
          </w:p>
        </w:tc>
        <w:tc>
          <w:tcPr>
            <w:tcW w:w="2401"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IBM/Ponemon Cost of a Data Breach Report 2025</w:t>
            </w:r>
          </w:p>
        </w:tc>
      </w:tr>
      <w:tr>
        <w:trPr/>
        <w:tc>
          <w:tcPr>
            <w:tcW w:w="4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Ransomware victims who refused to pay</w:t>
            </w:r>
          </w:p>
        </w:tc>
        <w:tc>
          <w:tcPr>
            <w:tcW w:w="2599"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63% (up from 59% in 2024)</w:t>
            </w:r>
          </w:p>
        </w:tc>
        <w:tc>
          <w:tcPr>
            <w:tcW w:w="2401"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IBM/Ponemon Cost of a Data Breach Report 2025</w:t>
            </w:r>
          </w:p>
        </w:tc>
      </w:tr>
      <w:tr>
        <w:trPr/>
        <w:tc>
          <w:tcPr>
            <w:tcW w:w="4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Breaches with credential abuse as initial access vector</w:t>
            </w:r>
          </w:p>
        </w:tc>
        <w:tc>
          <w:tcPr>
            <w:tcW w:w="2599"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22% of confirmed breaches</w:t>
            </w:r>
          </w:p>
        </w:tc>
        <w:tc>
          <w:tcPr>
            <w:tcW w:w="2401"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Verizon 2025 DBIR</w:t>
            </w:r>
          </w:p>
        </w:tc>
      </w:tr>
      <w:tr>
        <w:trPr/>
        <w:tc>
          <w:tcPr>
            <w:tcW w:w="4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Basic web-application attacks involving stolen credentials</w:t>
            </w:r>
          </w:p>
        </w:tc>
        <w:tc>
          <w:tcPr>
            <w:tcW w:w="2599"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88%</w:t>
            </w:r>
          </w:p>
        </w:tc>
        <w:tc>
          <w:tcPr>
            <w:tcW w:w="2401"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Verizon 2025 DBIR</w:t>
            </w:r>
          </w:p>
        </w:tc>
      </w:tr>
      <w:tr>
        <w:trPr/>
        <w:tc>
          <w:tcPr>
            <w:tcW w:w="4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Median share of a user's passwords that are unique across services</w:t>
            </w:r>
          </w:p>
        </w:tc>
        <w:tc>
          <w:tcPr>
            <w:tcW w:w="2599"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49%</w:t>
            </w:r>
          </w:p>
        </w:tc>
        <w:tc>
          <w:tcPr>
            <w:tcW w:w="2401"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Verizon 2025 DBIR credential-stuffing research</w:t>
            </w:r>
          </w:p>
        </w:tc>
      </w:tr>
      <w:tr>
        <w:trPr/>
        <w:tc>
          <w:tcPr>
            <w:tcW w:w="4300"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Compromised infostealer-affected devices that were unmanaged/personal</w:t>
            </w:r>
          </w:p>
        </w:tc>
        <w:tc>
          <w:tcPr>
            <w:tcW w:w="2599" w:type="dxa"/>
            <w:tcBorders>
              <w:start w:val="single" w:sz="4" w:space="0" w:color="000000"/>
              <w:bottom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46%</w:t>
            </w:r>
          </w:p>
        </w:tc>
        <w:tc>
          <w:tcPr>
            <w:tcW w:w="2401" w:type="dxa"/>
            <w:tcBorders>
              <w:start w:val="single" w:sz="4" w:space="0" w:color="000000"/>
              <w:bottom w:val="single" w:sz="4" w:space="0" w:color="000000"/>
              <w:end w:val="single" w:sz="4" w:space="0" w:color="000000"/>
            </w:tcBorders>
            <w:vAlign w:val="center"/>
          </w:tcPr>
          <w:p>
            <w:pPr>
              <w:pStyle w:val="Normal"/>
              <w:jc w:val="center"/>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Verizon 2025 DBIR</w:t>
            </w:r>
          </w:p>
        </w:tc>
      </w:tr>
    </w:tbl>
    <w:p>
      <w:pPr>
        <w:pStyle w:val="Normal"/>
        <w:rPr>
          <w:i/>
          <w:iCs/>
          <w:sz w:val="20"/>
          <w:szCs w:val="20"/>
        </w:rPr>
      </w:pPr>
      <w:r>
        <w:rPr>
          <w:i/>
          <w:iCs/>
          <w:sz w:val="20"/>
          <w:szCs w:val="20"/>
        </w:rPr>
        <w:t>Note on figures: different reports measure “initial access vector” using different denominators (e.g., all confirmed breaches vs. a specific attack pattern such as basic web-application attacks), which is why credential-related percentages vary across rows above. Each figure is reported here exactly as scoped in its source to avoid overstating any single statistic.</w:t>
      </w:r>
    </w:p>
    <w:p>
      <w:pPr>
        <w:pStyle w:val="ListParagraph"/>
        <w:bidi w:val="0"/>
        <w:spacing w:lineRule="auto" w:line="240" w:before="0" w:after="80"/>
        <w:jc w:val="start"/>
        <w:rPr>
          <w:rFonts w:ascii="Times New Roman" w:hAnsi="Times New Roman"/>
        </w:rPr>
      </w:pPr>
      <w:r>
        <w:rPr>
          <w:rFonts w:ascii="Times New Roman" w:hAnsi="Times New Roman"/>
        </w:rPr>
      </w:r>
    </w:p>
    <w:p>
      <w:pPr>
        <w:pStyle w:val="ListParagraph"/>
        <w:bidi w:val="0"/>
        <w:spacing w:lineRule="auto" w:line="240" w:before="0" w:after="80"/>
        <w:jc w:val="start"/>
        <w:rPr>
          <w:rFonts w:ascii="Times New Roman" w:hAnsi="Times New Roman"/>
        </w:rPr>
      </w:pPr>
      <w:r>
        <w:rPr>
          <w:rFonts w:ascii="Times New Roman" w:hAnsi="Times New Roman"/>
          <w:sz w:val="28"/>
          <w:szCs w:val="28"/>
        </w:rPr>
        <w:t>10. CONCLUSION</w:t>
      </w:r>
    </w:p>
    <w:p>
      <w:pPr>
        <w:pStyle w:val="Normal"/>
        <w:spacing w:lineRule="auto" w:line="276" w:before="0" w:after="140"/>
        <w:rPr>
          <w:rFonts w:ascii="Times New Roman" w:hAnsi="Times New Roman"/>
          <w:sz w:val="22"/>
          <w:szCs w:val="22"/>
        </w:rPr>
      </w:pPr>
      <w:r>
        <w:rPr>
          <w:rFonts w:ascii="Times New Roman" w:hAnsi="Times New Roman"/>
          <w:sz w:val="22"/>
          <w:szCs w:val="22"/>
        </w:rPr>
        <w:t>The current Nimbus Retail Solutions security policy is short, informal, and in three domains entirely undocumented. None of this is unusual for a growing retailer that has not yet had a serious incident — but the organization's own recent history (one phishing-driven account compromise in the past year) combined with sector-wide data on phishing and credential attacks means the highest-risk gaps identified here (authentication, monitoring, and incident response) are not hypothetical. The good news is that the highest-risk items are also the lowest-cost to fix: enforcing MFA, tightening the password policy, and publishing a data classification scheme can all be completed within 30 days with existing tools and staff, and would move the organization's average maturity from 1.35 to an estimated 3.74 out of 5.0 once the full roadmap in Section 8 is complete.</w:t>
      </w:r>
    </w:p>
    <w:p>
      <w:pPr>
        <w:pStyle w:val="Normal"/>
        <w:spacing w:lineRule="auto" w:line="276" w:before="0" w:after="140"/>
        <w:rPr>
          <w:rFonts w:ascii="Times New Roman" w:hAnsi="Times New Roman"/>
        </w:rPr>
      </w:pPr>
      <w:r>
        <w:rPr>
          <w:rFonts w:ascii="Times New Roman" w:hAnsi="Times New Roman"/>
          <w:sz w:val="22"/>
          <w:szCs w:val="22"/>
        </w:rPr>
        <w:t>This review should be treated as a living baseline: Section 6's scorecard is designed to be re-run after each roadmap phase so that progress is measurable rather than assumed.</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LibreOffice/26.2.5.2$Linux_X86_64 LibreOffice_project/620$Build-2</Application>
  <AppVersion>15.0000</AppVersion>
  <Pages>11</Pages>
  <Words>4399</Words>
  <Characters>25647</Characters>
  <CharactersWithSpaces>29698</CharactersWithSpaces>
  <Paragraphs>361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2026-08-30T16:43:39Z</dcterms:created>
  <dc:creator/>
  <dc:description/>
  <dc:language>en-US</dc:language>
  <cp:lastModifiedBy/>
  <dcterms:modified xsi:type="dcterms:W3CDTF">2026-09-05T20:30:12Z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