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rFonts w:ascii="Times New Roman" w:hAnsi="Times New Roman"/>
        </w:rPr>
      </w:pPr>
      <w:r>
        <w:rPr>
          <w:rFonts w:ascii="Times New Roman" w:hAnsi="Times New Roman"/>
          <w:b/>
          <w:bCs/>
          <w:sz w:val="32"/>
          <w:szCs w:val="32"/>
        </w:rPr>
        <w:t>VULNERABILITY ASSESSMENT REPORT</w:t>
      </w:r>
    </w:p>
    <w:p>
      <w:pPr>
        <w:pStyle w:val="Normal"/>
        <w:bidi w:val="0"/>
        <w:spacing w:lineRule="auto" w:line="240"/>
        <w:jc w:val="center"/>
        <w:rPr>
          <w:rFonts w:ascii="Times New Roman" w:hAnsi="Times New Roman"/>
        </w:rPr>
      </w:pPr>
      <w:r>
        <w:rPr>
          <w:rFonts w:ascii="Times New Roman" w:hAnsi="Times New Roman"/>
        </w:rPr>
      </w:r>
    </w:p>
    <w:p>
      <w:pPr>
        <w:pStyle w:val="Normal"/>
        <w:bidi w:val="0"/>
        <w:spacing w:lineRule="auto" w:line="240"/>
        <w:jc w:val="center"/>
        <w:rPr>
          <w:rFonts w:ascii="Times New Roman" w:hAnsi="Times New Roman"/>
        </w:rPr>
      </w:pPr>
      <w:r>
        <w:rPr>
          <w:rFonts w:ascii="Times New Roman" w:hAnsi="Times New Roman"/>
          <w:b/>
          <w:bCs/>
          <w:sz w:val="24"/>
          <w:szCs w:val="24"/>
          <w:u w:val="single"/>
        </w:rPr>
        <w:t xml:space="preserve">Internship Technical Report – Week </w:t>
      </w:r>
      <w:r>
        <w:rPr>
          <w:rFonts w:ascii="Times New Roman" w:hAnsi="Times New Roman"/>
          <w:b/>
          <w:bCs/>
          <w:sz w:val="24"/>
          <w:szCs w:val="24"/>
          <w:u w:val="single"/>
        </w:rPr>
        <w:t>5</w:t>
      </w:r>
    </w:p>
    <w:p>
      <w:pPr>
        <w:pStyle w:val="Normal"/>
        <w:bidi w:val="0"/>
        <w:spacing w:lineRule="auto" w:line="240"/>
        <w:jc w:val="end"/>
        <w:rPr>
          <w:rFonts w:ascii="Times New Roman" w:hAnsi="Times New Roman"/>
        </w:rPr>
      </w:pPr>
      <w:r>
        <w:rPr>
          <w:rFonts w:ascii="Times New Roman" w:hAnsi="Times New Roman"/>
        </w:rPr>
      </w:r>
    </w:p>
    <w:p>
      <w:pPr>
        <w:pStyle w:val="Normal"/>
        <w:bidi w:val="0"/>
        <w:spacing w:lineRule="auto" w:line="240"/>
        <w:jc w:val="end"/>
        <w:rPr>
          <w:rFonts w:ascii="Times New Roman" w:hAnsi="Times New Roman"/>
        </w:rPr>
      </w:pPr>
      <w:r>
        <w:rPr>
          <w:rFonts w:ascii="Times New Roman" w:hAnsi="Times New Roman"/>
          <w:sz w:val="22"/>
          <w:szCs w:val="22"/>
        </w:rPr>
        <w:t>Author: Aditya Sharma</w:t>
      </w:r>
    </w:p>
    <w:p>
      <w:pPr>
        <w:pStyle w:val="Normal"/>
        <w:bidi w:val="0"/>
        <w:spacing w:lineRule="auto" w:line="240"/>
        <w:jc w:val="end"/>
        <w:rPr>
          <w:rFonts w:ascii="Times New Roman" w:hAnsi="Times New Roman"/>
        </w:rPr>
      </w:pPr>
      <w:r>
        <w:rPr>
          <w:rFonts w:ascii="Times New Roman" w:hAnsi="Times New Roman"/>
          <w:sz w:val="22"/>
          <w:szCs w:val="22"/>
        </w:rPr>
        <w:t>Domain: Cyber Security Analyst</w:t>
      </w:r>
    </w:p>
    <w:p>
      <w:pPr>
        <w:pStyle w:val="Normal"/>
        <w:bidi w:val="0"/>
        <w:spacing w:lineRule="auto" w:line="240"/>
        <w:jc w:val="end"/>
        <w:rPr>
          <w:rFonts w:ascii="Times New Roman" w:hAnsi="Times New Roman"/>
        </w:rPr>
      </w:pPr>
      <w:r>
        <w:rPr>
          <w:rFonts w:ascii="Times New Roman" w:hAnsi="Times New Roman"/>
          <w:sz w:val="22"/>
          <w:szCs w:val="22"/>
        </w:rPr>
        <w:t>Submission Date: 1</w:t>
      </w:r>
      <w:r>
        <w:rPr>
          <w:rFonts w:ascii="Times New Roman" w:hAnsi="Times New Roman"/>
          <w:sz w:val="22"/>
          <w:szCs w:val="22"/>
        </w:rPr>
        <w:t>7</w:t>
      </w:r>
      <w:r>
        <w:rPr>
          <w:rFonts w:ascii="Times New Roman" w:hAnsi="Times New Roman"/>
          <w:sz w:val="22"/>
          <w:szCs w:val="22"/>
        </w:rPr>
        <w:t xml:space="preserve"> September 2026</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jc w:val="start"/>
        <w:rPr>
          <w:rFonts w:ascii="Times New Roman" w:hAnsi="Times New Roman"/>
        </w:rPr>
      </w:pPr>
      <w:r>
        <w:rPr>
          <w:rFonts w:ascii="Times New Roman" w:hAnsi="Times New Roman"/>
          <w:sz w:val="28"/>
          <w:szCs w:val="28"/>
        </w:rPr>
        <w:t>1. EXECUTIVE SUMMARY</w:t>
      </w:r>
    </w:p>
    <w:p>
      <w:pPr>
        <w:pStyle w:val="Normal"/>
        <w:bidi w:val="0"/>
        <w:spacing w:lineRule="auto" w:line="240"/>
        <w:jc w:val="start"/>
        <w:rPr>
          <w:rFonts w:ascii="Times New Roman" w:hAnsi="Times New Roman"/>
        </w:rPr>
      </w:pPr>
      <w:r>
        <w:rPr>
          <w:rFonts w:ascii="Times New Roman" w:hAnsi="Times New Roman"/>
        </w:rPr>
      </w:r>
    </w:p>
    <w:p>
      <w:pPr>
        <w:pStyle w:val="Normal"/>
        <w:spacing w:lineRule="auto" w:line="276" w:before="0" w:after="140"/>
        <w:rPr>
          <w:rFonts w:ascii="Times New Roman" w:hAnsi="Times New Roman"/>
        </w:rPr>
      </w:pPr>
      <w:r>
        <w:rPr>
          <w:rFonts w:ascii="Times New Roman" w:hAnsi="Times New Roman"/>
          <w:sz w:val="20"/>
          <w:szCs w:val="20"/>
        </w:rPr>
        <w:t>This plan designs a 12-month Security Awareness campaign, branded “Nimbus Shield,” for Nimbus Retail Solutions, a hypothetical mid-sized e-commerce retailer with approximately 450 employees. It builds directly on the Week 3 Security Policy Review, which scored the organization's existing Security Awareness Training domain at 1.5 out of 5.0 maturity — a single onboarding session with no annual refresh, no simulated phishing, and no role-specific content — and recommended annual refresher training, quarterly phishing simulations, and role-specific modules for high-risk teams.</w:t>
      </w:r>
    </w:p>
    <w:p>
      <w:pPr>
        <w:pStyle w:val="Normal"/>
        <w:spacing w:lineRule="auto" w:line="276" w:before="0" w:after="140"/>
        <w:rPr>
          <w:rFonts w:ascii="Times New Roman" w:hAnsi="Times New Roman"/>
        </w:rPr>
      </w:pPr>
      <w:r>
        <w:rPr>
          <w:rFonts w:ascii="Times New Roman" w:hAnsi="Times New Roman"/>
          <w:sz w:val="20"/>
          <w:szCs w:val="20"/>
        </w:rPr>
        <w:t>The case for this investment is not abstract. Verizon's 2025 Data Breach Investigations Report (DBIR), which analyzed 22,052 security incidents and 12,195 confirmed breaches, found that 60% of breaches involved a human element — 32% credential abuse, 23% social engineering, and 14% human error. IBM's Cost of a Data Breach Report 2025 separately found phishing to be the single most common initial attack vector (16% of breaches), at an average cost of $4.8 million per breach. Nimbus's own history includes one confirmed phishing-driven account compromise in the past 12 months (noted in the Week 3 review), making this a demonstrated risk, not a hypothetical one.</w:t>
      </w:r>
    </w:p>
    <w:p>
      <w:pPr>
        <w:pStyle w:val="Normal"/>
        <w:spacing w:lineRule="auto" w:line="276" w:before="0" w:after="140"/>
        <w:rPr>
          <w:rFonts w:ascii="Times New Roman" w:hAnsi="Times New Roman"/>
        </w:rPr>
      </w:pPr>
      <w:r>
        <w:rPr>
          <w:rFonts w:ascii="Times New Roman" w:hAnsi="Times New Roman"/>
          <w:sz w:val="20"/>
          <w:szCs w:val="20"/>
        </w:rPr>
        <w:t>The program targets three measurable outcomes over 12 months: reducing the organization's phishing susceptibility from an untrained industry baseline of roughly 33% (per KnowBe4's 2025 Phishing by Industry Benchmarking Report) to under 5%; raising the phishing-report rate from near-zero to above 25%; and achieving 100% completion of annual refresher training across all 450 employees. Section 3 sets out the full KPI table, Section 8 lays out the month-by-month calendar, and Section 9 estimates the budget required.</w:t>
      </w:r>
    </w:p>
    <w:p>
      <w:pPr>
        <w:pStyle w:val="Normal"/>
        <w:bidi w:val="0"/>
        <w:spacing w:lineRule="auto" w:line="240" w:before="0" w:after="0"/>
        <w:jc w:val="start"/>
        <w:rPr>
          <w:rFonts w:ascii="Times New Roman" w:hAnsi="Times New Roman"/>
          <w:sz w:val="28"/>
          <w:szCs w:val="28"/>
        </w:rPr>
      </w:pPr>
      <w:r>
        <w:rPr>
          <w:rFonts w:ascii="Times New Roman" w:hAnsi="Times New Roman"/>
          <w:sz w:val="28"/>
          <w:szCs w:val="28"/>
        </w:rPr>
        <w:t>2. SCOPE &amp; METHODOLOGY</w:t>
      </w:r>
    </w:p>
    <w:p>
      <w:pPr>
        <w:pStyle w:val="Normal"/>
        <w:bidi w:val="0"/>
        <w:spacing w:lineRule="auto" w:line="240" w:before="0" w:after="0"/>
        <w:jc w:val="start"/>
        <w:rPr>
          <w:rFonts w:ascii="Times New Roman" w:hAnsi="Times New Roman"/>
        </w:rPr>
      </w:pPr>
      <w:r>
        <w:rPr>
          <w:rFonts w:ascii="Times New Roman" w:hAnsi="Times New Roman"/>
          <w:sz w:val="22"/>
          <w:szCs w:val="22"/>
        </w:rPr>
        <w:br/>
      </w:r>
      <w:r>
        <w:rPr>
          <w:rFonts w:ascii="Times New Roman" w:hAnsi="Times New Roman"/>
          <w:i w:val="false"/>
          <w:iCs w:val="false"/>
          <w:sz w:val="24"/>
          <w:szCs w:val="24"/>
          <w:u w:val="single"/>
        </w:rPr>
        <w:t xml:space="preserve">2.1 </w:t>
      </w:r>
      <w:r>
        <w:rPr>
          <w:rFonts w:ascii="Times New Roman" w:hAnsi="Times New Roman"/>
          <w:i w:val="false"/>
          <w:iCs w:val="false"/>
          <w:sz w:val="24"/>
          <w:szCs w:val="24"/>
          <w:u w:val="single"/>
        </w:rPr>
        <w:t>Assets in Scope</w:t>
      </w:r>
    </w:p>
    <w:tbl>
      <w:tblPr>
        <w:tblW w:w="9600" w:type="dxa"/>
        <w:jc w:val="start"/>
        <w:tblInd w:w="0" w:type="dxa"/>
        <w:tblLayout w:type="fixed"/>
        <w:tblCellMar>
          <w:top w:w="58" w:type="dxa"/>
          <w:start w:w="58" w:type="dxa"/>
          <w:bottom w:w="58" w:type="dxa"/>
          <w:end w:w="58" w:type="dxa"/>
        </w:tblCellMar>
      </w:tblPr>
      <w:tblGrid>
        <w:gridCol w:w="3000"/>
        <w:gridCol w:w="6600"/>
      </w:tblGrid>
      <w:tr>
        <w:trPr>
          <w:tblHeader w:val="true"/>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Asset</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Description</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Customer e-commerce platform</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Cloud-hosted storefront, checkout, and account-management application handling customer PII and tokenized payment data</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Legacy customer-search API</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Internal API supporting product/order search, built before the current platform migration</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Corporate network</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Office network serving Finance, Marketing, Customer Support, and Engineering/IT (see Week 3 &amp; 4 org profile)</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Warehouse network &amp; WMS</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On-premises Warehouse Management System and connected barcode scanners at the fulfillment site</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Cloud storage</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Object storage used for order exports, backups, and analytics data</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Remote-access VPN</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Appliance providing remote employee access to internal systems</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Endpoint fleet</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~450 employee laptops/desktops across office and warehouse sites</w:t>
            </w:r>
          </w:p>
        </w:tc>
      </w:tr>
      <w:tr>
        <w:trPr/>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Third-party payment gateway integration</w:t>
            </w:r>
          </w:p>
        </w:tc>
        <w:tc>
          <w:tcPr>
            <w:tcW w:w="6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Vendor-supplied SDK/library embedded in the checkout flow</w:t>
            </w:r>
          </w:p>
        </w:tc>
      </w:tr>
    </w:tbl>
    <w:p>
      <w:pPr>
        <w:pStyle w:val="Normal"/>
        <w:spacing w:lineRule="auto" w:line="276" w:before="0" w:after="140"/>
        <w:rPr>
          <w:rFonts w:ascii="Times New Roman" w:hAnsi="Times New Roman"/>
          <w:i w:val="false"/>
          <w:iCs w:val="false"/>
          <w:sz w:val="24"/>
          <w:szCs w:val="24"/>
          <w:u w:val="single"/>
        </w:rPr>
      </w:pPr>
      <w:r>
        <w:rPr>
          <w:rFonts w:ascii="Times New Roman" w:hAnsi="Times New Roman"/>
          <w:i w:val="false"/>
          <w:iCs w:val="false"/>
          <w:sz w:val="24"/>
          <w:szCs w:val="24"/>
          <w:u w:val="single"/>
        </w:rPr>
      </w:r>
    </w:p>
    <w:p>
      <w:pPr>
        <w:pStyle w:val="Normal"/>
        <w:spacing w:lineRule="auto" w:line="276" w:before="57" w:after="57"/>
        <w:rPr>
          <w:rFonts w:ascii="Times New Roman" w:hAnsi="Times New Roman"/>
        </w:rPr>
      </w:pPr>
      <w:r>
        <w:rPr>
          <w:rFonts w:ascii="Times New Roman" w:hAnsi="Times New Roman"/>
          <w:sz w:val="20"/>
          <w:szCs w:val="20"/>
        </w:rPr>
        <w:t>The Fortra finding is particularly important for how this campaign is designed: a low click rate alone does not mean a workforce is secure. Fortra's 2025 benchmark found organizations averaging a 5.4% click rate but with roughly 90% of phishing emails never reported — meaning employees who don't fall for an attack often still fail to flag it for the security team, leaving the organization blind to active campaigns. For that reason, this plan sets a report-rate KPI (Section 3) with equal weight to the click-rate KPI, not click-rate alone.</w:t>
      </w:r>
    </w:p>
    <w:p>
      <w:pPr>
        <w:pStyle w:val="Normal"/>
        <w:spacing w:lineRule="auto" w:line="276" w:before="57" w:after="57"/>
        <w:rPr>
          <w:rFonts w:ascii="Times New Roman" w:hAnsi="Times New Roman"/>
        </w:rPr>
      </w:pPr>
      <w:r>
        <w:rPr>
          <w:rFonts w:ascii="Times New Roman" w:hAnsi="Times New Roman"/>
          <w:sz w:val="24"/>
          <w:szCs w:val="24"/>
          <w:u w:val="single"/>
        </w:rPr>
        <w:t xml:space="preserve">2.2 </w:t>
      </w:r>
      <w:r>
        <w:rPr>
          <w:rFonts w:ascii="Times New Roman" w:hAnsi="Times New Roman"/>
          <w:sz w:val="24"/>
          <w:szCs w:val="24"/>
          <w:u w:val="single"/>
        </w:rPr>
        <w:t>Methodology</w:t>
      </w:r>
    </w:p>
    <w:p>
      <w:pPr>
        <w:pStyle w:val="Normal"/>
        <w:spacing w:lineRule="auto" w:line="276" w:before="0" w:after="140"/>
        <w:rPr>
          <w:rFonts w:ascii="Times New Roman" w:hAnsi="Times New Roman"/>
        </w:rPr>
      </w:pPr>
      <w:r>
        <w:rPr>
          <w:rFonts w:ascii="Times New Roman" w:hAnsi="Times New Roman"/>
          <w:sz w:val="20"/>
          <w:szCs w:val="20"/>
        </w:rPr>
        <w:t>This assessment followed the technical testing approach described in NIST SP 800-115 (Technical Guide to Information Security Testing and Assessment): asset enumeration, automated and manual vulnerability identification, impact analysis, and prioritized reporting. Web application findings were mapped against the OWASP Top 10 (2021 edition, the most current release at time of writing). Each finding is scored using CVSS v3.1 base-score methodology (estimated, pending a live scan against the real environment) and cross-referenced against CIS Controls v8 and, where applicable, PCI-DSS v4.0, for consistency with the Week 3 Security Policy Review.</w:t>
      </w:r>
    </w:p>
    <w:p>
      <w:pPr>
        <w:pStyle w:val="Normal"/>
        <w:spacing w:lineRule="auto" w:line="276" w:before="0" w:after="140"/>
        <w:rPr>
          <w:rFonts w:ascii="Times New Roman" w:hAnsi="Times New Roman"/>
          <w:sz w:val="24"/>
          <w:szCs w:val="24"/>
          <w:u w:val="single"/>
        </w:rPr>
      </w:pPr>
      <w:r>
        <w:rPr>
          <w:rFonts w:ascii="Times New Roman" w:hAnsi="Times New Roman"/>
          <w:sz w:val="24"/>
          <w:szCs w:val="24"/>
          <w:u w:val="single"/>
        </w:rPr>
        <w:t>2.3 Severity Scale</w:t>
      </w:r>
    </w:p>
    <w:tbl>
      <w:tblPr>
        <w:tblW w:w="9600" w:type="dxa"/>
        <w:jc w:val="start"/>
        <w:tblInd w:w="0" w:type="dxa"/>
        <w:tblLayout w:type="fixed"/>
        <w:tblCellMar>
          <w:top w:w="58" w:type="dxa"/>
          <w:start w:w="58" w:type="dxa"/>
          <w:bottom w:w="58" w:type="dxa"/>
          <w:end w:w="58" w:type="dxa"/>
        </w:tblCellMar>
      </w:tblPr>
      <w:tblGrid>
        <w:gridCol w:w="2200"/>
        <w:gridCol w:w="3600"/>
        <w:gridCol w:w="3800"/>
      </w:tblGrid>
      <w:tr>
        <w:trPr>
          <w:tblHeader w:val="true"/>
        </w:trPr>
        <w:tc>
          <w:tcPr>
            <w:tcW w:w="2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Severity</w:t>
            </w:r>
          </w:p>
        </w:tc>
        <w:tc>
          <w:tcPr>
            <w:tcW w:w="3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CVSS v3.1 Range</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Remediation SLA (this report's target)</w:t>
            </w:r>
          </w:p>
        </w:tc>
      </w:tr>
      <w:tr>
        <w:trPr/>
        <w:tc>
          <w:tcPr>
            <w:tcW w:w="2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Critical</w:t>
            </w:r>
          </w:p>
        </w:tc>
        <w:tc>
          <w:tcPr>
            <w:tcW w:w="3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9.0 – 10.0</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14 days</w:t>
            </w:r>
          </w:p>
        </w:tc>
      </w:tr>
      <w:tr>
        <w:trPr/>
        <w:tc>
          <w:tcPr>
            <w:tcW w:w="2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High</w:t>
            </w:r>
          </w:p>
        </w:tc>
        <w:tc>
          <w:tcPr>
            <w:tcW w:w="3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7.0 – 8.9</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30 days</w:t>
            </w:r>
          </w:p>
        </w:tc>
      </w:tr>
      <w:tr>
        <w:trPr/>
        <w:tc>
          <w:tcPr>
            <w:tcW w:w="2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Medium</w:t>
            </w:r>
          </w:p>
        </w:tc>
        <w:tc>
          <w:tcPr>
            <w:tcW w:w="3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4.0 – 6.9</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90 days</w:t>
            </w:r>
          </w:p>
        </w:tc>
      </w:tr>
      <w:tr>
        <w:trPr/>
        <w:tc>
          <w:tcPr>
            <w:tcW w:w="2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Low</w:t>
            </w:r>
          </w:p>
        </w:tc>
        <w:tc>
          <w:tcPr>
            <w:tcW w:w="3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0.1 – 3.9</w:t>
            </w:r>
          </w:p>
        </w:tc>
        <w:tc>
          <w:tcPr>
            <w:tcW w:w="3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sz w:val="20"/>
                <w:szCs w:val="20"/>
              </w:rPr>
            </w:pPr>
            <w:r>
              <w:rPr>
                <w:rFonts w:ascii="Times New Roman" w:hAnsi="Times New Roman"/>
                <w:sz w:val="20"/>
                <w:szCs w:val="20"/>
              </w:rPr>
              <w:t>180 days</w:t>
            </w:r>
          </w:p>
        </w:tc>
      </w:tr>
    </w:tbl>
    <w:p>
      <w:pPr>
        <w:pStyle w:val="Normal"/>
        <w:spacing w:lineRule="auto" w:line="276" w:before="0" w:after="140"/>
        <w:rPr>
          <w:rFonts w:ascii="Times New Roman" w:hAnsi="Times New Roman"/>
          <w:sz w:val="24"/>
          <w:szCs w:val="24"/>
          <w:u w:val="single"/>
        </w:rPr>
      </w:pPr>
      <w:r>
        <w:rPr>
          <w:rFonts w:ascii="Times New Roman" w:hAnsi="Times New Roman"/>
          <w:sz w:val="24"/>
          <w:szCs w:val="24"/>
          <w:u w:val="single"/>
        </w:rPr>
      </w:r>
    </w:p>
    <w:p>
      <w:pPr>
        <w:pStyle w:val="Normal"/>
        <w:bidi w:val="0"/>
        <w:spacing w:lineRule="auto" w:line="240"/>
        <w:jc w:val="start"/>
        <w:rPr>
          <w:rFonts w:ascii="Times New Roman" w:hAnsi="Times New Roman"/>
        </w:rPr>
      </w:pPr>
      <w:r>
        <w:rPr>
          <w:rFonts w:ascii="Times New Roman" w:hAnsi="Times New Roman"/>
          <w:sz w:val="28"/>
          <w:szCs w:val="28"/>
        </w:rPr>
        <w:t>3. Threat Context: Why Vulnerability Management Matters Now</w:t>
      </w:r>
    </w:p>
    <w:tbl>
      <w:tblPr>
        <w:tblW w:w="9600" w:type="dxa"/>
        <w:jc w:val="start"/>
        <w:tblInd w:w="0" w:type="dxa"/>
        <w:tblLayout w:type="fixed"/>
        <w:tblCellMar>
          <w:top w:w="58" w:type="dxa"/>
          <w:start w:w="58" w:type="dxa"/>
          <w:bottom w:w="58" w:type="dxa"/>
          <w:end w:w="58" w:type="dxa"/>
        </w:tblCellMar>
      </w:tblPr>
      <w:tblGrid>
        <w:gridCol w:w="4299"/>
        <w:gridCol w:w="3000"/>
        <w:gridCol w:w="2301"/>
      </w:tblGrid>
      <w:tr>
        <w:trPr>
          <w:tblHeader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Finding</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Figure</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Source</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Breaches with vulnerability exploitation as initial access vector</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20% (+34% YoY)</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Verizon 2025 DBIR</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CVE-attributable breaches involving VPN/edge-device vulnerabilities</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22% (≈88% of that category, up from 3% the year prior)</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Verizon 2025 DBIR</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Median time to fully remediate a vulnerability once patched</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32 days</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Verizon 2025 DBIR</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Vulnerable edge-device instances fully remediated within one year</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54%</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Verizon 2025 DBIR</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Average global cost of a data breach</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$4.44 million</w:t>
            </w:r>
          </w:p>
        </w:tc>
        <w:tc>
          <w:tcPr>
            <w:tcW w:w="23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IBM Cost of a Data Breach Report 2025</w:t>
            </w:r>
          </w:p>
        </w:tc>
      </w:tr>
    </w:tbl>
    <w:p>
      <w:pPr>
        <w:pStyle w:val="Normal"/>
        <w:spacing w:lineRule="auto" w:line="276" w:before="0" w:after="140"/>
        <w:rPr>
          <w:rFonts w:ascii="Times New Roman" w:hAnsi="Times New Roman"/>
          <w:b w:val="false"/>
          <w:bCs w:val="false"/>
          <w:sz w:val="20"/>
          <w:szCs w:val="20"/>
        </w:rPr>
      </w:pPr>
      <w:r>
        <w:rPr>
          <w:rFonts w:ascii="Times New Roman" w:hAnsi="Times New Roman"/>
          <w:b w:val="false"/>
          <w:bCs w:val="false"/>
          <w:sz w:val="20"/>
          <w:szCs w:val="20"/>
        </w:rPr>
        <w:t>Nimbus's own posture makes this more than an abstract industry statistic: the Week 3 Security Policy Review found no formal vulnerability-scanning cadence, no defined patch SLA, and a flat network with limited segmentation between the corporate and warehouse environments — conditions under which a single unpatched, internet-facing vulnerability can become a full-network incident.</w:t>
      </w:r>
    </w:p>
    <w:p>
      <w:pPr>
        <w:pStyle w:val="Normal"/>
        <w:bidi w:val="0"/>
        <w:spacing w:lineRule="auto" w:line="240"/>
        <w:jc w:val="start"/>
        <w:rPr>
          <w:rFonts w:ascii="Times New Roman" w:hAnsi="Times New Roman"/>
        </w:rPr>
      </w:pPr>
      <w:r>
        <w:rPr>
          <w:rFonts w:ascii="Times New Roman" w:hAnsi="Times New Roman"/>
          <w:sz w:val="28"/>
          <w:szCs w:val="28"/>
        </w:rPr>
        <w:t>4. REAL-WORLD PRECEDENTS REFERENCED IN THIS ASSESSMENT</w:t>
      </w:r>
    </w:p>
    <w:tbl>
      <w:tblPr>
        <w:tblW w:w="9100" w:type="dxa"/>
        <w:jc w:val="start"/>
        <w:tblInd w:w="0" w:type="dxa"/>
        <w:tblLayout w:type="fixed"/>
        <w:tblCellMar>
          <w:top w:w="58" w:type="dxa"/>
          <w:start w:w="58" w:type="dxa"/>
          <w:bottom w:w="58" w:type="dxa"/>
          <w:end w:w="58" w:type="dxa"/>
        </w:tblCellMar>
      </w:tblPr>
      <w:tblGrid>
        <w:gridCol w:w="1900"/>
        <w:gridCol w:w="3000"/>
        <w:gridCol w:w="4200"/>
      </w:tblGrid>
      <w:tr>
        <w:trPr>
          <w:tblHeader w:val="true"/>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Incident</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Vulnerability Type</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What Happened</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Equifax, 2017</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Unpatched web framework (CVE-2017-5638, Apache Struts)</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 publicly known, patched vulnerability in a web application framework went unpatched for over two months, allowing attackers to access approximately 147 million consumer records.</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Capital One, 2019</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Server-Side Request Forgery (SSRF) via cloud misconfiguration</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 misconfigured web application firewall allowed an attacker to reach the cloud provider's internal metadata service and retrieve credentials, exposing over 100 million customer records.</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Log4Shell, 2021</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Remote code execution in a widely used logging library (CVE-2021-44228)</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 critical vulnerability in a near-ubiquitous open-source logging component allowed remote code execution and was mass-exploited within days of disclosure across thousands of organizations.</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MOVEit campaign, 2023</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SQL injection in managed file-transfer software</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The Cl0p ransomware group exploited a SQL injection vulnerability in widely used file-transfer software to mass-extract data from hundreds of downstream organizations.</w:t>
            </w:r>
          </w:p>
        </w:tc>
      </w:tr>
      <w:tr>
        <w:trPr/>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Target, 2013</w:t>
            </w:r>
          </w:p>
        </w:tc>
        <w:tc>
          <w:tcPr>
            <w:tcW w:w="3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Network segmentation failure following third-party compromise</w:t>
            </w:r>
          </w:p>
        </w:tc>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Attackers used stolen credentials from a third-party HVAC vendor to reach Target's network, then pivoted into the point-of-sale environment due to insufficient network segmentation.</w:t>
            </w:r>
          </w:p>
        </w:tc>
      </w:tr>
    </w:tbl>
    <w:p>
      <w:pPr>
        <w:pStyle w:val="Normal"/>
        <w:spacing w:lineRule="auto" w:line="276" w:before="0" w:after="140"/>
        <w:rPr>
          <w:rFonts w:ascii="Times New Roman" w:hAnsi="Times New Roman"/>
        </w:rPr>
      </w:pPr>
      <w:r>
        <w:rPr>
          <w:rFonts w:ascii="Times New Roman" w:hAnsi="Times New Roman"/>
        </w:rPr>
      </w:r>
    </w:p>
    <w:p>
      <w:pPr>
        <w:pStyle w:val="Normal"/>
        <w:spacing w:lineRule="auto" w:line="276" w:before="0" w:after="140"/>
        <w:rPr>
          <w:rFonts w:ascii="Times New Roman" w:hAnsi="Times New Roman"/>
        </w:rPr>
      </w:pPr>
      <w:r>
        <w:rPr>
          <w:rFonts w:ascii="Times New Roman" w:hAnsi="Times New Roman"/>
          <w:sz w:val="28"/>
          <w:szCs w:val="28"/>
        </w:rPr>
        <w:t>5. VULNERABILITY REGISTER</w:t>
      </w:r>
    </w:p>
    <w:p>
      <w:pPr>
        <w:pStyle w:val="Normal"/>
        <w:spacing w:lineRule="auto" w:line="276" w:before="0" w:after="140"/>
        <w:rPr>
          <w:rFonts w:ascii="Times New Roman" w:hAnsi="Times New Roman"/>
        </w:rPr>
      </w:pPr>
      <w:r>
        <w:rPr>
          <w:rFonts w:ascii="Times New Roman" w:hAnsi="Times New Roman"/>
          <w:sz w:val="20"/>
          <w:szCs w:val="20"/>
        </w:rPr>
        <w:t>Thirteen findings are detailed below, grouped by category, in descending order of severity within each category. IDs are referenced throughout the remediation roadmap (Section 8).</w:t>
      </w:r>
    </w:p>
    <w:p>
      <w:pPr>
        <w:pStyle w:val="Normal"/>
        <w:bidi w:val="0"/>
        <w:spacing w:lineRule="auto" w:line="240" w:before="0" w:after="83"/>
        <w:jc w:val="start"/>
        <w:rPr>
          <w:rFonts w:ascii="Times New Roman" w:hAnsi="Times New Roman"/>
          <w:sz w:val="24"/>
          <w:szCs w:val="24"/>
          <w:u w:val="single"/>
        </w:rPr>
      </w:pPr>
      <w:r>
        <w:rPr>
          <w:rFonts w:ascii="Times New Roman" w:hAnsi="Times New Roman"/>
          <w:sz w:val="24"/>
          <w:szCs w:val="24"/>
          <w:u w:val="single"/>
        </w:rPr>
        <w:t>5.1 Web Application &amp; API</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VULN-02 — Unpatched E-Commerce Platform Plugin</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color w:val="2B2D38"/>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Web Application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9.8</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Critical</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High</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Severe — full compromise possible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customer-facing e-commerce platform runs a third-party plugin two major versions behind current, with at least one publicly disclosed remote-code-execution advisory outstanding. No patch-management SLA currently governs how quickly such advisories are actioned.</w:t>
      </w:r>
    </w:p>
    <w:p>
      <w:pPr>
        <w:pStyle w:val="Normal"/>
        <w:spacing w:before="40" w:after="100"/>
        <w:rPr>
          <w:rFonts w:ascii="Times New Roman" w:hAnsi="Times New Roman"/>
          <w:color w:val="2B2D38"/>
        </w:rPr>
      </w:pPr>
      <w:r>
        <w:rPr>
          <w:rFonts w:ascii="Times New Roman" w:hAnsi="Times New Roman"/>
          <w:b/>
          <w:bCs/>
          <w:color w:val="2B2D38"/>
          <w:sz w:val="20"/>
          <w:szCs w:val="20"/>
        </w:rPr>
        <w:t>Real-world precedent:</w:t>
      </w:r>
      <w:r>
        <w:rPr>
          <w:rFonts w:ascii="Times New Roman" w:hAnsi="Times New Roman"/>
          <w:b/>
          <w:bCs/>
          <w:color w:val="2B2D38"/>
          <w:sz w:val="22"/>
          <w:szCs w:val="22"/>
        </w:rPr>
        <w:t xml:space="preserve"> </w:t>
      </w:r>
      <w:r>
        <w:rPr>
          <w:rFonts w:ascii="Times New Roman" w:hAnsi="Times New Roman"/>
          <w:i/>
          <w:iCs/>
          <w:color w:val="2B2D38"/>
          <w:sz w:val="20"/>
          <w:szCs w:val="20"/>
        </w:rPr>
        <w:t>Directly analogous to Equifax (2017): a patch existed for over two months before attackers exploited the gap. An outstanding, unpatched RCE advisory on a customer-facing system is the single highest-risk finding in this assessment.</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Apply the vendor patch within 14 days of disclosure (Critical SLA); enable automatic security-patch notifications; deploy virtual patching via a WAF as an interim compensating control.</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20"/>
          <w:szCs w:val="20"/>
        </w:rPr>
        <w:t>CIS Control 7 (Continuous Vulnerability Management); PCI-DSS 4.0 Req. 6.3</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VULN-04 — SQL Injection in Legacy Customer-Search API</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Web Application (OWASP A03: Injection)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9.1</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Critical</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Severe — database-wide data exposure</w:t>
            </w:r>
          </w:p>
        </w:tc>
      </w:tr>
    </w:tbl>
    <w:p>
      <w:pPr>
        <w:pStyle w:val="Normal"/>
        <w:spacing w:lineRule="auto" w:line="276" w:before="0" w:after="0"/>
        <w:rPr>
          <w:rFonts w:ascii="Times New Roman" w:hAnsi="Times New Roman"/>
          <w:color w:val="2B2D38"/>
          <w:sz w:val="20"/>
          <w:szCs w:val="20"/>
        </w:rPr>
      </w:pPr>
      <w:r>
        <w:rPr>
          <w:rFonts w:ascii="Times New Roman" w:hAnsi="Times New Roman"/>
          <w:color w:val="2B2D38"/>
          <w:sz w:val="20"/>
          <w:szCs w:val="20"/>
        </w:rPr>
        <w:t>The legacy customer-search API, retained after the platform migration, constructs SQL queries using unsanitized string concatenation rather than parameterized queries, allowing an attacker to manipulate query logic.</w:t>
      </w:r>
    </w:p>
    <w:p>
      <w:pPr>
        <w:pStyle w:val="Normal"/>
        <w:spacing w:before="57" w:after="57"/>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This is the same vulnerability class exploited in the 2023 MOVEit campaign, where SQL injection in a single application was used to mass-extract data across hundreds of organizations.</w:t>
      </w:r>
    </w:p>
    <w:p>
      <w:pPr>
        <w:pStyle w:val="Normal"/>
        <w:spacing w:before="0" w:after="43"/>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Rewrite the affected queries using parameterized statements or an ORM; add input validation; run static application security testing (SAST) against the full legacy codebase before decommissioning it.</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OWASP Top 10 2021 (A03); CIS Control 16 (Application Software Security)</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VULN-10 — No Rate Limiting on Login / Password-Reset Endpoints</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sz w:val="20"/>
                <w:szCs w:val="20"/>
              </w:rPr>
            </w:pPr>
            <w:r>
              <w:rPr>
                <w:rFonts w:eastAsia="DejaVu Sans" w:cs="DejaVu Sans" w:ascii="Times New Roman" w:hAnsi="Times New Roman"/>
                <w:sz w:val="20"/>
                <w:szCs w:val="20"/>
              </w:rPr>
              <w:t>Web Application (OWASP A07: Identification &amp; Authentication Failures)</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sz w:val="20"/>
                <w:szCs w:val="20"/>
              </w:rPr>
            </w:pPr>
            <w:r>
              <w:rPr>
                <w:rFonts w:eastAsia="DejaVu Sans" w:cs="DejaVu Sans" w:ascii="Times New Roman" w:hAnsi="Times New Roman"/>
                <w:sz w:val="20"/>
                <w:szCs w:val="20"/>
              </w:rPr>
              <w:t>7.5</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b/>
                <w:bCs/>
                <w:sz w:val="20"/>
                <w:szCs w:val="20"/>
              </w:rPr>
            </w:pPr>
            <w:r>
              <w:rPr>
                <w:rFonts w:eastAsia="DejaVu Sans" w:cs="DejaVu Sans" w:ascii="Times New Roman" w:hAnsi="Times New Roman"/>
                <w:b/>
                <w:bCs/>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sz w:val="20"/>
                <w:szCs w:val="20"/>
              </w:rPr>
            </w:pPr>
            <w:r>
              <w:rPr>
                <w:rFonts w:eastAsia="DejaVu Sans" w:cs="DejaVu Sans" w:ascii="Times New Roman" w:hAnsi="Times New Roman"/>
                <w:sz w:val="20"/>
                <w:szCs w:val="20"/>
              </w:rPr>
              <w:t>High</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DejaVu Sans" w:cs="DejaVu Sans"/>
                <w:sz w:val="20"/>
                <w:szCs w:val="20"/>
              </w:rPr>
            </w:pPr>
            <w:r>
              <w:rPr>
                <w:rFonts w:eastAsia="DejaVu Sans" w:cs="DejaVu Sans" w:ascii="Times New Roman" w:hAnsi="Times New Roman"/>
                <w:sz w:val="20"/>
                <w:szCs w:val="20"/>
              </w:rPr>
              <w:t>Moderate — account takeover at scale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login and password-reset endpoints accept unlimited attempts with no rate limiting, CAPTCHA, or account lockout, making them susceptible to credential-stuffing and brute-force attacks — compounded by the weak password policy identified in the Week 3 review.</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Credential stuffing against unthrottled login endpoints is one of the most common automated attack patterns tracked industry-wide, and pairs directly with the password-reuse risk described in Week 3 and Week 4.</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Implement rate limiting and progressive delays per account/IP; add CAPTCHA after repeated failures; pair with the MFA rollout recommended in the Week 3 report.</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OWASP Top 10 2021 (A07); CIS Control 6</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VULN-05 — No Web Application Firewall on Checkout/Payment Pages</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Web Application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6.5</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Moderate — delayed detection of exploitation attempts</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Checkout and payment pages, which handle tokenized card data, sit directly behind the load balancer with no WAF layer to detect or block common attack patterns (SQLi, XSS, bot traffic) before they reach the application.</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A WAF would have provided a compensating control for both VULN-02 and VULN-04 while patches were prepared, and is a standard PCI-DSS expectation for card-data environments.</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Deploy a WAF in front of all customer-facing and payment-adjacent endpoints; tune rules against the OWASP Core Rule Set; enable logging to the SIEM recommended in the Week 3 report.</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PCI-DSS 4.0 Req. 6.4.1; CIS Control 13</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VULN-09 — Missing HTTP Security Headers</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Web Application (OWASP A05: Security Misconfiguration)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5.4</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Low</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Low-Moderate — increases XSS/clickjacking exposure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main website does not set Content-Security-Policy, Strict-Transport-Security, X-Frame-Options, or X-Content-Type-Options headers, leaving the site more exposed to cross-site scripting and clickjacking than a hardened configuration.</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Missing security headers are a routine finding in independent web-security audits and a low-cost, high-value fix relative to the findings above.</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Configure the identified headers at the CDN/load-balancer layer; verify with an automated header-scanning tool after deployment (see companion script, Section 2.2).</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20"/>
          <w:szCs w:val="20"/>
        </w:rPr>
        <w:t>OWASP Top 10 2021 (A05); CIS Control 4</w:t>
      </w:r>
    </w:p>
    <w:p>
      <w:pPr>
        <w:pStyle w:val="Normal"/>
        <w:spacing w:before="0" w:after="220"/>
        <w:rPr>
          <w:rFonts w:ascii="Times New Roman" w:hAnsi="Times New Roman"/>
          <w:color w:val="2B2D38"/>
          <w:sz w:val="20"/>
          <w:szCs w:val="20"/>
        </w:rPr>
      </w:pPr>
      <w:r>
        <w:rPr>
          <w:rFonts w:ascii="Times New Roman" w:hAnsi="Times New Roman"/>
          <w:color w:val="2B2D38"/>
          <w:sz w:val="20"/>
          <w:szCs w:val="20"/>
        </w:rPr>
      </w:r>
    </w:p>
    <w:p>
      <w:pPr>
        <w:pStyle w:val="Normal"/>
        <w:spacing w:before="0" w:after="220"/>
        <w:rPr>
          <w:rFonts w:ascii="Times New Roman" w:hAnsi="Times New Roman"/>
          <w:color w:val="2B2D38"/>
          <w:sz w:val="20"/>
          <w:szCs w:val="20"/>
        </w:rPr>
      </w:pPr>
      <w:r>
        <w:rPr>
          <w:rFonts w:ascii="Times New Roman" w:hAnsi="Times New Roman"/>
          <w:color w:val="2B2D38"/>
          <w:sz w:val="20"/>
          <w:szCs w:val="20"/>
        </w:rPr>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5.2 Cloud &amp; Network</w:t>
      </w:r>
    </w:p>
    <w:p>
      <w:pPr>
        <w:pStyle w:val="Heading3"/>
        <w:rPr>
          <w:rFonts w:ascii="Times New Roman" w:hAnsi="Times New Roman"/>
          <w:b/>
          <w:bCs/>
          <w:color w:val="2B2D38"/>
          <w:sz w:val="22"/>
          <w:szCs w:val="22"/>
        </w:rPr>
      </w:pPr>
      <w:r>
        <w:rPr>
          <w:rFonts w:ascii="Times New Roman" w:hAnsi="Times New Roman"/>
          <w:b/>
          <w:bCs/>
          <w:color w:val="2B2D38"/>
          <w:sz w:val="22"/>
          <w:szCs w:val="22"/>
        </w:rPr>
        <w:t>VULN-08 — Outdated, Unpatched VPN Appliance</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Network / Edge Device</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9.8</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Critical</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High</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Severe — direct path into internal network</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remote-access VPN appliance is running firmware several versions behind current, with known CVEs outstanding, and does not enforce multi-factor authentication for remote logins.</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Verizon's 2025 DBIR found VPN and edge-device vulnerabilities involved in 22% of CVE-attributable breaches — an almost eight-fold increase from the year before — making this the single most consequential network-layer finding.</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Patch or replace the appliance immediately (Critical SLA, 14 days); enforce MFA for all VPN logins per the Week 3 report's Password &amp; Authentication recommendation; restrict administrative access to a dedicated management VLAN.</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12; NIST CSF 2.0 PR.PT</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VULN-03 — Publicly Readable Cloud Storage Bucket</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Cloud Configuration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7.5</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High — bulk customer data exposure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A cloud storage bucket used for order-export files is configured with public read access rather than the intended internal-only access, exposing customer order records to anyone with the bucket URL.</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This mirrors the root cause of the Capital One breach (2019): a cloud misconfiguration, not a sophisticated exploit, was the actual point of failure.</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Immediately restrict the bucket to authenticated, least-privilege access; deploy a cloud security posture management (CSPM) tool to continuously detect public-access misconfigurations going forward.</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3; ISO/IEC 27001:2022 A.8.13 (cross-referenced from Week 3 report)</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VULN-07 — Flat Network — No Segmentation Between Corporate and Warehouse OT</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Network Architecture</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7.2</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High — lateral movement risk</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corporate office network and the warehouse's operational technology (barcode scanners, WMS terminals) share the same flat network with no VLAN segmentation or firewall boundary between them.</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This is the exact architectural gap exploited in the Target breach (2013), where attackers pivoted from a low-value third-party connection into the high-value point-of-sale network because nothing stood in the way.</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Segment the warehouse OT network from corporate IT using VLANs and firewall rules restricting traffic to only what is operationally required; monitor inter-segment traffic for anomalies.</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12; NIST CSF 2.0 PR.AC</w:t>
      </w:r>
    </w:p>
    <w:p>
      <w:pPr>
        <w:pStyle w:val="Heading3"/>
        <w:spacing w:before="160" w:after="100"/>
        <w:rPr>
          <w:rFonts w:ascii="Times New Roman" w:hAnsi="Times New Roman"/>
          <w:b/>
          <w:bCs/>
          <w:color w:val="2B2D38"/>
          <w:sz w:val="22"/>
          <w:szCs w:val="22"/>
        </w:rPr>
      </w:pPr>
      <w:r>
        <w:rPr>
          <w:rFonts w:ascii="Times New Roman" w:hAnsi="Times New Roman"/>
          <w:b/>
          <w:bCs/>
          <w:color w:val="2B2D38"/>
          <w:sz w:val="22"/>
          <w:szCs w:val="22"/>
        </w:rPr>
        <w:t>VULN-01 — Deprecated TLS Protocol Versions Enabled</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Web/Network</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7.4</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High — payment-data interception risk</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checkout subdomain still accepts connections using TLS 1.0 and TLS 1.1, both deprecated protocols with known cryptographic weaknesses, alongside modern TLS versions.</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Deprecated TLS remains a common finding in PCI-DSS assessments and was specifically called out as a required control in the Week 3 Security Policy Review's Data Classification recommendations.</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Disable TLS 1.0/1.1 at the load balancer; enforce TLS 1.3 as the minimum for all customer-facing and payment-adjacent endpoints; re-verify with the companion script after the change.</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20"/>
          <w:szCs w:val="20"/>
        </w:rPr>
        <w:t>PCI-DSS 4.0 Req. 4.2.1; CIS Control 3</w:t>
      </w:r>
    </w:p>
    <w:p>
      <w:pPr>
        <w:pStyle w:val="ListParagraph"/>
        <w:bidi w:val="0"/>
        <w:spacing w:lineRule="auto" w:line="240" w:before="0" w:after="80"/>
        <w:jc w:val="start"/>
        <w:rPr>
          <w:color w:val="2B2D38"/>
          <w:sz w:val="22"/>
          <w:szCs w:val="22"/>
        </w:rPr>
      </w:pPr>
      <w:r>
        <w:rPr>
          <w:rFonts w:ascii="Times New Roman" w:hAnsi="Times New Roman"/>
          <w:sz w:val="26"/>
          <w:szCs w:val="26"/>
          <w:u w:val="single"/>
        </w:rPr>
        <w:t>5.3 Endpoint &amp; IoT</w:t>
      </w:r>
    </w:p>
    <w:p>
      <w:pPr>
        <w:pStyle w:val="Heading3"/>
        <w:spacing w:before="160" w:after="100"/>
        <w:rPr>
          <w:rFonts w:ascii="Times New Roman" w:hAnsi="Times New Roman"/>
          <w:b/>
          <w:bCs/>
          <w:color w:val="2B2D38"/>
          <w:sz w:val="20"/>
          <w:szCs w:val="20"/>
        </w:rPr>
      </w:pPr>
      <w:r>
        <w:rPr>
          <w:rFonts w:ascii="Times New Roman" w:hAnsi="Times New Roman"/>
          <w:b/>
          <w:bCs/>
          <w:color w:val="2B2D38"/>
          <w:sz w:val="20"/>
          <w:szCs w:val="20"/>
        </w:rPr>
        <w:t>VULN-06 — Default Credentials on Warehouse Barcode Scanners &amp; WMS Console</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IoT / Operational Technology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8.1</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High — easy initial foothold</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Warehouse barcode scanners and the WMS administrative console were deployed with vendor-default usernames and passwords that have not been changed since installation.</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Default-credential exploitation is the primary technique behind large-scale IoT botnets and remains one of the most common 'easy win' footholds attackers look for on any network.</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Rotate all default credentials immediately; enforce a unique-credential policy for all OT/IoT devices at deployment; combine with the network segmentation fix in VULN-07.</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5; NIST CSF 2.0 PR.AA</w:t>
      </w:r>
    </w:p>
    <w:p>
      <w:pPr>
        <w:pStyle w:val="Heading3"/>
        <w:spacing w:before="160" w:after="100"/>
        <w:rPr>
          <w:rFonts w:ascii="Times New Roman" w:hAnsi="Times New Roman"/>
          <w:b/>
          <w:bCs/>
          <w:color w:val="2B2D38"/>
          <w:sz w:val="20"/>
          <w:szCs w:val="20"/>
        </w:rPr>
      </w:pPr>
      <w:r>
        <w:rPr>
          <w:rFonts w:ascii="Times New Roman" w:hAnsi="Times New Roman"/>
          <w:b/>
          <w:bCs/>
          <w:color w:val="2B2D38"/>
          <w:sz w:val="20"/>
          <w:szCs w:val="20"/>
        </w:rPr>
        <w:t>VULN-13 — Inconsistent Endpoint Patch Deployment</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Endpoint Management</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7.0</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Moderate-High — broad attack surface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Employee laptops and desktops do not receive OS-level critical security updates automatically; patching currently depends on individual users installing updates manually.</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Unmanaged endpoint patching is a recurring root cause across ransomware case studies industry-wide, where a single unpatched laptop becomes the initial foothold for lateral movement.</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Deploy centralized patch management (e.g., Intune, WSUS) with an enforced critical-patch SLA; report compliance percentage on the same quarterly dashboard used for the Week 4 awareness KPIs.</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7; NIST CSF 2.0 PR.MA</w:t>
      </w:r>
    </w:p>
    <w:p>
      <w:pPr>
        <w:pStyle w:val="Heading2"/>
        <w:spacing w:before="220" w:after="120"/>
        <w:rPr>
          <w:rFonts w:ascii="Times New Roman" w:hAnsi="Times New Roman"/>
          <w:color w:val="2B2D38"/>
          <w:sz w:val="24"/>
          <w:szCs w:val="24"/>
          <w:u w:val="single"/>
        </w:rPr>
      </w:pPr>
      <w:r>
        <w:rPr>
          <w:rFonts w:ascii="Times New Roman" w:hAnsi="Times New Roman"/>
          <w:color w:val="2B2D38"/>
          <w:sz w:val="24"/>
          <w:szCs w:val="24"/>
          <w:u w:val="single"/>
        </w:rPr>
        <w:t>5.4 Third-Party &amp; Process</w:t>
      </w:r>
    </w:p>
    <w:p>
      <w:pPr>
        <w:pStyle w:val="Heading3"/>
        <w:spacing w:before="160" w:after="100"/>
        <w:rPr>
          <w:rFonts w:ascii="Times New Roman" w:hAnsi="Times New Roman"/>
          <w:b/>
          <w:bCs/>
          <w:color w:val="2B2D38"/>
          <w:sz w:val="20"/>
          <w:szCs w:val="20"/>
        </w:rPr>
      </w:pPr>
      <w:r>
        <w:rPr>
          <w:rFonts w:ascii="Times New Roman" w:hAnsi="Times New Roman"/>
          <w:b/>
          <w:bCs/>
          <w:color w:val="2B2D38"/>
          <w:sz w:val="20"/>
          <w:szCs w:val="20"/>
        </w:rPr>
        <w:t>VULN-11 — Outdated Third-Party Payment Gateway Library</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Third-Party / Supply Chain</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8.2</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rPr>
            </w:pPr>
            <w:r>
              <w:rPr>
                <w:rFonts w:ascii="Times New Roman" w:hAnsi="Times New Roman"/>
                <w:b/>
                <w:bCs/>
                <w:color w:val="2B2D38"/>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Medium</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High — payment-flow compromise risk</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The checkout flow embeds a vendor-supplied payment-gateway SDK two major versions behind current, missing several security patches issued by the vendor since Nimbus's integration was last updated.</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Verizon's 2025 DBIR found third-party involvement in breaches doubled year-over-year to 30%, reflecting how often the entry point is a vendor component rather than first-party code.</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Update to the vendor's current supported SDK version; maintain a software bill of materials (SBOM) for all third-party components in the payment flow; require the vendor to notify Nimbus of security advisories per the Week 3 report's vendor-management recommendation.</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16"/>
          <w:szCs w:val="16"/>
        </w:rPr>
        <w:t>CIS Control 15; ISO/IEC 27001:2022 A.5.19</w:t>
      </w:r>
    </w:p>
    <w:p>
      <w:pPr>
        <w:pStyle w:val="Heading3"/>
        <w:spacing w:before="160" w:after="100"/>
        <w:rPr>
          <w:rFonts w:ascii="Times New Roman" w:hAnsi="Times New Roman"/>
          <w:b/>
          <w:bCs/>
          <w:color w:val="2B2D38"/>
          <w:sz w:val="20"/>
          <w:szCs w:val="20"/>
        </w:rPr>
      </w:pPr>
      <w:r>
        <w:rPr>
          <w:rFonts w:ascii="Times New Roman" w:hAnsi="Times New Roman"/>
          <w:b/>
          <w:bCs/>
          <w:color w:val="2B2D38"/>
          <w:sz w:val="20"/>
          <w:szCs w:val="20"/>
        </w:rPr>
        <w:t>VULN-12 — No Formal Vulnerability Scanning Program</w:t>
      </w:r>
    </w:p>
    <w:tbl>
      <w:tblPr>
        <w:tblW w:w="9400" w:type="dxa"/>
        <w:jc w:val="start"/>
        <w:tblInd w:w="0" w:type="dxa"/>
        <w:tblLayout w:type="fixed"/>
        <w:tblCellMar>
          <w:top w:w="58" w:type="dxa"/>
          <w:start w:w="58" w:type="dxa"/>
          <w:bottom w:w="58" w:type="dxa"/>
          <w:end w:w="58" w:type="dxa"/>
        </w:tblCellMar>
      </w:tblPr>
      <w:tblGrid>
        <w:gridCol w:w="2000"/>
        <w:gridCol w:w="1699"/>
        <w:gridCol w:w="1600"/>
        <w:gridCol w:w="1600"/>
        <w:gridCol w:w="2501"/>
      </w:tblGrid>
      <w:tr>
        <w:trPr>
          <w:tblHeader w:val="true"/>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Category</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CVSS v3.1 (est.)</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Severity</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Likelihood</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Business Impact</w:t>
            </w:r>
          </w:p>
        </w:tc>
      </w:tr>
      <w:tr>
        <w:trPr/>
        <w:tc>
          <w:tcPr>
            <w:tcW w:w="20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Governance / Process</w:t>
            </w:r>
          </w:p>
        </w:tc>
        <w:tc>
          <w:tcPr>
            <w:tcW w:w="1699"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N/A (process gap)</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bCs/>
                <w:color w:val="2B2D38"/>
                <w:sz w:val="20"/>
                <w:szCs w:val="20"/>
              </w:rPr>
              <w:t>High</w:t>
            </w:r>
          </w:p>
        </w:tc>
        <w:tc>
          <w:tcPr>
            <w:tcW w:w="1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N/A</w:t>
            </w:r>
          </w:p>
        </w:tc>
        <w:tc>
          <w:tcPr>
            <w:tcW w:w="2501" w:type="dxa"/>
            <w:tcBorders>
              <w:top w:val="single" w:sz="4" w:space="0" w:color="000000"/>
              <w:start w:val="single" w:sz="4" w:space="0" w:color="000000"/>
              <w:bottom w:val="single" w:sz="4" w:space="0" w:color="000000"/>
              <w:end w:val="single" w:sz="4" w:space="0" w:color="000000"/>
            </w:tcBorders>
            <w:vAlign w:val="center"/>
          </w:tcPr>
          <w:p>
            <w:pPr>
              <w:pStyle w:val="Normal"/>
              <w:jc w:val="start"/>
              <w:rPr>
                <w:rFonts w:ascii="Times New Roman" w:hAnsi="Times New Roman"/>
                <w:color w:val="2B2D38"/>
                <w:sz w:val="20"/>
                <w:szCs w:val="20"/>
              </w:rPr>
            </w:pPr>
            <w:r>
              <w:rPr>
                <w:rFonts w:ascii="Times New Roman" w:hAnsi="Times New Roman"/>
                <w:b w:val="false"/>
                <w:bCs w:val="false"/>
                <w:color w:val="2B2D38"/>
                <w:sz w:val="20"/>
                <w:szCs w:val="20"/>
              </w:rPr>
              <w:t>High — root cause of most findings above</w:t>
            </w:r>
          </w:p>
        </w:tc>
      </w:tr>
    </w:tbl>
    <w:p>
      <w:pPr>
        <w:pStyle w:val="Normal"/>
        <w:spacing w:lineRule="auto" w:line="276" w:before="0" w:after="140"/>
        <w:rPr>
          <w:rFonts w:ascii="Times New Roman" w:hAnsi="Times New Roman"/>
          <w:color w:val="2B2D38"/>
          <w:sz w:val="20"/>
          <w:szCs w:val="20"/>
        </w:rPr>
      </w:pPr>
      <w:r>
        <w:rPr>
          <w:rFonts w:ascii="Times New Roman" w:hAnsi="Times New Roman"/>
          <w:color w:val="2B2D38"/>
          <w:sz w:val="20"/>
          <w:szCs w:val="20"/>
        </w:rPr>
        <w:t>Nimbus has no recurring, authenticated vulnerability-scanning cadence; the most recent infrastructure scan (informal, ad hoc) was performed over 12 months ago, meaning most findings in this report were previously unknown to the organization.</w:t>
      </w:r>
    </w:p>
    <w:p>
      <w:pPr>
        <w:pStyle w:val="Normal"/>
        <w:spacing w:before="40" w:after="100"/>
        <w:rPr>
          <w:rFonts w:ascii="Times New Roman" w:hAnsi="Times New Roman"/>
          <w:color w:val="2B2D38"/>
          <w:sz w:val="20"/>
          <w:szCs w:val="20"/>
        </w:rPr>
      </w:pPr>
      <w:r>
        <w:rPr>
          <w:rFonts w:ascii="Times New Roman" w:hAnsi="Times New Roman"/>
          <w:b/>
          <w:bCs/>
          <w:color w:val="2B2D38"/>
          <w:sz w:val="20"/>
          <w:szCs w:val="20"/>
        </w:rPr>
        <w:t xml:space="preserve">Real-world precedent: </w:t>
      </w:r>
      <w:r>
        <w:rPr>
          <w:rFonts w:ascii="Times New Roman" w:hAnsi="Times New Roman"/>
          <w:i/>
          <w:iCs/>
          <w:color w:val="2B2D38"/>
          <w:sz w:val="20"/>
          <w:szCs w:val="20"/>
        </w:rPr>
        <w:t>Every case study referenced in Section 4 involved a vulnerability that was knowable in advance; the common failure was not a lack of available information but a lack of a process to act on it in time.</w:t>
      </w:r>
    </w:p>
    <w:p>
      <w:pPr>
        <w:pStyle w:val="Normal"/>
        <w:spacing w:before="0" w:after="100"/>
        <w:rPr>
          <w:rFonts w:ascii="Times New Roman" w:hAnsi="Times New Roman"/>
          <w:color w:val="2B2D38"/>
          <w:sz w:val="20"/>
          <w:szCs w:val="20"/>
        </w:rPr>
      </w:pPr>
      <w:r>
        <w:rPr>
          <w:rFonts w:ascii="Times New Roman" w:hAnsi="Times New Roman"/>
          <w:b/>
          <w:bCs/>
          <w:color w:val="2B2D38"/>
          <w:sz w:val="20"/>
          <w:szCs w:val="20"/>
        </w:rPr>
        <w:t xml:space="preserve">Recommended mitigation: </w:t>
      </w:r>
      <w:r>
        <w:rPr>
          <w:rFonts w:ascii="Times New Roman" w:hAnsi="Times New Roman"/>
          <w:color w:val="2B2D38"/>
          <w:sz w:val="20"/>
          <w:szCs w:val="20"/>
        </w:rPr>
        <w:t>Establish authenticated vulnerability scans on a quarterly cadence at minimum (monthly for internet-facing assets); tie results to the CVSS-based patch SLAs in Section 2.3; assign clear ownership to the Security Awareness Lead / IT Security team roles defined in the Week 4 report.</w:t>
      </w:r>
    </w:p>
    <w:p>
      <w:pPr>
        <w:pStyle w:val="Normal"/>
        <w:spacing w:before="0" w:after="220"/>
        <w:rPr>
          <w:rFonts w:ascii="Times New Roman" w:hAnsi="Times New Roman"/>
          <w:color w:val="2B2D38"/>
          <w:sz w:val="20"/>
          <w:szCs w:val="20"/>
        </w:rPr>
      </w:pPr>
      <w:r>
        <w:rPr>
          <w:rFonts w:ascii="Times New Roman" w:hAnsi="Times New Roman"/>
          <w:b/>
          <w:bCs/>
          <w:color w:val="2B2D38"/>
          <w:sz w:val="20"/>
          <w:szCs w:val="20"/>
        </w:rPr>
        <w:t xml:space="preserve">Framework mapping: </w:t>
      </w:r>
      <w:r>
        <w:rPr>
          <w:rFonts w:ascii="Times New Roman" w:hAnsi="Times New Roman"/>
          <w:color w:val="2B2D38"/>
          <w:sz w:val="20"/>
          <w:szCs w:val="20"/>
        </w:rPr>
        <w:t>CIS Control 7; NIST CSF 2.0 ID.RA</w:t>
      </w:r>
    </w:p>
    <w:p>
      <w:pPr>
        <w:pStyle w:val="Normal"/>
        <w:bidi w:val="0"/>
        <w:spacing w:lineRule="auto" w:line="240" w:before="0" w:after="0"/>
        <w:jc w:val="start"/>
        <w:rPr>
          <w:rFonts w:ascii="Times New Roman" w:hAnsi="Times New Roman"/>
          <w:sz w:val="28"/>
          <w:szCs w:val="28"/>
        </w:rPr>
      </w:pPr>
      <w:r>
        <w:rPr>
          <w:rFonts w:ascii="Times New Roman" w:hAnsi="Times New Roman"/>
          <w:sz w:val="28"/>
          <w:szCs w:val="28"/>
        </w:rPr>
        <w:t>6. SEVERITY DISTRIBUTION SUMMARY</w:t>
      </w:r>
    </w:p>
    <w:p>
      <w:pPr>
        <w:pStyle w:val="Normal"/>
        <w:bidi w:val="0"/>
        <w:spacing w:lineRule="auto" w:line="240" w:before="0" w:after="0"/>
        <w:jc w:val="start"/>
        <w:rPr>
          <w:rFonts w:ascii="Times New Roman" w:hAnsi="Times New Roman"/>
          <w:sz w:val="28"/>
          <w:szCs w:val="28"/>
        </w:rPr>
      </w:pPr>
      <w:r>
        <w:rPr>
          <w:rFonts w:ascii="Times New Roman" w:hAnsi="Times New Roman"/>
          <w:sz w:val="28"/>
          <w:szCs w:val="28"/>
        </w:rPr>
      </w:r>
    </w:p>
    <w:tbl>
      <w:tblPr>
        <w:tblW w:w="9600" w:type="dxa"/>
        <w:jc w:val="start"/>
        <w:tblInd w:w="0" w:type="dxa"/>
        <w:tblLayout w:type="fixed"/>
        <w:tblCellMar>
          <w:top w:w="58" w:type="dxa"/>
          <w:start w:w="58" w:type="dxa"/>
          <w:bottom w:w="58" w:type="dxa"/>
          <w:end w:w="58" w:type="dxa"/>
        </w:tblCellMar>
      </w:tblPr>
      <w:tblGrid>
        <w:gridCol w:w="3200"/>
        <w:gridCol w:w="3200"/>
        <w:gridCol w:w="3200"/>
      </w:tblGrid>
      <w:tr>
        <w:trPr>
          <w:tblHeader w:val="true"/>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Severity</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Count</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b/>
                <w:bCs/>
                <w:sz w:val="20"/>
                <w:szCs w:val="20"/>
              </w:rPr>
            </w:pPr>
            <w:r>
              <w:rPr>
                <w:rFonts w:ascii="Times New Roman" w:hAnsi="Times New Roman"/>
                <w:b/>
                <w:bCs/>
                <w:sz w:val="20"/>
                <w:szCs w:val="20"/>
              </w:rPr>
              <w:t>Findings</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rPr>
            </w:pPr>
            <w:r>
              <w:rPr>
                <w:rFonts w:ascii="Times New Roman" w:hAnsi="Times New Roman"/>
                <w:b/>
                <w:bCs/>
                <w:sz w:val="20"/>
                <w:szCs w:val="20"/>
              </w:rPr>
              <w:t>Critical</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3</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23%</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High</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7</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54%</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Medium</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2</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15%</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Process / Governance</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1</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val="false"/>
                <w:bCs w:val="false"/>
                <w:sz w:val="20"/>
                <w:szCs w:val="20"/>
              </w:rPr>
              <w:t>8%</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Total</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13</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b/>
                <w:bCs/>
                <w:sz w:val="20"/>
                <w:szCs w:val="20"/>
              </w:rPr>
              <w:t>100%</w:t>
            </w:r>
          </w:p>
        </w:tc>
      </w:tr>
    </w:tbl>
    <w:p>
      <w:pPr>
        <w:pStyle w:val="Normal"/>
        <w:spacing w:lineRule="auto" w:line="276" w:before="0" w:after="140"/>
        <w:rPr>
          <w:rFonts w:ascii="Times New Roman" w:hAnsi="Times New Roman"/>
          <w:i/>
          <w:iCs/>
          <w:color w:val="2B2D38"/>
          <w:sz w:val="18"/>
          <w:szCs w:val="18"/>
        </w:rPr>
      </w:pPr>
      <w:r>
        <w:rPr>
          <w:rFonts w:ascii="Times New Roman" w:hAnsi="Times New Roman"/>
          <w:i/>
          <w:iCs/>
          <w:color w:val="2B2D38"/>
          <w:sz w:val="18"/>
          <w:szCs w:val="18"/>
        </w:rPr>
        <w:t>77% of findings (Critical + High) require action within 30 days under the SLA defined in Section 2.3. This concentration is consistent with an organization, per the Week 3 review, that has never run a formal vulnerability-management program — the first assessment after a long gap typically surfaces a backlog rather than a steady trickle of findings.</w:t>
      </w:r>
    </w:p>
    <w:p>
      <w:pPr>
        <w:pStyle w:val="Normal"/>
        <w:bidi w:val="0"/>
        <w:spacing w:lineRule="auto" w:line="240" w:before="171" w:after="171"/>
        <w:jc w:val="start"/>
        <w:rPr>
          <w:rFonts w:ascii="Times New Roman" w:hAnsi="Times New Roman"/>
        </w:rPr>
      </w:pPr>
      <w:r>
        <w:rPr>
          <w:rFonts w:ascii="Times New Roman" w:hAnsi="Times New Roman"/>
          <w:sz w:val="28"/>
          <w:szCs w:val="28"/>
          <w:u w:val="none"/>
        </w:rPr>
        <w:t>7. OWASP TOP 10 (2021) MAPPING — E-COMMERCE PLATFORM</w:t>
      </w:r>
    </w:p>
    <w:tbl>
      <w:tblPr>
        <w:tblW w:w="9600" w:type="dxa"/>
        <w:jc w:val="start"/>
        <w:tblInd w:w="0" w:type="dxa"/>
        <w:tblLayout w:type="fixed"/>
        <w:tblCellMar>
          <w:top w:w="58" w:type="dxa"/>
          <w:start w:w="58" w:type="dxa"/>
          <w:bottom w:w="58" w:type="dxa"/>
          <w:end w:w="58" w:type="dxa"/>
        </w:tblCellMar>
      </w:tblPr>
      <w:tblGrid>
        <w:gridCol w:w="3799"/>
        <w:gridCol w:w="2601"/>
        <w:gridCol w:w="3200"/>
      </w:tblGrid>
      <w:tr>
        <w:trPr>
          <w:tblHeader w:val="true"/>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OWASP Category</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Status</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b/>
                <w:bCs/>
                <w:sz w:val="20"/>
                <w:szCs w:val="20"/>
              </w:rPr>
            </w:pPr>
            <w:r>
              <w:rPr>
                <w:rFonts w:ascii="Times New Roman" w:hAnsi="Times New Roman"/>
                <w:b/>
                <w:bCs/>
                <w:sz w:val="20"/>
                <w:szCs w:val="20"/>
              </w:rPr>
              <w:t>Related Finding(s)</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A01: Broken Access Control</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Not directly tested this cycle</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Recommended for next assessment</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A02: Cryptographic Failures</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VULN-01 (deprecated TLS)</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A03: Injection</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VULN-04 (SQL injection)</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A04: Insecure Design</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VULN-07 (flat network architecture)</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A05: Security Misconfiguration</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VULN-03, VULN-09</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A06: Vulnerable &amp; Outdated Components</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VULN-02, VULN-08, VULN-11, VULN-13</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A07: Identification &amp; Authentication Failures</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Finding identified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VULN-06, VULN-10</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A08: Software &amp; Data Integrity Failures</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Not directly tested this cycle</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Recommended for next assessment</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A09: Security Logging &amp; Monitoring Failures</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Cross-referenced</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See Week 3 report, Monitoring &amp; Logging domain</w:t>
            </w:r>
          </w:p>
        </w:tc>
      </w:tr>
      <w:tr>
        <w:trPr/>
        <w:tc>
          <w:tcPr>
            <w:tcW w:w="3799"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A10: Server-Side Request Forgery (SSRF)</w:t>
            </w:r>
          </w:p>
        </w:tc>
        <w:tc>
          <w:tcPr>
            <w:tcW w:w="2601"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Not directly tested this cycle</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sz w:val="20"/>
                <w:szCs w:val="20"/>
              </w:rPr>
            </w:pPr>
            <w:r>
              <w:rPr>
                <w:rFonts w:ascii="Times New Roman" w:hAnsi="Times New Roman"/>
                <w:sz w:val="20"/>
                <w:szCs w:val="20"/>
              </w:rPr>
              <w:t>Recommended given Capital One precedent (Section 4)</w:t>
            </w:r>
          </w:p>
        </w:tc>
      </w:tr>
    </w:tbl>
    <w:p>
      <w:pPr>
        <w:pStyle w:val="Normal"/>
        <w:bidi w:val="0"/>
        <w:spacing w:lineRule="auto" w:line="240" w:before="0" w:after="83"/>
        <w:jc w:val="start"/>
        <w:rPr>
          <w:rFonts w:ascii="Times New Roman" w:hAnsi="Times New Roman"/>
        </w:rPr>
      </w:pPr>
      <w:r>
        <w:rPr>
          <w:rFonts w:ascii="Times New Roman" w:hAnsi="Times New Roman"/>
        </w:rPr>
      </w:r>
    </w:p>
    <w:p>
      <w:pPr>
        <w:pStyle w:val="Normal"/>
        <w:bidi w:val="0"/>
        <w:spacing w:lineRule="auto" w:line="240" w:before="0" w:after="83"/>
        <w:jc w:val="start"/>
        <w:rPr>
          <w:rFonts w:ascii="Times New Roman" w:hAnsi="Times New Roman"/>
        </w:rPr>
      </w:pPr>
      <w:r>
        <w:rPr>
          <w:rFonts w:ascii="Times New Roman" w:hAnsi="Times New Roman"/>
        </w:rPr>
      </w:r>
    </w:p>
    <w:p>
      <w:pPr>
        <w:pStyle w:val="Normal"/>
        <w:bidi w:val="0"/>
        <w:spacing w:lineRule="auto" w:line="240" w:before="0" w:after="83"/>
        <w:jc w:val="start"/>
        <w:rPr>
          <w:rFonts w:ascii="Times New Roman" w:hAnsi="Times New Roman"/>
        </w:rPr>
      </w:pPr>
      <w:r>
        <w:rPr>
          <w:rFonts w:ascii="Times New Roman" w:hAnsi="Times New Roman"/>
        </w:rPr>
      </w:r>
    </w:p>
    <w:p>
      <w:pPr>
        <w:pStyle w:val="Normal"/>
        <w:bidi w:val="0"/>
        <w:spacing w:lineRule="auto" w:line="240"/>
        <w:jc w:val="start"/>
        <w:rPr>
          <w:rFonts w:ascii="Times New Roman" w:hAnsi="Times New Roman"/>
        </w:rPr>
      </w:pPr>
      <w:r>
        <w:rPr>
          <w:rFonts w:ascii="Times New Roman" w:hAnsi="Times New Roman"/>
          <w:sz w:val="28"/>
          <w:szCs w:val="28"/>
          <w:u w:val="none"/>
        </w:rPr>
        <w:t>8. REMEDIATION ROADMAP</w:t>
      </w:r>
    </w:p>
    <w:p>
      <w:pPr>
        <w:pStyle w:val="Heading2"/>
        <w:rPr>
          <w:rFonts w:ascii="Times New Roman" w:hAnsi="Times New Roman"/>
          <w:color w:val="000000"/>
          <w:sz w:val="24"/>
          <w:szCs w:val="24"/>
          <w:u w:val="single"/>
        </w:rPr>
      </w:pPr>
      <w:r>
        <w:rPr>
          <w:rFonts w:ascii="Times New Roman" w:hAnsi="Times New Roman"/>
          <w:color w:val="000000"/>
          <w:sz w:val="24"/>
          <w:szCs w:val="24"/>
          <w:u w:val="single"/>
        </w:rPr>
        <w:t>8.1 0–14 Days (Critical)</w:t>
      </w:r>
    </w:p>
    <w:p>
      <w:pPr>
        <w:pStyle w:val="ListParagraph"/>
        <w:numPr>
          <w:ilvl w:val="0"/>
          <w:numId w:val="2"/>
        </w:numPr>
        <w:rPr>
          <w:rFonts w:ascii="Times New Roman" w:hAnsi="Times New Roman"/>
          <w:color w:val="000000"/>
          <w:sz w:val="20"/>
          <w:szCs w:val="20"/>
        </w:rPr>
      </w:pPr>
      <w:r>
        <w:rPr>
          <w:rFonts w:ascii="Times New Roman" w:hAnsi="Times New Roman"/>
          <w:color w:val="000000"/>
          <w:sz w:val="20"/>
          <w:szCs w:val="20"/>
        </w:rPr>
        <w:t>VULN-02 — Patch e-commerce plugin / deploy virtual patch via WAF</w:t>
      </w:r>
    </w:p>
    <w:p>
      <w:pPr>
        <w:pStyle w:val="ListParagraph"/>
        <w:numPr>
          <w:ilvl w:val="0"/>
          <w:numId w:val="2"/>
        </w:numPr>
        <w:rPr>
          <w:rFonts w:ascii="Times New Roman" w:hAnsi="Times New Roman"/>
          <w:color w:val="000000"/>
          <w:sz w:val="20"/>
          <w:szCs w:val="20"/>
        </w:rPr>
      </w:pPr>
      <w:r>
        <w:rPr>
          <w:rFonts w:ascii="Times New Roman" w:hAnsi="Times New Roman"/>
          <w:color w:val="000000"/>
          <w:sz w:val="20"/>
          <w:szCs w:val="20"/>
        </w:rPr>
        <w:t>VULN-04 — Fix SQL injection in legacy search API (parameterize queries)</w:t>
      </w:r>
    </w:p>
    <w:p>
      <w:pPr>
        <w:pStyle w:val="ListParagraph"/>
        <w:numPr>
          <w:ilvl w:val="0"/>
          <w:numId w:val="2"/>
        </w:numPr>
        <w:rPr>
          <w:rFonts w:ascii="Times New Roman" w:hAnsi="Times New Roman"/>
          <w:color w:val="000000"/>
          <w:sz w:val="20"/>
          <w:szCs w:val="20"/>
        </w:rPr>
      </w:pPr>
      <w:r>
        <w:rPr>
          <w:rFonts w:ascii="Times New Roman" w:hAnsi="Times New Roman"/>
          <w:color w:val="000000"/>
          <w:sz w:val="20"/>
          <w:szCs w:val="20"/>
        </w:rPr>
        <w:t>VULN-08 — Patch or replace VPN appliance; enforce MFA on remote access</w:t>
      </w:r>
    </w:p>
    <w:p>
      <w:pPr>
        <w:pStyle w:val="Heading2"/>
        <w:rPr>
          <w:rFonts w:ascii="Times New Roman" w:hAnsi="Times New Roman"/>
          <w:color w:val="000000"/>
          <w:sz w:val="24"/>
          <w:szCs w:val="24"/>
          <w:u w:val="single"/>
        </w:rPr>
      </w:pPr>
      <w:r>
        <w:rPr>
          <w:rFonts w:ascii="Times New Roman" w:hAnsi="Times New Roman"/>
          <w:color w:val="000000"/>
          <w:sz w:val="24"/>
          <w:szCs w:val="24"/>
          <w:u w:val="single"/>
        </w:rPr>
        <w:t>8.2 15–30 Days (High)</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VULN-01 — Disable TLS 1.0/1.1; enforce TLS 1.3</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VULN-03 — Restrict cloud storage bucket to least-privilege access</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VULN-06 — Rotate default credentials on warehouse scanners/WMS console</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VULN-10 — Add rate limiting / CAPTCHA to login and password-reset endpoints</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VULN-11 — Update third-party payment-gateway SDK to current version</w:t>
      </w:r>
    </w:p>
    <w:p>
      <w:pPr>
        <w:pStyle w:val="ListParagraph"/>
        <w:numPr>
          <w:ilvl w:val="0"/>
          <w:numId w:val="3"/>
        </w:numPr>
        <w:rPr>
          <w:rFonts w:ascii="Times New Roman" w:hAnsi="Times New Roman"/>
          <w:color w:val="000000"/>
          <w:sz w:val="20"/>
          <w:szCs w:val="20"/>
        </w:rPr>
      </w:pPr>
      <w:r>
        <w:rPr>
          <w:rFonts w:ascii="Times New Roman" w:hAnsi="Times New Roman"/>
          <w:color w:val="000000"/>
          <w:sz w:val="20"/>
          <w:szCs w:val="20"/>
        </w:rPr>
        <w:t>VULN-13 — Deploy centralized endpoint patch management</w:t>
      </w:r>
    </w:p>
    <w:p>
      <w:pPr>
        <w:pStyle w:val="Heading2"/>
        <w:rPr>
          <w:rFonts w:ascii="Times New Roman" w:hAnsi="Times New Roman"/>
          <w:color w:val="000000"/>
          <w:sz w:val="24"/>
          <w:szCs w:val="24"/>
          <w:u w:val="single"/>
        </w:rPr>
      </w:pPr>
      <w:r>
        <w:rPr>
          <w:rFonts w:ascii="Times New Roman" w:hAnsi="Times New Roman"/>
          <w:color w:val="000000"/>
          <w:sz w:val="24"/>
          <w:szCs w:val="24"/>
          <w:u w:val="single"/>
        </w:rPr>
        <w:t>8.3 30–90 Days (Medium + Architecture)</w:t>
      </w:r>
    </w:p>
    <w:p>
      <w:pPr>
        <w:pStyle w:val="ListParagraph"/>
        <w:numPr>
          <w:ilvl w:val="0"/>
          <w:numId w:val="4"/>
        </w:numPr>
        <w:rPr>
          <w:rFonts w:ascii="Times New Roman" w:hAnsi="Times New Roman"/>
          <w:color w:val="000000"/>
          <w:sz w:val="20"/>
          <w:szCs w:val="20"/>
        </w:rPr>
      </w:pPr>
      <w:r>
        <w:rPr>
          <w:rFonts w:ascii="Times New Roman" w:hAnsi="Times New Roman"/>
          <w:color w:val="000000"/>
          <w:sz w:val="20"/>
          <w:szCs w:val="20"/>
        </w:rPr>
        <w:t>VULN-05 — Deploy WAF in front of checkout/payment endpoints</w:t>
      </w:r>
    </w:p>
    <w:p>
      <w:pPr>
        <w:pStyle w:val="ListParagraph"/>
        <w:numPr>
          <w:ilvl w:val="0"/>
          <w:numId w:val="4"/>
        </w:numPr>
        <w:rPr>
          <w:rFonts w:ascii="Times New Roman" w:hAnsi="Times New Roman"/>
          <w:color w:val="000000"/>
          <w:sz w:val="20"/>
          <w:szCs w:val="20"/>
        </w:rPr>
      </w:pPr>
      <w:r>
        <w:rPr>
          <w:rFonts w:ascii="Times New Roman" w:hAnsi="Times New Roman"/>
          <w:color w:val="000000"/>
          <w:sz w:val="20"/>
          <w:szCs w:val="20"/>
        </w:rPr>
        <w:t>VULN-07 — Segment warehouse OT network from corporate IT via VLANs</w:t>
      </w:r>
    </w:p>
    <w:p>
      <w:pPr>
        <w:pStyle w:val="ListParagraph"/>
        <w:numPr>
          <w:ilvl w:val="0"/>
          <w:numId w:val="4"/>
        </w:numPr>
        <w:rPr>
          <w:rFonts w:ascii="Times New Roman" w:hAnsi="Times New Roman"/>
          <w:color w:val="000000"/>
          <w:sz w:val="20"/>
          <w:szCs w:val="20"/>
        </w:rPr>
      </w:pPr>
      <w:r>
        <w:rPr>
          <w:rFonts w:ascii="Times New Roman" w:hAnsi="Times New Roman"/>
          <w:color w:val="000000"/>
          <w:sz w:val="20"/>
          <w:szCs w:val="20"/>
        </w:rPr>
        <w:t>VULN-09 — Configure missing HTTP security headers</w:t>
      </w:r>
    </w:p>
    <w:p>
      <w:pPr>
        <w:pStyle w:val="Heading2"/>
        <w:rPr>
          <w:rFonts w:ascii="Times New Roman" w:hAnsi="Times New Roman"/>
          <w:color w:val="000000"/>
          <w:sz w:val="24"/>
          <w:szCs w:val="24"/>
          <w:u w:val="single"/>
        </w:rPr>
      </w:pPr>
      <w:r>
        <w:rPr>
          <w:rFonts w:ascii="Times New Roman" w:hAnsi="Times New Roman"/>
          <w:color w:val="000000"/>
          <w:sz w:val="24"/>
          <w:szCs w:val="24"/>
          <w:u w:val="single"/>
        </w:rPr>
        <w:t>8.4 90–180 Days (Program Maturity)</w:t>
      </w:r>
    </w:p>
    <w:p>
      <w:pPr>
        <w:pStyle w:val="ListParagraph"/>
        <w:numPr>
          <w:ilvl w:val="0"/>
          <w:numId w:val="5"/>
        </w:numPr>
        <w:rPr>
          <w:rFonts w:ascii="Times New Roman" w:hAnsi="Times New Roman"/>
          <w:color w:val="000000"/>
          <w:sz w:val="20"/>
          <w:szCs w:val="20"/>
        </w:rPr>
      </w:pPr>
      <w:r>
        <w:rPr>
          <w:rFonts w:ascii="Times New Roman" w:hAnsi="Times New Roman"/>
          <w:color w:val="000000"/>
          <w:sz w:val="20"/>
          <w:szCs w:val="20"/>
        </w:rPr>
        <w:t>VULN-12 — Stand up a recurring, authenticated vulnerability-scanning program with CVSS-based SLAs</w:t>
      </w:r>
    </w:p>
    <w:p>
      <w:pPr>
        <w:pStyle w:val="ListParagraph"/>
        <w:numPr>
          <w:ilvl w:val="0"/>
          <w:numId w:val="5"/>
        </w:numPr>
        <w:rPr>
          <w:rFonts w:ascii="Times New Roman" w:hAnsi="Times New Roman"/>
          <w:color w:val="000000"/>
          <w:sz w:val="20"/>
          <w:szCs w:val="20"/>
        </w:rPr>
      </w:pPr>
      <w:r>
        <w:rPr>
          <w:rFonts w:ascii="Times New Roman" w:hAnsi="Times New Roman"/>
          <w:color w:val="000000"/>
          <w:sz w:val="20"/>
          <w:szCs w:val="20"/>
        </w:rPr>
        <w:t>Run the OWASP categories marked “not directly tested this cycle” (A01, A08, A10) in the next assessment</w:t>
      </w:r>
    </w:p>
    <w:p>
      <w:pPr>
        <w:pStyle w:val="ListParagraph"/>
        <w:numPr>
          <w:ilvl w:val="0"/>
          <w:numId w:val="5"/>
        </w:numPr>
        <w:rPr>
          <w:rFonts w:ascii="Times New Roman" w:hAnsi="Times New Roman"/>
          <w:color w:val="000000"/>
          <w:sz w:val="20"/>
          <w:szCs w:val="20"/>
        </w:rPr>
      </w:pPr>
      <w:r>
        <w:rPr>
          <w:rFonts w:ascii="Times New Roman" w:hAnsi="Times New Roman"/>
          <w:color w:val="000000"/>
          <w:sz w:val="20"/>
          <w:szCs w:val="20"/>
        </w:rPr>
        <w:t>Re-run the companion verification script (Section 2.2) against all remediated findings to confirm closure</w:t>
      </w:r>
    </w:p>
    <w:p>
      <w:pPr>
        <w:pStyle w:val="ListParagraph"/>
        <w:rPr>
          <w:rFonts w:ascii="Times New Roman" w:hAnsi="Times New Roman"/>
          <w:color w:val="000000"/>
          <w:sz w:val="20"/>
          <w:szCs w:val="20"/>
        </w:rPr>
      </w:pPr>
      <w:r>
        <w:rPr>
          <w:rFonts w:ascii="Times New Roman" w:hAnsi="Times New Roman"/>
          <w:color w:val="000000"/>
          <w:sz w:val="20"/>
          <w:szCs w:val="20"/>
        </w:rPr>
      </w:r>
    </w:p>
    <w:p>
      <w:pPr>
        <w:pStyle w:val="Normal"/>
        <w:bidi w:val="0"/>
        <w:spacing w:lineRule="auto" w:line="240"/>
        <w:jc w:val="start"/>
        <w:rPr>
          <w:rFonts w:ascii="Times New Roman" w:hAnsi="Times New Roman"/>
        </w:rPr>
      </w:pPr>
      <w:r>
        <w:rPr>
          <w:rFonts w:ascii="Times New Roman" w:hAnsi="Times New Roman"/>
          <w:sz w:val="28"/>
          <w:szCs w:val="28"/>
        </w:rPr>
        <w:t>9. CONCLUSION</w:t>
      </w:r>
    </w:p>
    <w:p>
      <w:pPr>
        <w:pStyle w:val="Normal"/>
        <w:spacing w:lineRule="auto" w:line="276" w:before="0" w:after="140"/>
        <w:rPr>
          <w:rFonts w:ascii="Times New Roman" w:hAnsi="Times New Roman"/>
          <w:sz w:val="20"/>
          <w:szCs w:val="20"/>
        </w:rPr>
      </w:pPr>
      <w:r>
        <w:rPr>
          <w:rFonts w:ascii="Times New Roman" w:hAnsi="Times New Roman"/>
          <w:sz w:val="20"/>
          <w:szCs w:val="20"/>
        </w:rPr>
        <w:t>This assessment found a concentration of Critical and High findings consistent with an organization running its first formal vulnerability review: an unpatched customer-facing plugin, an injectable legacy API, and an unhardened VPN appliance each mirror the exact root cause of a well-documented, real-world breach (Equifax, MOVEit, and the broader edge-device exploitation trend, respectively). None of these findings require a sophisticated attacker — each has already been exploited at scale elsewhere using publicly available techniques.</w:t>
      </w:r>
    </w:p>
    <w:p>
      <w:pPr>
        <w:pStyle w:val="Normal"/>
        <w:spacing w:lineRule="auto" w:line="276" w:before="0" w:after="140"/>
        <w:rPr>
          <w:rFonts w:ascii="Times New Roman" w:hAnsi="Times New Roman"/>
          <w:sz w:val="20"/>
          <w:szCs w:val="20"/>
        </w:rPr>
      </w:pPr>
      <w:r>
        <w:rPr>
          <w:rFonts w:ascii="Times New Roman" w:hAnsi="Times New Roman"/>
          <w:sz w:val="20"/>
          <w:szCs w:val="20"/>
        </w:rPr>
        <w:t>Combined with the Week 3 Security Policy Review (policy maturity 1.35 → 3.74 target) and the Week 4 Security Awareness Campaign Plan (human-risk reduction), this report completes the technical leg of a three-part security baseline for Nimbus Retail Solutions: policy, people, and infrastructure. The Week 6 Cybersecurity Audit Plan will define how these three programs are verified on an ongoing basis rather than treated as one-time fixes.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pPr/>
    <w:rPr>
      <w:color w:val="2E74B5"/>
      <w:sz w:val="26"/>
      <w:szCs w:val="26"/>
    </w:rPr>
  </w:style>
  <w:style w:type="paragraph" w:styleId="Heading3">
    <w:name w:val="heading 3"/>
    <w:basedOn w:val="Heading"/>
    <w:pPr/>
    <w:rPr>
      <w:color w:val="1F4D78"/>
      <w:sz w:val="24"/>
      <w:szCs w:val="24"/>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Paragraph">
    <w:name w:val="List Paragraph"/>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LibreOffice/26.8.0.3$Linux_X86_64 LibreOffice_project/680$Build-3</Application>
  <AppVersion>15.0000</AppVersion>
  <Pages>8</Pages>
  <Words>3126</Words>
  <Characters>19278</Characters>
  <CharactersWithSpaces>22077</CharactersWithSpaces>
  <Paragraphs>365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2026-08-30T16:43:39Z</dcterms:created>
  <dc:creator/>
  <dc:description/>
  <dc:language>en-US</dc:language>
  <cp:lastModifiedBy/>
  <dcterms:modified xsi:type="dcterms:W3CDTF">2026-09-26T10:58:53Z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