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rFonts w:ascii="Times New Roman" w:hAnsi="Times New Roman"/>
        </w:rPr>
      </w:pPr>
      <w:r>
        <w:rPr>
          <w:rFonts w:ascii="Times New Roman" w:hAnsi="Times New Roman"/>
          <w:b/>
          <w:bCs/>
          <w:sz w:val="32"/>
          <w:szCs w:val="32"/>
        </w:rPr>
        <w:t>CYBERSECURITY AUDIT PLAN</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b/>
          <w:bCs/>
          <w:sz w:val="24"/>
          <w:szCs w:val="24"/>
          <w:u w:val="single"/>
        </w:rPr>
        <w:t xml:space="preserve">Internship Technical Report – Week </w:t>
      </w:r>
      <w:r>
        <w:rPr>
          <w:rFonts w:ascii="Times New Roman" w:hAnsi="Times New Roman"/>
          <w:b/>
          <w:bCs/>
          <w:sz w:val="24"/>
          <w:szCs w:val="24"/>
          <w:u w:val="single"/>
        </w:rPr>
        <w:t>6</w:t>
      </w:r>
    </w:p>
    <w:p>
      <w:pPr>
        <w:pStyle w:val="Normal"/>
        <w:bidi w:val="0"/>
        <w:spacing w:lineRule="auto" w:line="240"/>
        <w:jc w:val="end"/>
        <w:rPr>
          <w:rFonts w:ascii="Times New Roman" w:hAnsi="Times New Roman"/>
        </w:rPr>
      </w:pPr>
      <w:r>
        <w:rPr>
          <w:rFonts w:ascii="Times New Roman" w:hAnsi="Times New Roman"/>
        </w:rPr>
      </w:r>
    </w:p>
    <w:p>
      <w:pPr>
        <w:pStyle w:val="Normal"/>
        <w:bidi w:val="0"/>
        <w:spacing w:lineRule="auto" w:line="240"/>
        <w:jc w:val="end"/>
        <w:rPr>
          <w:rFonts w:ascii="Times New Roman" w:hAnsi="Times New Roman"/>
        </w:rPr>
      </w:pPr>
      <w:r>
        <w:rPr>
          <w:rFonts w:ascii="Times New Roman" w:hAnsi="Times New Roman"/>
          <w:sz w:val="22"/>
          <w:szCs w:val="22"/>
        </w:rPr>
        <w:t>Author: Aditya Sharma</w:t>
      </w:r>
    </w:p>
    <w:p>
      <w:pPr>
        <w:pStyle w:val="Normal"/>
        <w:bidi w:val="0"/>
        <w:spacing w:lineRule="auto" w:line="240"/>
        <w:jc w:val="end"/>
        <w:rPr>
          <w:rFonts w:ascii="Times New Roman" w:hAnsi="Times New Roman"/>
        </w:rPr>
      </w:pPr>
      <w:r>
        <w:rPr>
          <w:rFonts w:ascii="Times New Roman" w:hAnsi="Times New Roman"/>
          <w:sz w:val="22"/>
          <w:szCs w:val="22"/>
        </w:rPr>
        <w:t>Domain: Cyber Security Analyst</w:t>
      </w:r>
    </w:p>
    <w:p>
      <w:pPr>
        <w:pStyle w:val="Normal"/>
        <w:bidi w:val="0"/>
        <w:spacing w:lineRule="auto" w:line="240"/>
        <w:jc w:val="end"/>
        <w:rPr>
          <w:rFonts w:ascii="Times New Roman" w:hAnsi="Times New Roman"/>
        </w:rPr>
      </w:pPr>
      <w:r>
        <w:rPr>
          <w:rFonts w:ascii="Times New Roman" w:hAnsi="Times New Roman"/>
          <w:sz w:val="22"/>
          <w:szCs w:val="22"/>
        </w:rPr>
        <w:t xml:space="preserve">Submission Date: </w:t>
      </w:r>
      <w:r>
        <w:rPr>
          <w:rFonts w:ascii="Times New Roman" w:hAnsi="Times New Roman"/>
          <w:sz w:val="22"/>
          <w:szCs w:val="22"/>
        </w:rPr>
        <w:t>23</w:t>
      </w:r>
      <w:r>
        <w:rPr>
          <w:rFonts w:ascii="Times New Roman" w:hAnsi="Times New Roman"/>
          <w:sz w:val="22"/>
          <w:szCs w:val="22"/>
        </w:rPr>
        <w:t xml:space="preserve"> September 2026</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sz w:val="28"/>
          <w:szCs w:val="28"/>
        </w:rPr>
        <w:t>1. EXECUTIVE SUMMARY</w:t>
      </w:r>
    </w:p>
    <w:p>
      <w:pPr>
        <w:pStyle w:val="Normal"/>
        <w:bidi w:val="0"/>
        <w:spacing w:lineRule="auto" w:line="240"/>
        <w:jc w:val="start"/>
        <w:rPr>
          <w:rFonts w:ascii="Times New Roman" w:hAnsi="Times New Roman"/>
        </w:rPr>
      </w:pPr>
      <w:r>
        <w:rPr>
          <w:rFonts w:ascii="Times New Roman" w:hAnsi="Times New Roman"/>
        </w:rPr>
      </w:r>
    </w:p>
    <w:p>
      <w:pPr>
        <w:pStyle w:val="Normal"/>
        <w:spacing w:lineRule="auto" w:line="276" w:before="0" w:after="140"/>
        <w:rPr>
          <w:rFonts w:ascii="Times New Roman" w:hAnsi="Times New Roman"/>
          <w:sz w:val="20"/>
          <w:szCs w:val="20"/>
        </w:rPr>
      </w:pPr>
      <w:r>
        <w:rPr>
          <w:rFonts w:ascii="Times New Roman" w:hAnsi="Times New Roman"/>
          <w:sz w:val="20"/>
          <w:szCs w:val="20"/>
        </w:rPr>
        <w:t>This plan defines a recurring cybersecurity audit program for Nimbus Retail Solutions. It is the fourth and final deliverable in this internship's security series: the Week 3 Security Policy Review assessed policy maturity (1.35 out of 5.0, with a 3.74 target), the Week 4 Security Awareness Campaign Plan addressed human risk, and the Week 5 Vulnerability Assessment Report identified 13 technical findings across the environment. None of those programs is self-sustaining on its own — policies drift out of date, training effectiveness fades, and newly introduced systems create new vulnerabilities. This audit plan is the governance layer that keeps all three current and verifies, on a fixed cadence, that stated controls are actually operating as described.</w:t>
      </w:r>
    </w:p>
    <w:p>
      <w:pPr>
        <w:pStyle w:val="Normal"/>
        <w:spacing w:lineRule="auto" w:line="276" w:before="0" w:after="140"/>
        <w:rPr>
          <w:rFonts w:ascii="Times New Roman" w:hAnsi="Times New Roman"/>
          <w:sz w:val="20"/>
          <w:szCs w:val="20"/>
        </w:rPr>
      </w:pPr>
      <w:r>
        <w:rPr>
          <w:rFonts w:ascii="Times New Roman" w:hAnsi="Times New Roman"/>
          <w:sz w:val="20"/>
          <w:szCs w:val="20"/>
        </w:rPr>
        <w:t>The plan defines nine audit areas spanning governance, technical infrastructure, and people, each assigned an owner, a review frequency, and a specific procedure. Audits are scheduled across a rolling annual calendar so that no domain goes more than 12 months without review, and the highest-risk domains — vulnerability management and access control — are reviewed quarterly or continuously rather than annually. A lightweight audit-finding lifecycle (identify → rate → assign → remediate → verify) ties every audit back to the same CVSS-based severity and SLA structure introduced in the Week 5 report, so findings from different audits stay comparable over time.</w:t>
      </w:r>
    </w:p>
    <w:p>
      <w:pPr>
        <w:pStyle w:val="Normal"/>
        <w:spacing w:lineRule="auto" w:line="276" w:before="0" w:after="140"/>
        <w:rPr>
          <w:rFonts w:ascii="Times New Roman" w:hAnsi="Times New Roman"/>
          <w:sz w:val="20"/>
          <w:szCs w:val="20"/>
        </w:rPr>
      </w:pPr>
      <w:r>
        <w:rPr>
          <w:rFonts w:ascii="Times New Roman" w:hAnsi="Times New Roman"/>
          <w:sz w:val="20"/>
          <w:szCs w:val="20"/>
        </w:rPr>
        <w:t>The plan is designed to be feasible for an organization of Nimbus's size (~450 employees) with a small IT security function: most procedures rely on tools and roles already recommended in Weeks 3–5 (a SIEM, an MDM/patch-management platform, and the Security Awareness Lead and IT Security Team roles defined in Week 4), rather than assuming new headcount or an external audit firm on retainer, though an annual independent/third-party audit is retained for the highest-stakes domains as described in Section 6.</w:t>
      </w:r>
    </w:p>
    <w:p>
      <w:pPr>
        <w:pStyle w:val="Normal"/>
        <w:bidi w:val="0"/>
        <w:spacing w:lineRule="auto" w:line="240" w:before="0" w:after="0"/>
        <w:jc w:val="start"/>
        <w:rPr>
          <w:rFonts w:ascii="Times New Roman" w:hAnsi="Times New Roman"/>
          <w:sz w:val="28"/>
          <w:szCs w:val="28"/>
        </w:rPr>
      </w:pPr>
      <w:r>
        <w:rPr>
          <w:rFonts w:ascii="Times New Roman" w:hAnsi="Times New Roman"/>
          <w:sz w:val="28"/>
          <w:szCs w:val="28"/>
        </w:rPr>
        <w:t>2. PURPOSE &amp; OBJECTIVES</w:t>
      </w:r>
    </w:p>
    <w:p>
      <w:pPr>
        <w:pStyle w:val="Normal"/>
        <w:spacing w:lineRule="auto" w:line="276" w:before="0" w:after="140"/>
        <w:rPr>
          <w:rFonts w:ascii="Times New Roman" w:hAnsi="Times New Roman"/>
          <w:sz w:val="20"/>
          <w:szCs w:val="20"/>
        </w:rPr>
      </w:pPr>
      <w:r>
        <w:rPr>
          <w:rFonts w:ascii="Times New Roman" w:hAnsi="Times New Roman"/>
          <w:sz w:val="20"/>
          <w:szCs w:val="20"/>
        </w:rPr>
        <w:t>The purpose of this audit plan is to establish a repeatable, evidence-based process for verifying that Nimbus's security controls — policy, technical, and human — remain effective over time, rather than being assessed once and assumed to hold. Specific objectives:</w:t>
      </w:r>
    </w:p>
    <w:p>
      <w:pPr>
        <w:pStyle w:val="ListParagraph"/>
        <w:numPr>
          <w:ilvl w:val="0"/>
          <w:numId w:val="3"/>
        </w:numPr>
        <w:spacing w:lineRule="auto" w:line="276" w:before="0" w:after="80"/>
        <w:rPr>
          <w:rFonts w:ascii="Times New Roman" w:hAnsi="Times New Roman"/>
          <w:sz w:val="20"/>
          <w:szCs w:val="20"/>
        </w:rPr>
      </w:pPr>
      <w:r>
        <w:rPr>
          <w:rFonts w:ascii="Times New Roman" w:hAnsi="Times New Roman"/>
          <w:sz w:val="20"/>
          <w:szCs w:val="20"/>
        </w:rPr>
        <w:t>Detect control drift: policies that are outdated, technical controls that have been quietly disabled or misconfigured, and training that has lost effectiveness.</w:t>
      </w:r>
    </w:p>
    <w:p>
      <w:pPr>
        <w:pStyle w:val="ListParagraph"/>
        <w:numPr>
          <w:ilvl w:val="0"/>
          <w:numId w:val="3"/>
        </w:numPr>
        <w:spacing w:lineRule="auto" w:line="276" w:before="0" w:after="80"/>
        <w:rPr>
          <w:rFonts w:ascii="Times New Roman" w:hAnsi="Times New Roman"/>
          <w:sz w:val="20"/>
          <w:szCs w:val="20"/>
        </w:rPr>
      </w:pPr>
      <w:r>
        <w:rPr>
          <w:rFonts w:ascii="Times New Roman" w:hAnsi="Times New Roman"/>
          <w:sz w:val="20"/>
          <w:szCs w:val="20"/>
        </w:rPr>
        <w:t>Re-verify prior findings: confirm that Week 5 vulnerability findings and Week 3 policy gaps were actually remediated, not just marked closed.</w:t>
      </w:r>
    </w:p>
    <w:p>
      <w:pPr>
        <w:pStyle w:val="ListParagraph"/>
        <w:numPr>
          <w:ilvl w:val="0"/>
          <w:numId w:val="3"/>
        </w:numPr>
        <w:spacing w:lineRule="auto" w:line="276" w:before="0" w:after="80"/>
        <w:rPr>
          <w:rFonts w:ascii="Times New Roman" w:hAnsi="Times New Roman"/>
          <w:sz w:val="20"/>
          <w:szCs w:val="20"/>
        </w:rPr>
      </w:pPr>
      <w:r>
        <w:rPr>
          <w:rFonts w:ascii="Times New Roman" w:hAnsi="Times New Roman"/>
          <w:sz w:val="20"/>
          <w:szCs w:val="20"/>
        </w:rPr>
        <w:t>Surface new risk introduced by change: new vendors, new systems, new integrations, and staff turnover all change the risk picture between assessments.</w:t>
      </w:r>
    </w:p>
    <w:p>
      <w:pPr>
        <w:pStyle w:val="ListParagraph"/>
        <w:numPr>
          <w:ilvl w:val="0"/>
          <w:numId w:val="3"/>
        </w:numPr>
        <w:spacing w:lineRule="auto" w:line="276" w:before="0" w:after="80"/>
        <w:rPr>
          <w:rFonts w:ascii="Times New Roman" w:hAnsi="Times New Roman"/>
          <w:sz w:val="20"/>
          <w:szCs w:val="20"/>
        </w:rPr>
      </w:pPr>
      <w:r>
        <w:rPr>
          <w:rFonts w:ascii="Times New Roman" w:hAnsi="Times New Roman"/>
          <w:sz w:val="20"/>
          <w:szCs w:val="20"/>
        </w:rPr>
        <w:t>Provide auditable evidence for compliance obligations relevant to a retail/e-commerce business handling payment data (PCI-DSS) and customer PII.</w:t>
      </w:r>
    </w:p>
    <w:p>
      <w:pPr>
        <w:pStyle w:val="ListParagraph"/>
        <w:numPr>
          <w:ilvl w:val="0"/>
          <w:numId w:val="3"/>
        </w:numPr>
        <w:spacing w:lineRule="auto" w:line="276" w:before="0" w:after="80"/>
        <w:rPr>
          <w:rFonts w:ascii="Times New Roman" w:hAnsi="Times New Roman"/>
          <w:sz w:val="20"/>
          <w:szCs w:val="20"/>
        </w:rPr>
      </w:pPr>
      <w:r>
        <w:rPr>
          <w:rFonts w:ascii="Times New Roman" w:hAnsi="Times New Roman"/>
          <w:sz w:val="20"/>
          <w:szCs w:val="20"/>
        </w:rPr>
        <w:t>Give leadership a single, recurring view of security posture trend over time, rather than a point-in-time snapshot.</w:t>
      </w:r>
    </w:p>
    <w:p>
      <w:pPr>
        <w:pStyle w:val="ListParagraph"/>
        <w:spacing w:lineRule="auto" w:line="276" w:before="0" w:after="80"/>
        <w:rPr>
          <w:rFonts w:ascii="Times New Roman" w:hAnsi="Times New Roman"/>
          <w:sz w:val="20"/>
          <w:szCs w:val="20"/>
        </w:rPr>
      </w:pPr>
      <w:r>
        <w:rPr>
          <w:rFonts w:ascii="Times New Roman" w:hAnsi="Times New Roman"/>
          <w:sz w:val="20"/>
          <w:szCs w:val="20"/>
        </w:rPr>
      </w:r>
    </w:p>
    <w:p>
      <w:pPr>
        <w:pStyle w:val="ListParagraph"/>
        <w:spacing w:lineRule="auto" w:line="276" w:before="0" w:after="80"/>
        <w:rPr>
          <w:rFonts w:ascii="Times New Roman" w:hAnsi="Times New Roman"/>
          <w:sz w:val="20"/>
          <w:szCs w:val="20"/>
        </w:rPr>
      </w:pPr>
      <w:r>
        <w:rPr>
          <w:rFonts w:ascii="Times New Roman" w:hAnsi="Times New Roman"/>
          <w:sz w:val="20"/>
          <w:szCs w:val="20"/>
        </w:rPr>
      </w:r>
    </w:p>
    <w:p>
      <w:pPr>
        <w:pStyle w:val="ListParagraph"/>
        <w:spacing w:lineRule="auto" w:line="276" w:before="0" w:after="80"/>
        <w:rPr>
          <w:rFonts w:ascii="Times New Roman" w:hAnsi="Times New Roman"/>
          <w:sz w:val="20"/>
          <w:szCs w:val="20"/>
        </w:rPr>
      </w:pPr>
      <w:r>
        <w:rPr>
          <w:rFonts w:ascii="Times New Roman" w:hAnsi="Times New Roman"/>
          <w:sz w:val="20"/>
          <w:szCs w:val="20"/>
        </w:rPr>
      </w:r>
    </w:p>
    <w:p>
      <w:pPr>
        <w:pStyle w:val="ListParagraph"/>
        <w:spacing w:lineRule="auto" w:line="276" w:before="0" w:after="80"/>
        <w:rPr>
          <w:rFonts w:ascii="Times New Roman" w:hAnsi="Times New Roman"/>
          <w:sz w:val="20"/>
          <w:szCs w:val="20"/>
        </w:rPr>
      </w:pPr>
      <w:r>
        <w:rPr>
          <w:rFonts w:ascii="Times New Roman" w:hAnsi="Times New Roman"/>
          <w:sz w:val="20"/>
          <w:szCs w:val="20"/>
        </w:rPr>
      </w:r>
    </w:p>
    <w:p>
      <w:pPr>
        <w:pStyle w:val="Normal"/>
        <w:bidi w:val="0"/>
        <w:spacing w:lineRule="auto" w:line="240"/>
        <w:jc w:val="start"/>
        <w:rPr>
          <w:rFonts w:ascii="Times New Roman" w:hAnsi="Times New Roman"/>
          <w:sz w:val="28"/>
          <w:szCs w:val="28"/>
        </w:rPr>
      </w:pPr>
      <w:r>
        <w:rPr>
          <w:rFonts w:ascii="Times New Roman" w:hAnsi="Times New Roman"/>
          <w:sz w:val="28"/>
          <w:szCs w:val="28"/>
        </w:rPr>
        <w:t>3. AUDIT SCOPE</w:t>
      </w:r>
    </w:p>
    <w:p>
      <w:pPr>
        <w:pStyle w:val="Normal"/>
        <w:bidi w:val="0"/>
        <w:spacing w:lineRule="auto" w:line="240"/>
        <w:jc w:val="start"/>
        <w:rPr>
          <w:rFonts w:ascii="Times New Roman" w:hAnsi="Times New Roman"/>
          <w:sz w:val="24"/>
          <w:szCs w:val="24"/>
          <w:u w:val="single"/>
        </w:rPr>
      </w:pPr>
      <w:r>
        <w:rPr>
          <w:rFonts w:ascii="Times New Roman" w:hAnsi="Times New Roman"/>
          <w:sz w:val="24"/>
          <w:szCs w:val="24"/>
          <w:u w:val="single"/>
        </w:rPr>
        <w:t>3.1 In Scope</w:t>
      </w:r>
    </w:p>
    <w:tbl>
      <w:tblPr>
        <w:tblW w:w="9600" w:type="dxa"/>
        <w:jc w:val="start"/>
        <w:tblInd w:w="0" w:type="dxa"/>
        <w:tblLayout w:type="fixed"/>
        <w:tblCellMar>
          <w:top w:w="58" w:type="dxa"/>
          <w:start w:w="58" w:type="dxa"/>
          <w:bottom w:w="58" w:type="dxa"/>
          <w:end w:w="58" w:type="dxa"/>
        </w:tblCellMar>
      </w:tblPr>
      <w:tblGrid>
        <w:gridCol w:w="6000"/>
        <w:gridCol w:w="3600"/>
      </w:tblGrid>
      <w:tr>
        <w:trPr>
          <w:tblHeader w:val="true"/>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bCs/>
                <w:color w:val="000000"/>
                <w:sz w:val="20"/>
                <w:szCs w:val="20"/>
              </w:rPr>
              <w:t>Domain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bCs/>
                <w:color w:val="000000"/>
                <w:sz w:val="20"/>
                <w:szCs w:val="20"/>
              </w:rPr>
              <w:t>Carried Forward From</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Governance &amp; policy (documented policies, ownership, review cadence)</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Week 3 Security Policy Review</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Security awareness &amp; training effectiveness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Week 4 Security Awareness Campaign Plan</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Technical vulnerability &amp; patch management</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Week 5 Vulnerability Assessment Report</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Access control &amp; identity management</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New — not directly audited in Weeks 3–5</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Network architecture &amp; segmentation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Week 5 (VULN-07 flat network finding)</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Third-party / vendor risk</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Week 5 (VULN-11 payment SDK finding)</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Data protection &amp; classification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Week 3 (Data Classification domain)</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Incident response readiness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New — not directly audited in Weeks 3–5</w:t>
            </w:r>
          </w:p>
        </w:tc>
      </w:tr>
      <w:tr>
        <w:trPr/>
        <w:tc>
          <w:tcPr>
            <w:tcW w:w="6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Backup, recovery &amp; business continuity</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sz w:val="20"/>
                <w:szCs w:val="20"/>
              </w:rPr>
            </w:pPr>
            <w:r>
              <w:rPr>
                <w:rFonts w:ascii="Times New Roman" w:hAnsi="Times New Roman"/>
                <w:b w:val="false"/>
                <w:bCs w:val="false"/>
                <w:sz w:val="20"/>
                <w:szCs w:val="20"/>
              </w:rPr>
              <w:t>New — not directly audited in Weeks 3–5</w:t>
            </w:r>
          </w:p>
        </w:tc>
      </w:tr>
    </w:tbl>
    <w:p>
      <w:pPr>
        <w:pStyle w:val="Normal"/>
        <w:spacing w:lineRule="auto" w:line="276" w:before="0" w:after="0"/>
        <w:rPr>
          <w:rFonts w:ascii="Times New Roman" w:hAnsi="Times New Roman"/>
          <w:b w:val="false"/>
          <w:bCs w:val="false"/>
          <w:sz w:val="20"/>
          <w:szCs w:val="20"/>
        </w:rPr>
      </w:pPr>
      <w:r>
        <w:rPr>
          <w:rFonts w:ascii="Times New Roman" w:hAnsi="Times New Roman"/>
          <w:b w:val="false"/>
          <w:bCs w:val="false"/>
          <w:sz w:val="20"/>
          <w:szCs w:val="20"/>
        </w:rPr>
      </w:r>
    </w:p>
    <w:p>
      <w:pPr>
        <w:pStyle w:val="Normal"/>
        <w:spacing w:lineRule="auto" w:line="276" w:before="0" w:after="140"/>
        <w:rPr>
          <w:rFonts w:ascii="Times New Roman" w:hAnsi="Times New Roman"/>
          <w:b w:val="false"/>
          <w:bCs w:val="false"/>
          <w:sz w:val="24"/>
          <w:szCs w:val="24"/>
          <w:u w:val="single"/>
        </w:rPr>
      </w:pPr>
      <w:r>
        <w:rPr>
          <w:rFonts w:ascii="Times New Roman" w:hAnsi="Times New Roman"/>
          <w:b w:val="false"/>
          <w:bCs w:val="false"/>
          <w:sz w:val="24"/>
          <w:szCs w:val="24"/>
          <w:u w:val="single"/>
        </w:rPr>
        <w:t>3.2 Out of Scope</w:t>
      </w:r>
    </w:p>
    <w:p>
      <w:pPr>
        <w:pStyle w:val="Normal"/>
        <w:spacing w:lineRule="auto" w:line="276" w:before="0" w:after="140"/>
        <w:rPr>
          <w:rFonts w:ascii="Times New Roman" w:hAnsi="Times New Roman"/>
          <w:sz w:val="20"/>
          <w:szCs w:val="20"/>
        </w:rPr>
      </w:pPr>
      <w:r>
        <w:rPr>
          <w:rFonts w:ascii="Times New Roman" w:hAnsi="Times New Roman"/>
          <w:sz w:val="20"/>
          <w:szCs w:val="20"/>
        </w:rPr>
        <w:t>Physical/facility security, HR background-check processes, and legal/contractual review of vendor agreements are acknowledged as adjacent risk areas but are out of scope for this audit plan; they are recommended as a separate compliance workstream, noted in Section 9.</w:t>
      </w:r>
    </w:p>
    <w:p>
      <w:pPr>
        <w:pStyle w:val="Normal"/>
        <w:bidi w:val="0"/>
        <w:spacing w:lineRule="auto" w:line="240"/>
        <w:jc w:val="start"/>
        <w:rPr>
          <w:rFonts w:ascii="Times New Roman" w:hAnsi="Times New Roman"/>
        </w:rPr>
      </w:pPr>
      <w:r>
        <w:rPr>
          <w:rFonts w:ascii="Times New Roman" w:hAnsi="Times New Roman"/>
          <w:sz w:val="28"/>
          <w:szCs w:val="28"/>
        </w:rPr>
        <w:t>4. AUDIT METHODOLOGY</w:t>
      </w:r>
    </w:p>
    <w:p>
      <w:pPr>
        <w:pStyle w:val="Normal"/>
        <w:spacing w:lineRule="auto" w:line="276" w:before="0" w:after="140"/>
        <w:rPr>
          <w:rFonts w:ascii="Times New Roman" w:hAnsi="Times New Roman"/>
          <w:sz w:val="20"/>
          <w:szCs w:val="20"/>
        </w:rPr>
      </w:pPr>
      <w:r>
        <w:rPr>
          <w:rFonts w:ascii="Times New Roman" w:hAnsi="Times New Roman"/>
          <w:sz w:val="20"/>
          <w:szCs w:val="20"/>
        </w:rPr>
        <w:t>Each audit area follows a consistent four-step procedure, so results are comparable across domains and over time:</w:t>
      </w:r>
    </w:p>
    <w:p>
      <w:pPr>
        <w:pStyle w:val="ListParagraph"/>
        <w:numPr>
          <w:ilvl w:val="0"/>
          <w:numId w:val="4"/>
        </w:numPr>
        <w:spacing w:lineRule="auto" w:line="276" w:before="0" w:after="80"/>
        <w:rPr>
          <w:rFonts w:ascii="Times New Roman" w:hAnsi="Times New Roman"/>
          <w:sz w:val="20"/>
          <w:szCs w:val="20"/>
        </w:rPr>
      </w:pPr>
      <w:r>
        <w:rPr>
          <w:rFonts w:ascii="Times New Roman" w:hAnsi="Times New Roman"/>
          <w:sz w:val="20"/>
          <w:szCs w:val="20"/>
        </w:rPr>
        <w:t>Evidence collection — configuration exports, log samples, policy documents, training completion records, or scan results, pulled directly from source systems rather than self-reported.</w:t>
      </w:r>
    </w:p>
    <w:p>
      <w:pPr>
        <w:pStyle w:val="ListParagraph"/>
        <w:numPr>
          <w:ilvl w:val="0"/>
          <w:numId w:val="4"/>
        </w:numPr>
        <w:spacing w:lineRule="auto" w:line="276" w:before="0" w:after="80"/>
        <w:rPr>
          <w:rFonts w:ascii="Times New Roman" w:hAnsi="Times New Roman"/>
          <w:sz w:val="20"/>
          <w:szCs w:val="20"/>
        </w:rPr>
      </w:pPr>
      <w:r>
        <w:rPr>
          <w:rFonts w:ascii="Times New Roman" w:hAnsi="Times New Roman"/>
          <w:sz w:val="20"/>
          <w:szCs w:val="20"/>
        </w:rPr>
        <w:t>Control testing — walkthrough or technical test confirming the control operates as documented (e.g., attempting a login with a disabled account, checking that a patch SLA was actually met, not just recorded as met).</w:t>
      </w:r>
    </w:p>
    <w:p>
      <w:pPr>
        <w:pStyle w:val="ListParagraph"/>
        <w:numPr>
          <w:ilvl w:val="0"/>
          <w:numId w:val="4"/>
        </w:numPr>
        <w:spacing w:lineRule="auto" w:line="276" w:before="0" w:after="80"/>
        <w:rPr>
          <w:rFonts w:ascii="Times New Roman" w:hAnsi="Times New Roman"/>
          <w:sz w:val="20"/>
          <w:szCs w:val="20"/>
        </w:rPr>
      </w:pPr>
      <w:r>
        <w:rPr>
          <w:rFonts w:ascii="Times New Roman" w:hAnsi="Times New Roman"/>
          <w:sz w:val="20"/>
          <w:szCs w:val="20"/>
        </w:rPr>
        <w:t>Finding rating — gaps are rated using the same Critical/High/Medium/Low scale and SLA structure defined in the Week 5 report (Section 2.3 of that report), so audit findings and vulnerability findings share one severity language.</w:t>
      </w:r>
    </w:p>
    <w:p>
      <w:pPr>
        <w:pStyle w:val="ListParagraph"/>
        <w:numPr>
          <w:ilvl w:val="0"/>
          <w:numId w:val="4"/>
        </w:numPr>
        <w:spacing w:lineRule="auto" w:line="276" w:before="0" w:after="80"/>
        <w:rPr>
          <w:rFonts w:ascii="Times New Roman" w:hAnsi="Times New Roman"/>
          <w:sz w:val="20"/>
          <w:szCs w:val="20"/>
        </w:rPr>
      </w:pPr>
      <w:r>
        <w:rPr>
          <w:rFonts w:ascii="Times New Roman" w:hAnsi="Times New Roman"/>
          <w:sz w:val="20"/>
          <w:szCs w:val="20"/>
        </w:rPr>
        <w:t>Reporting &amp; tracking — findings are logged in a central audit-tracking register (owner, target date, status) and reviewed at the next quarterly security review meeting until closed.</w:t>
      </w:r>
    </w:p>
    <w:p>
      <w:pPr>
        <w:pStyle w:val="Normal"/>
        <w:spacing w:lineRule="auto" w:line="276" w:before="0" w:after="140"/>
        <w:rPr>
          <w:rFonts w:ascii="Times New Roman" w:hAnsi="Times New Roman"/>
          <w:sz w:val="20"/>
          <w:szCs w:val="20"/>
        </w:rPr>
      </w:pPr>
      <w:r>
        <w:rPr>
          <w:rFonts w:ascii="Times New Roman" w:hAnsi="Times New Roman"/>
          <w:sz w:val="20"/>
          <w:szCs w:val="20"/>
        </w:rPr>
        <w:t>Audits are a mix of internal (self-assessment by the IT Security Team against a checklist) and, for the highest-stakes domains, independent (performed by a party outside the team responsible for the control, or an external firm) — specified per area in Section 5 and summarized in Section 6.</w:t>
      </w:r>
    </w:p>
    <w:p>
      <w:pPr>
        <w:pStyle w:val="Normal"/>
        <w:spacing w:lineRule="auto" w:line="276" w:before="0" w:after="140"/>
        <w:rPr>
          <w:rFonts w:ascii="Times New Roman" w:hAnsi="Times New Roman"/>
        </w:rPr>
      </w:pPr>
      <w:r>
        <w:rPr>
          <w:rFonts w:ascii="Times New Roman" w:hAnsi="Times New Roman"/>
          <w:sz w:val="28"/>
          <w:szCs w:val="28"/>
        </w:rPr>
        <w:t>5. AUDIT AREAS</w:t>
      </w:r>
    </w:p>
    <w:p>
      <w:pPr>
        <w:pStyle w:val="Normal"/>
        <w:spacing w:lineRule="auto" w:line="276" w:before="0" w:after="140"/>
        <w:rPr>
          <w:rFonts w:ascii="Times New Roman" w:hAnsi="Times New Roman"/>
        </w:rPr>
      </w:pPr>
      <w:r>
        <w:rPr>
          <w:rFonts w:ascii="Times New Roman" w:hAnsi="Times New Roman"/>
          <w:sz w:val="20"/>
          <w:szCs w:val="20"/>
        </w:rPr>
        <w:t>Nine audit areas are defined below, each with an owner, frequency, objective, scope, and procedure.</w:t>
      </w:r>
    </w:p>
    <w:p>
      <w:pPr>
        <w:pStyle w:val="Normal"/>
        <w:bidi w:val="0"/>
        <w:spacing w:lineRule="auto" w:line="240" w:before="0" w:after="83"/>
        <w:jc w:val="start"/>
        <w:rPr>
          <w:rFonts w:ascii="Times New Roman" w:hAnsi="Times New Roman"/>
        </w:rPr>
      </w:pPr>
      <w:r>
        <w:rPr>
          <w:rFonts w:ascii="Times New Roman" w:hAnsi="Times New Roman"/>
          <w:sz w:val="24"/>
          <w:szCs w:val="24"/>
          <w:u w:val="single"/>
        </w:rPr>
        <w:t>5.1 Governance &amp; Policy</w:t>
      </w:r>
    </w:p>
    <w:p>
      <w:pPr>
        <w:pStyle w:val="Heading3"/>
        <w:rPr>
          <w:rFonts w:ascii="Times New Roman" w:hAnsi="Times New Roman"/>
        </w:rPr>
      </w:pPr>
      <w:r>
        <w:rPr>
          <w:rFonts w:ascii="Times New Roman" w:hAnsi="Times New Roman"/>
          <w:b/>
          <w:bCs/>
          <w:color w:val="000000"/>
          <w:sz w:val="22"/>
          <w:szCs w:val="22"/>
        </w:rPr>
        <w:t>AUD-01 — Policy Currency &amp; Ownership Review</w:t>
      </w:r>
    </w:p>
    <w:tbl>
      <w:tblPr>
        <w:tblW w:w="9400" w:type="dxa"/>
        <w:jc w:val="start"/>
        <w:tblInd w:w="0" w:type="dxa"/>
        <w:tblLayout w:type="fixed"/>
        <w:tblCellMar>
          <w:top w:w="58" w:type="dxa"/>
          <w:start w:w="58" w:type="dxa"/>
          <w:bottom w:w="58" w:type="dxa"/>
          <w:end w:w="58" w:type="dxa"/>
        </w:tblCellMar>
      </w:tblPr>
      <w:tblGrid>
        <w:gridCol w:w="2000"/>
        <w:gridCol w:w="2498"/>
        <w:gridCol w:w="4902"/>
      </w:tblGrid>
      <w:tr>
        <w:trPr>
          <w:tblHeader w:val="true"/>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9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Annual</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ISO/IEC 27001:2022 Clause 5.2, 9.2; CIS Control 14</w:t>
            </w:r>
          </w:p>
        </w:tc>
      </w:tr>
    </w:tbl>
    <w:p>
      <w:pPr>
        <w:pStyle w:val="Normal"/>
        <w:spacing w:before="40" w:after="100"/>
        <w:rPr>
          <w:rFonts w:ascii="Times New Roman" w:hAnsi="Times New Roman"/>
          <w:color w:val="000000"/>
        </w:rPr>
      </w:pPr>
      <w:r>
        <w:rPr>
          <w:rFonts w:ascii="Times New Roman" w:hAnsi="Times New Roman"/>
          <w:b/>
          <w:bCs/>
          <w:color w:val="000000"/>
          <w:sz w:val="20"/>
          <w:szCs w:val="20"/>
        </w:rPr>
        <w:t xml:space="preserve">Objective: </w:t>
      </w:r>
      <w:r>
        <w:rPr>
          <w:rFonts w:ascii="Times New Roman" w:hAnsi="Times New Roman"/>
          <w:color w:val="000000"/>
          <w:sz w:val="20"/>
          <w:szCs w:val="20"/>
        </w:rPr>
        <w:t>Confirm every policy identified in the Week 3 Security Policy Review has a named owner, a documented review date, and reflects current practice rather than an outdated baseline.</w:t>
      </w:r>
    </w:p>
    <w:p>
      <w:pPr>
        <w:pStyle w:val="Normal"/>
        <w:spacing w:before="40" w:after="100"/>
        <w:rPr>
          <w:rFonts w:ascii="Times New Roman" w:hAnsi="Times New Roman"/>
          <w:color w:val="000000"/>
          <w:sz w:val="20"/>
          <w:szCs w:val="20"/>
        </w:rPr>
      </w:pPr>
      <w:r>
        <w:rPr>
          <w:rFonts w:ascii="Times New Roman" w:hAnsi="Times New Roman"/>
          <w:color w:val="000000"/>
          <w:sz w:val="20"/>
          <w:szCs w:val="20"/>
        </w:rPr>
      </w:r>
    </w:p>
    <w:p>
      <w:pPr>
        <w:pStyle w:val="Normal"/>
        <w:spacing w:before="0" w:after="60"/>
        <w:rPr>
          <w:rFonts w:ascii="Times New Roman" w:hAnsi="Times New Roman"/>
          <w:sz w:val="20"/>
          <w:szCs w:val="20"/>
        </w:rPr>
      </w:pPr>
      <w:r>
        <w:rPr>
          <w:rFonts w:ascii="Times New Roman" w:hAnsi="Times New Roman"/>
          <w:b/>
          <w:bCs/>
          <w:sz w:val="20"/>
          <w:szCs w:val="20"/>
        </w:rPr>
        <w:t xml:space="preserve">In scope: </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Acceptable Use, Data Classification, Access Control, Incident Response, and Vendor Management policies</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Policy review/approval dates and version history</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Gaps between written policy and observed practice</w:t>
      </w:r>
    </w:p>
    <w:p>
      <w:pPr>
        <w:pStyle w:val="Normal"/>
        <w:spacing w:before="60" w:after="100"/>
        <w:rPr>
          <w:rFonts w:ascii="Times New Roman" w:hAnsi="Times New Roman"/>
          <w:sz w:val="20"/>
          <w:szCs w:val="20"/>
        </w:rPr>
      </w:pPr>
      <w:r>
        <w:rPr>
          <w:rFonts w:ascii="Times New Roman" w:hAnsi="Times New Roman"/>
          <w:b/>
          <w:bCs/>
          <w:sz w:val="20"/>
          <w:szCs w:val="20"/>
        </w:rPr>
        <w:t xml:space="preserve">Audit procedure: </w:t>
      </w:r>
      <w:r>
        <w:rPr>
          <w:rFonts w:ascii="Times New Roman" w:hAnsi="Times New Roman"/>
          <w:sz w:val="20"/>
          <w:szCs w:val="20"/>
        </w:rPr>
        <w:t>Compare each policy's stated review cycle against its actual last-updated date; interview policy owners to confirm the control described is still in effect; re-score policy maturity against the Week 3 rubric to track progress toward the 3.74 target.</w:t>
      </w:r>
    </w:p>
    <w:p>
      <w:pPr>
        <w:pStyle w:val="Normal"/>
        <w:spacing w:before="0" w:after="220"/>
        <w:rPr>
          <w:rFonts w:ascii="Times New Roman" w:hAnsi="Times New Roman"/>
        </w:rPr>
      </w:pPr>
      <w:r>
        <w:rPr>
          <w:rFonts w:ascii="Times New Roman" w:hAnsi="Times New Roman"/>
          <w:b/>
          <w:bCs/>
          <w:i/>
          <w:iCs/>
          <w:color w:val="5C7280"/>
          <w:sz w:val="16"/>
          <w:szCs w:val="16"/>
        </w:rPr>
        <w:t xml:space="preserve">Evidence collected: </w:t>
      </w:r>
      <w:r>
        <w:rPr>
          <w:rFonts w:ascii="Times New Roman" w:hAnsi="Times New Roman"/>
          <w:i/>
          <w:iCs/>
          <w:color w:val="5C7280"/>
          <w:sz w:val="16"/>
          <w:szCs w:val="16"/>
        </w:rPr>
        <w:t>Policy documents with version history, sign-off records, updated maturity scorecard.</w:t>
      </w:r>
    </w:p>
    <w:p>
      <w:pPr>
        <w:pStyle w:val="Heading2"/>
        <w:spacing w:before="220" w:after="120"/>
        <w:rPr>
          <w:rFonts w:ascii="Times New Roman" w:hAnsi="Times New Roman"/>
          <w:color w:val="000000"/>
          <w:sz w:val="24"/>
          <w:szCs w:val="24"/>
          <w:u w:val="single"/>
        </w:rPr>
      </w:pPr>
      <w:r>
        <w:rPr>
          <w:rFonts w:ascii="Times New Roman" w:hAnsi="Times New Roman"/>
          <w:color w:val="000000"/>
          <w:sz w:val="24"/>
          <w:szCs w:val="24"/>
          <w:u w:val="single"/>
        </w:rPr>
        <w:t>5.2 Security Awareness &amp; Training</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AUD-02 — Training Completion &amp; Effectiveness Review</w:t>
      </w:r>
    </w:p>
    <w:tbl>
      <w:tblPr>
        <w:tblW w:w="8800" w:type="dxa"/>
        <w:jc w:val="start"/>
        <w:tblInd w:w="0" w:type="dxa"/>
        <w:tblLayout w:type="fixed"/>
        <w:tblCellMar>
          <w:top w:w="58" w:type="dxa"/>
          <w:start w:w="58" w:type="dxa"/>
          <w:bottom w:w="58" w:type="dxa"/>
          <w:end w:w="58" w:type="dxa"/>
        </w:tblCellMar>
      </w:tblPr>
      <w:tblGrid>
        <w:gridCol w:w="3199"/>
        <w:gridCol w:w="2401"/>
        <w:gridCol w:w="3200"/>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Security Awareness Lead</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Quarterly</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NIST CSF 2.0 PR.AT; CIS Control 14</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Verify the Week 4 awareness campaign is actually reaching staff and reducing risk, not just running.</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5"/>
        </w:numPr>
        <w:spacing w:lineRule="auto" w:line="276" w:before="0" w:after="0"/>
        <w:rPr>
          <w:rFonts w:ascii="Times New Roman" w:hAnsi="Times New Roman"/>
          <w:color w:val="000000"/>
          <w:sz w:val="20"/>
          <w:szCs w:val="20"/>
        </w:rPr>
      </w:pPr>
      <w:r>
        <w:rPr>
          <w:rFonts w:ascii="Times New Roman" w:hAnsi="Times New Roman"/>
          <w:color w:val="000000"/>
          <w:sz w:val="20"/>
          <w:szCs w:val="20"/>
        </w:rPr>
        <w:t>Training completion rates by department</w:t>
      </w:r>
    </w:p>
    <w:p>
      <w:pPr>
        <w:pStyle w:val="ListParagraph"/>
        <w:numPr>
          <w:ilvl w:val="0"/>
          <w:numId w:val="5"/>
        </w:numPr>
        <w:spacing w:lineRule="auto" w:line="276" w:before="0" w:after="0"/>
        <w:rPr>
          <w:rFonts w:ascii="Times New Roman" w:hAnsi="Times New Roman"/>
          <w:color w:val="000000"/>
          <w:sz w:val="20"/>
          <w:szCs w:val="20"/>
        </w:rPr>
      </w:pPr>
      <w:r>
        <w:rPr>
          <w:rFonts w:ascii="Times New Roman" w:hAnsi="Times New Roman"/>
          <w:color w:val="000000"/>
          <w:sz w:val="20"/>
          <w:szCs w:val="20"/>
        </w:rPr>
        <w:t>Phishing-simulation click-through and report rates</w:t>
      </w:r>
    </w:p>
    <w:p>
      <w:pPr>
        <w:pStyle w:val="ListParagraph"/>
        <w:numPr>
          <w:ilvl w:val="0"/>
          <w:numId w:val="5"/>
        </w:numPr>
        <w:spacing w:lineRule="auto" w:line="276" w:before="0" w:after="0"/>
        <w:rPr>
          <w:rFonts w:ascii="Times New Roman" w:hAnsi="Times New Roman"/>
          <w:color w:val="000000"/>
          <w:sz w:val="20"/>
          <w:szCs w:val="20"/>
        </w:rPr>
      </w:pPr>
      <w:r>
        <w:rPr>
          <w:rFonts w:ascii="Times New Roman" w:hAnsi="Times New Roman"/>
          <w:color w:val="000000"/>
          <w:sz w:val="20"/>
          <w:szCs w:val="20"/>
        </w:rPr>
        <w:t>Repeat-offender tracking and escalation</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Pull completion and phishing-simulation metrics from the training platform against the KPIs defined in the Week 4 report; sample interview a small group of staff across departments to check retention, not just click-through.</w:t>
      </w:r>
    </w:p>
    <w:p>
      <w:pPr>
        <w:pStyle w:val="Normal"/>
        <w:spacing w:before="0" w:after="0"/>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Quarterly KPI dashboard, phishing simulation results, sampled interview notes.</w:t>
      </w:r>
    </w:p>
    <w:p>
      <w:pPr>
        <w:pStyle w:val="Heading2"/>
        <w:spacing w:before="106" w:after="6"/>
        <w:rPr>
          <w:rFonts w:ascii="Times New Roman" w:hAnsi="Times New Roman"/>
          <w:color w:val="000000"/>
          <w:sz w:val="24"/>
          <w:szCs w:val="24"/>
          <w:u w:val="single"/>
        </w:rPr>
      </w:pPr>
      <w:r>
        <w:rPr>
          <w:rFonts w:ascii="Times New Roman" w:hAnsi="Times New Roman"/>
          <w:color w:val="000000"/>
          <w:sz w:val="24"/>
          <w:szCs w:val="24"/>
          <w:u w:val="single"/>
        </w:rPr>
        <w:t>5.3 Technical Vulnerability &amp; Patch Management</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AUD-03 — Vulnerability Scan &amp; Remediation Verification</w:t>
      </w:r>
    </w:p>
    <w:tbl>
      <w:tblPr>
        <w:tblW w:w="9144" w:type="dxa"/>
        <w:jc w:val="start"/>
        <w:tblInd w:w="0" w:type="dxa"/>
        <w:tblLayout w:type="fixed"/>
        <w:tblCellMar>
          <w:top w:w="58" w:type="dxa"/>
          <w:start w:w="58" w:type="dxa"/>
          <w:bottom w:w="58" w:type="dxa"/>
          <w:end w:w="58" w:type="dxa"/>
        </w:tblCellMar>
      </w:tblPr>
      <w:tblGrid>
        <w:gridCol w:w="3199"/>
        <w:gridCol w:w="2401"/>
        <w:gridCol w:w="3544"/>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Quarterly</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CIS Control 7; PCI-DSS 4.0 Req. 11.3</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the recurring scanning program recommended in Week 5 (VULN-12) is actually running, and that prior findings (VULN-01 through VULN-13) were remediated within their SLA, not just marked closed.</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6"/>
        </w:numPr>
        <w:spacing w:lineRule="auto" w:line="276" w:before="0" w:after="0"/>
        <w:rPr>
          <w:rFonts w:ascii="Times New Roman" w:hAnsi="Times New Roman"/>
          <w:color w:val="000000"/>
          <w:sz w:val="20"/>
          <w:szCs w:val="20"/>
        </w:rPr>
      </w:pPr>
      <w:r>
        <w:rPr>
          <w:rFonts w:ascii="Times New Roman" w:hAnsi="Times New Roman"/>
          <w:color w:val="000000"/>
          <w:sz w:val="20"/>
          <w:szCs w:val="20"/>
        </w:rPr>
        <w:t>Authenticated vulnerability scans of all internet-facing and internal assets</w:t>
      </w:r>
    </w:p>
    <w:p>
      <w:pPr>
        <w:pStyle w:val="ListParagraph"/>
        <w:numPr>
          <w:ilvl w:val="0"/>
          <w:numId w:val="6"/>
        </w:numPr>
        <w:spacing w:lineRule="auto" w:line="276" w:before="0" w:after="0"/>
        <w:rPr>
          <w:rFonts w:ascii="Times New Roman" w:hAnsi="Times New Roman"/>
          <w:color w:val="000000"/>
          <w:sz w:val="20"/>
          <w:szCs w:val="20"/>
        </w:rPr>
      </w:pPr>
      <w:r>
        <w:rPr>
          <w:rFonts w:ascii="Times New Roman" w:hAnsi="Times New Roman"/>
          <w:color w:val="000000"/>
          <w:sz w:val="20"/>
          <w:szCs w:val="20"/>
        </w:rPr>
        <w:t>Re-verification of the 13 Week 5 findings against the companion verification script</w:t>
      </w:r>
    </w:p>
    <w:p>
      <w:pPr>
        <w:pStyle w:val="ListParagraph"/>
        <w:numPr>
          <w:ilvl w:val="0"/>
          <w:numId w:val="6"/>
        </w:numPr>
        <w:spacing w:lineRule="auto" w:line="276" w:before="0" w:after="0"/>
        <w:rPr>
          <w:rFonts w:ascii="Times New Roman" w:hAnsi="Times New Roman"/>
          <w:color w:val="000000"/>
          <w:sz w:val="20"/>
          <w:szCs w:val="20"/>
        </w:rPr>
      </w:pPr>
      <w:r>
        <w:rPr>
          <w:rFonts w:ascii="Times New Roman" w:hAnsi="Times New Roman"/>
          <w:color w:val="000000"/>
          <w:sz w:val="20"/>
          <w:szCs w:val="20"/>
        </w:rPr>
        <w:t>Patch-compliance percentage from the centralized patch-management platform</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Run the scheduled scan; cross-check each previously Critical/High finding for closure evidence (screenshot, config export, or re-scan result) rather than accepting a status field alone; recalculate mean time-to-remediate and compare against the Verizon DBIR benchmarks cited in Week 5.</w:t>
      </w:r>
    </w:p>
    <w:p>
      <w:pPr>
        <w:pStyle w:val="Normal"/>
        <w:spacing w:before="0" w:after="49"/>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Scan reports, remediation evidence per finding, patch-compliance report.</w:t>
      </w:r>
    </w:p>
    <w:p>
      <w:pPr>
        <w:pStyle w:val="Heading3"/>
        <w:spacing w:before="103" w:after="43"/>
        <w:rPr>
          <w:rFonts w:ascii="Times New Roman" w:hAnsi="Times New Roman"/>
          <w:b/>
          <w:bCs/>
          <w:color w:val="000000"/>
          <w:sz w:val="22"/>
          <w:szCs w:val="22"/>
        </w:rPr>
      </w:pPr>
      <w:r>
        <w:rPr>
          <w:rFonts w:ascii="Times New Roman" w:hAnsi="Times New Roman"/>
          <w:b/>
          <w:bCs/>
          <w:color w:val="000000"/>
          <w:sz w:val="22"/>
          <w:szCs w:val="22"/>
        </w:rPr>
        <w:t>AUD-04 — Endpoint &amp; Configuration Baseline Review</w:t>
      </w:r>
    </w:p>
    <w:tbl>
      <w:tblPr>
        <w:tblW w:w="9056" w:type="dxa"/>
        <w:jc w:val="start"/>
        <w:tblInd w:w="0" w:type="dxa"/>
        <w:tblLayout w:type="fixed"/>
        <w:tblCellMar>
          <w:top w:w="58" w:type="dxa"/>
          <w:start w:w="58" w:type="dxa"/>
          <w:bottom w:w="58" w:type="dxa"/>
          <w:end w:w="58" w:type="dxa"/>
        </w:tblCellMar>
      </w:tblPr>
      <w:tblGrid>
        <w:gridCol w:w="3199"/>
        <w:gridCol w:w="2401"/>
        <w:gridCol w:w="3456"/>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Semi-Annual</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CIS Control 4; PCI-DSS 4.0 Req. 4.2.1</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endpoints and key infrastructure (VPN, load balancer, cloud storage) still match the hardened configuration recommended in Week 5, rather than reverting over time.</w:t>
      </w:r>
    </w:p>
    <w:p>
      <w:pPr>
        <w:pStyle w:val="Normal"/>
        <w:spacing w:before="0" w:after="3"/>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2"/>
        </w:numPr>
        <w:spacing w:lineRule="auto" w:line="276" w:before="0" w:after="0"/>
        <w:rPr>
          <w:rFonts w:ascii="Times New Roman" w:hAnsi="Times New Roman"/>
          <w:color w:val="000000"/>
          <w:sz w:val="20"/>
          <w:szCs w:val="20"/>
        </w:rPr>
      </w:pPr>
      <w:r>
        <w:rPr>
          <w:rFonts w:ascii="Times New Roman" w:hAnsi="Times New Roman"/>
          <w:color w:val="000000"/>
          <w:sz w:val="20"/>
          <w:szCs w:val="20"/>
        </w:rPr>
        <w:t>TLS configuration on customer-facing endpoints</w:t>
      </w:r>
    </w:p>
    <w:p>
      <w:pPr>
        <w:pStyle w:val="ListParagraph"/>
        <w:numPr>
          <w:ilvl w:val="0"/>
          <w:numId w:val="2"/>
        </w:numPr>
        <w:spacing w:lineRule="auto" w:line="276" w:before="0" w:after="0"/>
        <w:rPr>
          <w:rFonts w:ascii="Times New Roman" w:hAnsi="Times New Roman"/>
          <w:color w:val="000000"/>
          <w:sz w:val="20"/>
          <w:szCs w:val="20"/>
        </w:rPr>
      </w:pPr>
      <w:r>
        <w:rPr>
          <w:rFonts w:ascii="Times New Roman" w:hAnsi="Times New Roman"/>
          <w:color w:val="000000"/>
          <w:sz w:val="20"/>
          <w:szCs w:val="20"/>
        </w:rPr>
        <w:t>VPN appliance firmware and MFA enforcement</w:t>
      </w:r>
    </w:p>
    <w:p>
      <w:pPr>
        <w:pStyle w:val="ListParagraph"/>
        <w:numPr>
          <w:ilvl w:val="0"/>
          <w:numId w:val="2"/>
        </w:numPr>
        <w:spacing w:lineRule="auto" w:line="276" w:before="0" w:after="0"/>
        <w:rPr>
          <w:rFonts w:ascii="Times New Roman" w:hAnsi="Times New Roman"/>
          <w:color w:val="000000"/>
          <w:sz w:val="20"/>
          <w:szCs w:val="20"/>
        </w:rPr>
      </w:pPr>
      <w:r>
        <w:rPr>
          <w:rFonts w:ascii="Times New Roman" w:hAnsi="Times New Roman"/>
          <w:color w:val="000000"/>
          <w:sz w:val="20"/>
          <w:szCs w:val="20"/>
        </w:rPr>
        <w:t>Cloud storage bucket access-control settings</w:t>
      </w:r>
    </w:p>
    <w:p>
      <w:pPr>
        <w:pStyle w:val="ListParagraph"/>
        <w:numPr>
          <w:ilvl w:val="0"/>
          <w:numId w:val="2"/>
        </w:numPr>
        <w:spacing w:lineRule="auto" w:line="276" w:before="0" w:after="80"/>
        <w:rPr>
          <w:rFonts w:ascii="Times New Roman" w:hAnsi="Times New Roman"/>
          <w:color w:val="000000"/>
          <w:sz w:val="20"/>
          <w:szCs w:val="20"/>
        </w:rPr>
      </w:pPr>
      <w:r>
        <w:rPr>
          <w:rFonts w:ascii="Times New Roman" w:hAnsi="Times New Roman"/>
          <w:color w:val="000000"/>
          <w:sz w:val="20"/>
          <w:szCs w:val="20"/>
        </w:rPr>
        <w:t>HTTP security headers</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Re-run the companion configuration-check script from the Week 5 report; sample a subset of endpoints for patch level and agent health.</w:t>
      </w:r>
    </w:p>
    <w:p>
      <w:pPr>
        <w:pStyle w:val="Normal"/>
        <w:spacing w:before="0" w:after="106"/>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Configuration scan output, endpoint compliance report.</w:t>
      </w:r>
    </w:p>
    <w:p>
      <w:pPr>
        <w:pStyle w:val="Heading2"/>
        <w:spacing w:before="49" w:after="0"/>
        <w:rPr>
          <w:rFonts w:ascii="Times New Roman" w:hAnsi="Times New Roman"/>
          <w:color w:val="000000"/>
          <w:sz w:val="24"/>
          <w:szCs w:val="24"/>
          <w:u w:val="single"/>
        </w:rPr>
      </w:pPr>
      <w:r>
        <w:rPr>
          <w:rFonts w:ascii="Times New Roman" w:hAnsi="Times New Roman"/>
          <w:color w:val="000000"/>
          <w:sz w:val="24"/>
          <w:szCs w:val="24"/>
          <w:u w:val="single"/>
        </w:rPr>
        <w:t>5.4 Access Control &amp; Identity</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AUD-05 — User Access &amp; Privilege Review</w:t>
      </w:r>
    </w:p>
    <w:tbl>
      <w:tblPr>
        <w:tblW w:w="9056" w:type="dxa"/>
        <w:jc w:val="start"/>
        <w:tblInd w:w="0" w:type="dxa"/>
        <w:tblLayout w:type="fixed"/>
        <w:tblCellMar>
          <w:top w:w="58" w:type="dxa"/>
          <w:start w:w="58" w:type="dxa"/>
          <w:bottom w:w="58" w:type="dxa"/>
          <w:end w:w="58" w:type="dxa"/>
        </w:tblCellMar>
      </w:tblPr>
      <w:tblGrid>
        <w:gridCol w:w="3199"/>
        <w:gridCol w:w="2401"/>
        <w:gridCol w:w="3456"/>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Quarterly</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CIS Control 5, 6; ISO/IEC 27001:2022 A.5.18</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access rights match current job roles and that former employees' and contractors' access has been fully revoked.</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7"/>
        </w:numPr>
        <w:spacing w:lineRule="auto" w:line="276" w:before="0" w:after="0"/>
        <w:rPr>
          <w:rFonts w:ascii="Times New Roman" w:hAnsi="Times New Roman"/>
          <w:color w:val="000000"/>
          <w:sz w:val="20"/>
          <w:szCs w:val="20"/>
        </w:rPr>
      </w:pPr>
      <w:r>
        <w:rPr>
          <w:rFonts w:ascii="Times New Roman" w:hAnsi="Times New Roman"/>
          <w:color w:val="000000"/>
          <w:sz w:val="20"/>
          <w:szCs w:val="20"/>
        </w:rPr>
        <w:t>Active Directory / identity-provider account list vs. current HR roster</w:t>
      </w:r>
    </w:p>
    <w:p>
      <w:pPr>
        <w:pStyle w:val="ListParagraph"/>
        <w:numPr>
          <w:ilvl w:val="0"/>
          <w:numId w:val="7"/>
        </w:numPr>
        <w:spacing w:lineRule="auto" w:line="276" w:before="0" w:after="0"/>
        <w:rPr>
          <w:rFonts w:ascii="Times New Roman" w:hAnsi="Times New Roman"/>
          <w:color w:val="000000"/>
          <w:sz w:val="20"/>
          <w:szCs w:val="20"/>
        </w:rPr>
      </w:pPr>
      <w:r>
        <w:rPr>
          <w:rFonts w:ascii="Times New Roman" w:hAnsi="Times New Roman"/>
          <w:color w:val="000000"/>
          <w:sz w:val="20"/>
          <w:szCs w:val="20"/>
        </w:rPr>
        <w:t>Administrative and privileged account inventory</w:t>
      </w:r>
    </w:p>
    <w:p>
      <w:pPr>
        <w:pStyle w:val="ListParagraph"/>
        <w:numPr>
          <w:ilvl w:val="0"/>
          <w:numId w:val="7"/>
        </w:numPr>
        <w:spacing w:lineRule="auto" w:line="276" w:before="0" w:after="0"/>
        <w:rPr>
          <w:rFonts w:ascii="Times New Roman" w:hAnsi="Times New Roman"/>
          <w:color w:val="000000"/>
          <w:sz w:val="20"/>
          <w:szCs w:val="20"/>
        </w:rPr>
      </w:pPr>
      <w:r>
        <w:rPr>
          <w:rFonts w:ascii="Times New Roman" w:hAnsi="Times New Roman"/>
          <w:color w:val="000000"/>
          <w:sz w:val="20"/>
          <w:szCs w:val="20"/>
        </w:rPr>
        <w:t>MFA enrollment status for all remote-access and admin accounts</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Reconcile the full account list against the HR-confirmed active-employee roster; flag any account not tied to a current employee or approved service; confirm MFA enrollment against the Week 3 report's authentication recommendation.</w:t>
      </w:r>
    </w:p>
    <w:p>
      <w:pPr>
        <w:pStyle w:val="Normal"/>
        <w:spacing w:before="0" w:after="106"/>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Access review sign-off sheet, orphaned-account remediation log, MFA enrollment report.</w:t>
      </w:r>
    </w:p>
    <w:p>
      <w:pPr>
        <w:pStyle w:val="Heading2"/>
        <w:spacing w:before="106" w:after="6"/>
        <w:rPr>
          <w:rFonts w:ascii="Times New Roman" w:hAnsi="Times New Roman"/>
          <w:color w:val="000000"/>
          <w:sz w:val="24"/>
          <w:szCs w:val="24"/>
          <w:u w:val="single"/>
        </w:rPr>
      </w:pPr>
      <w:r>
        <w:rPr>
          <w:rFonts w:ascii="Times New Roman" w:hAnsi="Times New Roman"/>
          <w:color w:val="000000"/>
          <w:sz w:val="24"/>
          <w:szCs w:val="24"/>
          <w:u w:val="single"/>
        </w:rPr>
        <w:t>5.5 Network Architecture</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AUD-06 — Network Segmentation Verification</w:t>
      </w:r>
    </w:p>
    <w:tbl>
      <w:tblPr>
        <w:tblW w:w="9056" w:type="dxa"/>
        <w:jc w:val="start"/>
        <w:tblInd w:w="0" w:type="dxa"/>
        <w:tblLayout w:type="fixed"/>
        <w:tblCellMar>
          <w:top w:w="58" w:type="dxa"/>
          <w:start w:w="58" w:type="dxa"/>
          <w:bottom w:w="58" w:type="dxa"/>
          <w:end w:w="58" w:type="dxa"/>
        </w:tblCellMar>
      </w:tblPr>
      <w:tblGrid>
        <w:gridCol w:w="3199"/>
        <w:gridCol w:w="2401"/>
        <w:gridCol w:w="3456"/>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Annual</w:t>
            </w:r>
          </w:p>
        </w:tc>
        <w:tc>
          <w:tcPr>
            <w:tcW w:w="3456"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CIS Control 12; NIST CSF 2.0 PR.AC</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the corporate/warehouse network segmentation recommended in Week 5 (VULN-07) has been implemented and continues to restrict traffic as intended.</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8"/>
        </w:numPr>
        <w:spacing w:lineRule="auto" w:line="276" w:before="0" w:after="0"/>
        <w:rPr>
          <w:rFonts w:ascii="Times New Roman" w:hAnsi="Times New Roman"/>
          <w:color w:val="000000"/>
          <w:sz w:val="20"/>
          <w:szCs w:val="20"/>
        </w:rPr>
      </w:pPr>
      <w:r>
        <w:rPr>
          <w:rFonts w:ascii="Times New Roman" w:hAnsi="Times New Roman"/>
          <w:color w:val="000000"/>
          <w:sz w:val="20"/>
          <w:szCs w:val="20"/>
        </w:rPr>
        <w:t>VLAN configuration between corporate IT and warehouse OT</w:t>
      </w:r>
    </w:p>
    <w:p>
      <w:pPr>
        <w:pStyle w:val="ListParagraph"/>
        <w:numPr>
          <w:ilvl w:val="0"/>
          <w:numId w:val="8"/>
        </w:numPr>
        <w:spacing w:lineRule="auto" w:line="276" w:before="0" w:after="0"/>
        <w:rPr>
          <w:rFonts w:ascii="Times New Roman" w:hAnsi="Times New Roman"/>
          <w:color w:val="000000"/>
          <w:sz w:val="20"/>
          <w:szCs w:val="20"/>
        </w:rPr>
      </w:pPr>
      <w:r>
        <w:rPr>
          <w:rFonts w:ascii="Times New Roman" w:hAnsi="Times New Roman"/>
          <w:color w:val="000000"/>
          <w:sz w:val="20"/>
          <w:szCs w:val="20"/>
        </w:rPr>
        <w:t>Firewall rules governing inter-segment traffic</w:t>
      </w:r>
    </w:p>
    <w:p>
      <w:pPr>
        <w:pStyle w:val="ListParagraph"/>
        <w:numPr>
          <w:ilvl w:val="0"/>
          <w:numId w:val="8"/>
        </w:numPr>
        <w:spacing w:lineRule="auto" w:line="276" w:before="0" w:after="0"/>
        <w:rPr>
          <w:rFonts w:ascii="Times New Roman" w:hAnsi="Times New Roman"/>
          <w:color w:val="000000"/>
          <w:sz w:val="20"/>
          <w:szCs w:val="20"/>
        </w:rPr>
      </w:pPr>
      <w:r>
        <w:rPr>
          <w:rFonts w:ascii="Times New Roman" w:hAnsi="Times New Roman"/>
          <w:color w:val="000000"/>
          <w:sz w:val="20"/>
          <w:szCs w:val="20"/>
        </w:rPr>
        <w:t>Any new systems added to the network since the last review</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Review firewall rule sets and VLAN configs against the intended architecture; attempt a controlled connectivity test between segments to confirm restrictions hold in practice, not just on paper.</w:t>
      </w:r>
    </w:p>
    <w:p>
      <w:pPr>
        <w:pStyle w:val="Normal"/>
        <w:spacing w:before="0" w:after="106"/>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Network diagrams, firewall rule export, segmentation test results.</w:t>
      </w:r>
    </w:p>
    <w:p>
      <w:pPr>
        <w:pStyle w:val="Heading2"/>
        <w:spacing w:before="106" w:after="6"/>
        <w:rPr>
          <w:rFonts w:ascii="Times New Roman" w:hAnsi="Times New Roman"/>
          <w:color w:val="000000"/>
          <w:sz w:val="24"/>
          <w:szCs w:val="24"/>
          <w:u w:val="single"/>
        </w:rPr>
      </w:pPr>
      <w:r>
        <w:rPr>
          <w:rFonts w:ascii="Times New Roman" w:hAnsi="Times New Roman"/>
          <w:color w:val="000000"/>
          <w:sz w:val="24"/>
          <w:szCs w:val="24"/>
          <w:u w:val="single"/>
        </w:rPr>
        <w:t>5.6 Third-Party &amp; Vendor Risk</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AUD-07 — Vendor &amp; Supply-Chain Security Review</w:t>
      </w:r>
    </w:p>
    <w:tbl>
      <w:tblPr>
        <w:tblW w:w="8800" w:type="dxa"/>
        <w:jc w:val="start"/>
        <w:tblInd w:w="0" w:type="dxa"/>
        <w:tblLayout w:type="fixed"/>
        <w:tblCellMar>
          <w:top w:w="58" w:type="dxa"/>
          <w:start w:w="58" w:type="dxa"/>
          <w:bottom w:w="58" w:type="dxa"/>
          <w:end w:w="58" w:type="dxa"/>
        </w:tblCellMar>
      </w:tblPr>
      <w:tblGrid>
        <w:gridCol w:w="3199"/>
        <w:gridCol w:w="2401"/>
        <w:gridCol w:w="3200"/>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Annual</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CIS Control 15; ISO/IEC 27001:2022 A.5.19</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third-party components (e.g., the payment-gateway SDK flagged in Week 5, VULN-11) and vendor access remain current and that vendors meet Nimbus's security expectations.</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9"/>
        </w:numPr>
        <w:spacing w:lineRule="auto" w:line="276" w:before="0" w:after="0"/>
        <w:rPr>
          <w:rFonts w:ascii="Times New Roman" w:hAnsi="Times New Roman"/>
          <w:color w:val="000000"/>
          <w:sz w:val="20"/>
          <w:szCs w:val="20"/>
        </w:rPr>
      </w:pPr>
      <w:r>
        <w:rPr>
          <w:rFonts w:ascii="Times New Roman" w:hAnsi="Times New Roman"/>
          <w:color w:val="000000"/>
          <w:sz w:val="20"/>
          <w:szCs w:val="20"/>
        </w:rPr>
        <w:t>Software bill of materials (SBOM) for the checkout flow</w:t>
      </w:r>
    </w:p>
    <w:p>
      <w:pPr>
        <w:pStyle w:val="ListParagraph"/>
        <w:numPr>
          <w:ilvl w:val="0"/>
          <w:numId w:val="9"/>
        </w:numPr>
        <w:spacing w:lineRule="auto" w:line="276" w:before="0" w:after="0"/>
        <w:rPr>
          <w:rFonts w:ascii="Times New Roman" w:hAnsi="Times New Roman"/>
          <w:color w:val="000000"/>
          <w:sz w:val="20"/>
          <w:szCs w:val="20"/>
        </w:rPr>
      </w:pPr>
      <w:r>
        <w:rPr>
          <w:rFonts w:ascii="Times New Roman" w:hAnsi="Times New Roman"/>
          <w:color w:val="000000"/>
          <w:sz w:val="20"/>
          <w:szCs w:val="20"/>
        </w:rPr>
        <w:t>Vendor security questionnaires / attestations on file</w:t>
      </w:r>
    </w:p>
    <w:p>
      <w:pPr>
        <w:pStyle w:val="ListParagraph"/>
        <w:numPr>
          <w:ilvl w:val="0"/>
          <w:numId w:val="9"/>
        </w:numPr>
        <w:spacing w:lineRule="auto" w:line="276" w:before="0" w:after="0"/>
        <w:rPr>
          <w:rFonts w:ascii="Times New Roman" w:hAnsi="Times New Roman"/>
          <w:color w:val="000000"/>
          <w:sz w:val="20"/>
          <w:szCs w:val="20"/>
        </w:rPr>
      </w:pPr>
      <w:r>
        <w:rPr>
          <w:rFonts w:ascii="Times New Roman" w:hAnsi="Times New Roman"/>
          <w:color w:val="000000"/>
          <w:sz w:val="20"/>
          <w:szCs w:val="20"/>
        </w:rPr>
        <w:t>Third-party remote-access accounts and their scope</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Compare SBOM component versions against vendor-published current releases; confirm each active vendor has a signed security attestation on file; review third-party account access against least-privilege expectations.</w:t>
      </w:r>
    </w:p>
    <w:p>
      <w:pPr>
        <w:pStyle w:val="Normal"/>
        <w:spacing w:before="0" w:after="49"/>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SBOM report, vendor attestation log, third-party access review.</w:t>
      </w:r>
    </w:p>
    <w:p>
      <w:pPr>
        <w:pStyle w:val="Heading2"/>
        <w:spacing w:before="49" w:after="0"/>
        <w:rPr>
          <w:rFonts w:ascii="Times New Roman" w:hAnsi="Times New Roman"/>
          <w:color w:val="000000"/>
          <w:sz w:val="24"/>
          <w:szCs w:val="24"/>
          <w:u w:val="single"/>
        </w:rPr>
      </w:pPr>
      <w:r>
        <w:rPr>
          <w:rFonts w:ascii="Times New Roman" w:hAnsi="Times New Roman"/>
          <w:color w:val="000000"/>
          <w:sz w:val="24"/>
          <w:szCs w:val="24"/>
          <w:u w:val="single"/>
        </w:rPr>
        <w:t>5.7 Data Protection</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AUD-08 — Data Classification &amp; Handling Review</w:t>
      </w:r>
    </w:p>
    <w:tbl>
      <w:tblPr>
        <w:tblW w:w="8800" w:type="dxa"/>
        <w:jc w:val="start"/>
        <w:tblInd w:w="0" w:type="dxa"/>
        <w:tblLayout w:type="fixed"/>
        <w:tblCellMar>
          <w:top w:w="58" w:type="dxa"/>
          <w:start w:w="58" w:type="dxa"/>
          <w:bottom w:w="58" w:type="dxa"/>
          <w:end w:w="58" w:type="dxa"/>
        </w:tblCellMar>
      </w:tblPr>
      <w:tblGrid>
        <w:gridCol w:w="3199"/>
        <w:gridCol w:w="2401"/>
        <w:gridCol w:w="3200"/>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Annual</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PCI-DSS 4.0 Req. 3; ISO/IEC 27001:2022 A.8.10</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customer PII and payment data are stored, transmitted, and retained in line with the Week 3 Data Classification policy.</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10"/>
        </w:numPr>
        <w:spacing w:lineRule="auto" w:line="276" w:before="0" w:after="0"/>
        <w:rPr>
          <w:rFonts w:ascii="Times New Roman" w:hAnsi="Times New Roman"/>
          <w:color w:val="000000"/>
          <w:sz w:val="20"/>
          <w:szCs w:val="20"/>
        </w:rPr>
      </w:pPr>
      <w:r>
        <w:rPr>
          <w:rFonts w:ascii="Times New Roman" w:hAnsi="Times New Roman"/>
          <w:color w:val="000000"/>
          <w:sz w:val="20"/>
          <w:szCs w:val="20"/>
        </w:rPr>
        <w:t>Cloud storage and database access controls for classified data</w:t>
      </w:r>
    </w:p>
    <w:p>
      <w:pPr>
        <w:pStyle w:val="ListParagraph"/>
        <w:numPr>
          <w:ilvl w:val="0"/>
          <w:numId w:val="10"/>
        </w:numPr>
        <w:spacing w:lineRule="auto" w:line="276" w:before="0" w:after="0"/>
        <w:rPr>
          <w:rFonts w:ascii="Times New Roman" w:hAnsi="Times New Roman"/>
          <w:color w:val="000000"/>
          <w:sz w:val="20"/>
          <w:szCs w:val="20"/>
        </w:rPr>
      </w:pPr>
      <w:r>
        <w:rPr>
          <w:rFonts w:ascii="Times New Roman" w:hAnsi="Times New Roman"/>
          <w:color w:val="000000"/>
          <w:sz w:val="20"/>
          <w:szCs w:val="20"/>
        </w:rPr>
        <w:t>Data retention settings against policy-defined retention periods</w:t>
      </w:r>
    </w:p>
    <w:p>
      <w:pPr>
        <w:pStyle w:val="ListParagraph"/>
        <w:numPr>
          <w:ilvl w:val="0"/>
          <w:numId w:val="10"/>
        </w:numPr>
        <w:spacing w:lineRule="auto" w:line="276" w:before="0" w:after="0"/>
        <w:rPr>
          <w:rFonts w:ascii="Times New Roman" w:hAnsi="Times New Roman"/>
          <w:color w:val="000000"/>
          <w:sz w:val="20"/>
          <w:szCs w:val="20"/>
        </w:rPr>
      </w:pPr>
      <w:r>
        <w:rPr>
          <w:rFonts w:ascii="Times New Roman" w:hAnsi="Times New Roman"/>
          <w:color w:val="000000"/>
          <w:sz w:val="20"/>
          <w:szCs w:val="20"/>
        </w:rPr>
        <w:t>Encryption status of data at rest and in transit</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Sample a set of data stores against the classification policy; confirm encryption and access-control settings; check retention settings against the documented schedule and flag any data held beyond policy.</w:t>
      </w:r>
    </w:p>
    <w:p>
      <w:pPr>
        <w:pStyle w:val="Normal"/>
        <w:spacing w:before="0" w:after="49"/>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Data inventory sample, encryption/retention configuration evidence.</w:t>
      </w:r>
    </w:p>
    <w:p>
      <w:pPr>
        <w:pStyle w:val="Heading2"/>
        <w:spacing w:before="49" w:after="0"/>
        <w:rPr>
          <w:rFonts w:ascii="Times New Roman" w:hAnsi="Times New Roman"/>
          <w:color w:val="000000"/>
          <w:sz w:val="24"/>
          <w:szCs w:val="24"/>
          <w:u w:val="single"/>
        </w:rPr>
      </w:pPr>
      <w:r>
        <w:rPr>
          <w:rFonts w:ascii="Times New Roman" w:hAnsi="Times New Roman"/>
          <w:color w:val="000000"/>
          <w:sz w:val="24"/>
          <w:szCs w:val="24"/>
          <w:u w:val="single"/>
        </w:rPr>
        <w:t>5.8 Incident Response Readiness</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AUD-09 — Incident Response Tabletop Exercise</w:t>
      </w:r>
    </w:p>
    <w:tbl>
      <w:tblPr>
        <w:tblW w:w="8800" w:type="dxa"/>
        <w:jc w:val="start"/>
        <w:tblInd w:w="0" w:type="dxa"/>
        <w:tblLayout w:type="fixed"/>
        <w:tblCellMar>
          <w:top w:w="58" w:type="dxa"/>
          <w:start w:w="58" w:type="dxa"/>
          <w:bottom w:w="58" w:type="dxa"/>
          <w:end w:w="58" w:type="dxa"/>
        </w:tblCellMar>
      </w:tblPr>
      <w:tblGrid>
        <w:gridCol w:w="3199"/>
        <w:gridCol w:w="2401"/>
        <w:gridCol w:w="3200"/>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 + Leadership</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Annual</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NIST CSF 2.0 RS; CIS Control 17</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the incident response plan referenced in the Week 3 policy review actually works under a realistic scenario, and that roles are understood before a real incident forces the question.</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11"/>
        </w:numPr>
        <w:spacing w:lineRule="auto" w:line="276" w:before="0" w:after="0"/>
        <w:rPr>
          <w:rFonts w:ascii="Times New Roman" w:hAnsi="Times New Roman"/>
          <w:color w:val="000000"/>
          <w:sz w:val="20"/>
          <w:szCs w:val="20"/>
        </w:rPr>
      </w:pPr>
      <w:r>
        <w:rPr>
          <w:rFonts w:ascii="Times New Roman" w:hAnsi="Times New Roman"/>
          <w:color w:val="000000"/>
          <w:sz w:val="20"/>
          <w:szCs w:val="20"/>
        </w:rPr>
        <w:t>Incident response plan and escalation contact list currency</w:t>
      </w:r>
    </w:p>
    <w:p>
      <w:pPr>
        <w:pStyle w:val="ListParagraph"/>
        <w:numPr>
          <w:ilvl w:val="0"/>
          <w:numId w:val="11"/>
        </w:numPr>
        <w:spacing w:lineRule="auto" w:line="276" w:before="0" w:after="0"/>
        <w:rPr>
          <w:rFonts w:ascii="Times New Roman" w:hAnsi="Times New Roman"/>
          <w:color w:val="000000"/>
          <w:sz w:val="20"/>
          <w:szCs w:val="20"/>
        </w:rPr>
      </w:pPr>
      <w:r>
        <w:rPr>
          <w:rFonts w:ascii="Times New Roman" w:hAnsi="Times New Roman"/>
          <w:color w:val="000000"/>
          <w:sz w:val="20"/>
          <w:szCs w:val="20"/>
        </w:rPr>
        <w:t>Roles and responsibilities across IT, leadership, and communications</w:t>
      </w:r>
    </w:p>
    <w:p>
      <w:pPr>
        <w:pStyle w:val="ListParagraph"/>
        <w:numPr>
          <w:ilvl w:val="0"/>
          <w:numId w:val="11"/>
        </w:numPr>
        <w:spacing w:lineRule="auto" w:line="276" w:before="0" w:after="0"/>
        <w:rPr>
          <w:rFonts w:ascii="Times New Roman" w:hAnsi="Times New Roman"/>
          <w:color w:val="000000"/>
          <w:sz w:val="20"/>
          <w:szCs w:val="20"/>
        </w:rPr>
      </w:pPr>
      <w:r>
        <w:rPr>
          <w:rFonts w:ascii="Times New Roman" w:hAnsi="Times New Roman"/>
          <w:color w:val="000000"/>
          <w:sz w:val="20"/>
          <w:szCs w:val="20"/>
        </w:rPr>
        <w:t>A simulated scenario (e.g., a ransomware event or the VULN-08 VPN compromise scenario from Week 5)</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Run a facilitated tabletop exercise using a realistic scenario drawn from the Week 5 findings; document decision points, gaps in the plan, and time-to-decision; update the plan based on lessons learned.</w:t>
      </w:r>
    </w:p>
    <w:p>
      <w:pPr>
        <w:pStyle w:val="Normal"/>
        <w:spacing w:before="0" w:after="49"/>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16"/>
          <w:szCs w:val="16"/>
        </w:rPr>
        <w:t>Tabletop exercise notes, updated incident response plan, after-action report.</w:t>
      </w:r>
    </w:p>
    <w:p>
      <w:pPr>
        <w:pStyle w:val="Heading2"/>
        <w:spacing w:before="49" w:after="0"/>
        <w:rPr>
          <w:rFonts w:ascii="Times New Roman" w:hAnsi="Times New Roman"/>
          <w:color w:val="000000"/>
          <w:sz w:val="24"/>
          <w:szCs w:val="24"/>
          <w:u w:val="single"/>
        </w:rPr>
      </w:pPr>
      <w:r>
        <w:rPr>
          <w:rFonts w:ascii="Times New Roman" w:hAnsi="Times New Roman"/>
          <w:color w:val="000000"/>
          <w:sz w:val="24"/>
          <w:szCs w:val="24"/>
          <w:u w:val="single"/>
        </w:rPr>
        <w:t>5.9 Backup, Recovery &amp; Continuity</w:t>
      </w:r>
    </w:p>
    <w:p>
      <w:pPr>
        <w:pStyle w:val="Heading3"/>
        <w:spacing w:before="160" w:after="100"/>
        <w:rPr>
          <w:rFonts w:ascii="Times New Roman" w:hAnsi="Times New Roman"/>
          <w:b/>
          <w:bCs/>
          <w:color w:val="000000"/>
          <w:sz w:val="22"/>
          <w:szCs w:val="22"/>
        </w:rPr>
      </w:pPr>
      <w:r>
        <w:rPr>
          <w:rFonts w:ascii="Times New Roman" w:hAnsi="Times New Roman"/>
          <w:b/>
          <w:bCs/>
          <w:color w:val="000000"/>
          <w:sz w:val="22"/>
          <w:szCs w:val="22"/>
        </w:rPr>
        <w:t>AUD-10 — Backup Integrity &amp; Restore Test</w:t>
      </w:r>
    </w:p>
    <w:tbl>
      <w:tblPr>
        <w:tblW w:w="8800" w:type="dxa"/>
        <w:jc w:val="start"/>
        <w:tblInd w:w="0" w:type="dxa"/>
        <w:tblLayout w:type="fixed"/>
        <w:tblCellMar>
          <w:top w:w="58" w:type="dxa"/>
          <w:start w:w="58" w:type="dxa"/>
          <w:bottom w:w="58" w:type="dxa"/>
          <w:end w:w="58" w:type="dxa"/>
        </w:tblCellMar>
      </w:tblPr>
      <w:tblGrid>
        <w:gridCol w:w="3199"/>
        <w:gridCol w:w="2401"/>
        <w:gridCol w:w="3200"/>
      </w:tblGrid>
      <w:tr>
        <w:trPr>
          <w:tblHeader w:val="true"/>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Owner</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Framework Reference</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Semi-Annual</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CIS Control 11; NIST CSF 2.0 RC</w:t>
            </w:r>
          </w:p>
        </w:tc>
      </w:tr>
    </w:tbl>
    <w:p>
      <w:pPr>
        <w:pStyle w:val="Normal"/>
        <w:spacing w:before="40" w:after="100"/>
        <w:rPr>
          <w:rFonts w:ascii="Times New Roman" w:hAnsi="Times New Roman"/>
          <w:color w:val="000000"/>
          <w:sz w:val="20"/>
          <w:szCs w:val="20"/>
        </w:rPr>
      </w:pPr>
      <w:r>
        <w:rPr>
          <w:rFonts w:ascii="Times New Roman" w:hAnsi="Times New Roman"/>
          <w:b/>
          <w:bCs/>
          <w:color w:val="000000"/>
          <w:sz w:val="20"/>
          <w:szCs w:val="20"/>
        </w:rPr>
        <w:t xml:space="preserve">Objective: </w:t>
      </w:r>
      <w:r>
        <w:rPr>
          <w:rFonts w:ascii="Times New Roman" w:hAnsi="Times New Roman"/>
          <w:color w:val="000000"/>
          <w:sz w:val="20"/>
          <w:szCs w:val="20"/>
        </w:rPr>
        <w:t>Confirm backups of critical systems (order database, WMS, e-commerce platform) exist, are protected from the same threats as production, and can actually be restored.</w:t>
      </w:r>
    </w:p>
    <w:p>
      <w:pPr>
        <w:pStyle w:val="Normal"/>
        <w:spacing w:before="0" w:after="60"/>
        <w:rPr>
          <w:rFonts w:ascii="Times New Roman" w:hAnsi="Times New Roman"/>
          <w:color w:val="000000"/>
          <w:sz w:val="20"/>
          <w:szCs w:val="20"/>
        </w:rPr>
      </w:pPr>
      <w:r>
        <w:rPr>
          <w:rFonts w:ascii="Times New Roman" w:hAnsi="Times New Roman"/>
          <w:b/>
          <w:bCs/>
          <w:color w:val="000000"/>
          <w:sz w:val="20"/>
          <w:szCs w:val="20"/>
        </w:rPr>
        <w:t xml:space="preserve">In scope: </w:t>
      </w:r>
    </w:p>
    <w:p>
      <w:pPr>
        <w:pStyle w:val="ListParagraph"/>
        <w:numPr>
          <w:ilvl w:val="0"/>
          <w:numId w:val="12"/>
        </w:numPr>
        <w:spacing w:lineRule="auto" w:line="276" w:before="0" w:after="0"/>
        <w:rPr>
          <w:rFonts w:ascii="Times New Roman" w:hAnsi="Times New Roman"/>
          <w:color w:val="000000"/>
          <w:sz w:val="20"/>
          <w:szCs w:val="20"/>
        </w:rPr>
      </w:pPr>
      <w:r>
        <w:rPr>
          <w:rFonts w:ascii="Times New Roman" w:hAnsi="Times New Roman"/>
          <w:color w:val="000000"/>
          <w:sz w:val="20"/>
          <w:szCs w:val="20"/>
        </w:rPr>
        <w:t>Backup schedule and retention for critical systems</w:t>
      </w:r>
    </w:p>
    <w:p>
      <w:pPr>
        <w:pStyle w:val="ListParagraph"/>
        <w:numPr>
          <w:ilvl w:val="0"/>
          <w:numId w:val="12"/>
        </w:numPr>
        <w:spacing w:lineRule="auto" w:line="276" w:before="0" w:after="0"/>
        <w:rPr>
          <w:rFonts w:ascii="Times New Roman" w:hAnsi="Times New Roman"/>
          <w:color w:val="000000"/>
          <w:sz w:val="20"/>
          <w:szCs w:val="20"/>
        </w:rPr>
      </w:pPr>
      <w:r>
        <w:rPr>
          <w:rFonts w:ascii="Times New Roman" w:hAnsi="Times New Roman"/>
          <w:color w:val="000000"/>
          <w:sz w:val="20"/>
          <w:szCs w:val="20"/>
        </w:rPr>
        <w:t>Backup isolation from production credentials (ransomware resilience)</w:t>
      </w:r>
    </w:p>
    <w:p>
      <w:pPr>
        <w:pStyle w:val="ListParagraph"/>
        <w:numPr>
          <w:ilvl w:val="0"/>
          <w:numId w:val="12"/>
        </w:numPr>
        <w:spacing w:lineRule="auto" w:line="276" w:before="0" w:after="0"/>
        <w:rPr>
          <w:rFonts w:ascii="Times New Roman" w:hAnsi="Times New Roman"/>
          <w:color w:val="000000"/>
          <w:sz w:val="20"/>
          <w:szCs w:val="20"/>
        </w:rPr>
      </w:pPr>
      <w:r>
        <w:rPr>
          <w:rFonts w:ascii="Times New Roman" w:hAnsi="Times New Roman"/>
          <w:color w:val="000000"/>
          <w:sz w:val="20"/>
          <w:szCs w:val="20"/>
        </w:rPr>
        <w:t>A live restore test of at least one critical system</w:t>
      </w:r>
    </w:p>
    <w:p>
      <w:pPr>
        <w:pStyle w:val="Normal"/>
        <w:spacing w:before="60" w:after="100"/>
        <w:rPr>
          <w:rFonts w:ascii="Times New Roman" w:hAnsi="Times New Roman"/>
          <w:color w:val="000000"/>
          <w:sz w:val="20"/>
          <w:szCs w:val="20"/>
        </w:rPr>
      </w:pPr>
      <w:r>
        <w:rPr>
          <w:rFonts w:ascii="Times New Roman" w:hAnsi="Times New Roman"/>
          <w:b/>
          <w:bCs/>
          <w:color w:val="000000"/>
          <w:sz w:val="20"/>
          <w:szCs w:val="20"/>
        </w:rPr>
        <w:t xml:space="preserve">Audit procedure: </w:t>
      </w:r>
      <w:r>
        <w:rPr>
          <w:rFonts w:ascii="Times New Roman" w:hAnsi="Times New Roman"/>
          <w:color w:val="000000"/>
          <w:sz w:val="20"/>
          <w:szCs w:val="20"/>
        </w:rPr>
        <w:t>Verify backup job success logs for the review period; confirm backups are not reachable using standard production credentials; perform a restore test to a non-production environment and measure recovery time against any documented RTO/RPO targets.</w:t>
      </w:r>
    </w:p>
    <w:p>
      <w:pPr>
        <w:pStyle w:val="Normal"/>
        <w:spacing w:before="0" w:after="220"/>
        <w:rPr>
          <w:rFonts w:ascii="Times New Roman" w:hAnsi="Times New Roman"/>
          <w:color w:val="000000"/>
          <w:sz w:val="20"/>
          <w:szCs w:val="20"/>
        </w:rPr>
      </w:pPr>
      <w:r>
        <w:rPr>
          <w:rFonts w:ascii="Times New Roman" w:hAnsi="Times New Roman"/>
          <w:b/>
          <w:bCs/>
          <w:color w:val="000000"/>
          <w:sz w:val="20"/>
          <w:szCs w:val="20"/>
        </w:rPr>
        <w:t xml:space="preserve">Evidence collected: </w:t>
      </w:r>
      <w:r>
        <w:rPr>
          <w:rFonts w:ascii="Times New Roman" w:hAnsi="Times New Roman"/>
          <w:color w:val="000000"/>
          <w:sz w:val="20"/>
          <w:szCs w:val="20"/>
        </w:rPr>
        <w:t>Backup job logs, restore test results, recovery time measurement.</w:t>
      </w:r>
    </w:p>
    <w:p>
      <w:pPr>
        <w:pStyle w:val="Normal"/>
        <w:bidi w:val="0"/>
        <w:spacing w:lineRule="auto" w:line="240" w:before="0" w:after="0"/>
        <w:jc w:val="start"/>
        <w:rPr>
          <w:rFonts w:ascii="Times New Roman" w:hAnsi="Times New Roman"/>
          <w:sz w:val="28"/>
          <w:szCs w:val="28"/>
        </w:rPr>
      </w:pPr>
      <w:r>
        <w:rPr>
          <w:rFonts w:ascii="Times New Roman" w:hAnsi="Times New Roman"/>
          <w:sz w:val="28"/>
          <w:szCs w:val="28"/>
        </w:rPr>
        <w:t>6. AUDIT SCHEDULE</w:t>
      </w:r>
    </w:p>
    <w:p>
      <w:pPr>
        <w:pStyle w:val="Normal"/>
        <w:spacing w:lineRule="auto" w:line="276" w:before="0" w:after="140"/>
        <w:rPr>
          <w:rFonts w:ascii="Times New Roman" w:hAnsi="Times New Roman"/>
          <w:sz w:val="20"/>
          <w:szCs w:val="20"/>
        </w:rPr>
      </w:pPr>
      <w:r>
        <w:rPr>
          <w:rFonts w:ascii="Times New Roman" w:hAnsi="Times New Roman"/>
          <w:sz w:val="20"/>
          <w:szCs w:val="20"/>
        </w:rPr>
        <w:t>Audit frequency is risk-weighted: domains tied to Critical/High findings in Week 5, or that change frequently (access, patching), are reviewed more often than stable governance domains. The rolling annual calendar below assumes an audit cycle starting in Q1; adjust month numbers to the organization's actual fiscal calendar.</w:t>
      </w:r>
    </w:p>
    <w:tbl>
      <w:tblPr>
        <w:tblW w:w="9056" w:type="dxa"/>
        <w:jc w:val="start"/>
        <w:tblInd w:w="0" w:type="dxa"/>
        <w:tblLayout w:type="fixed"/>
        <w:tblCellMar>
          <w:top w:w="58" w:type="dxa"/>
          <w:start w:w="58" w:type="dxa"/>
          <w:bottom w:w="58" w:type="dxa"/>
          <w:end w:w="58" w:type="dxa"/>
        </w:tblCellMar>
      </w:tblPr>
      <w:tblGrid>
        <w:gridCol w:w="3928"/>
        <w:gridCol w:w="1712"/>
        <w:gridCol w:w="984"/>
        <w:gridCol w:w="816"/>
        <w:gridCol w:w="808"/>
        <w:gridCol w:w="808"/>
      </w:tblGrid>
      <w:tr>
        <w:trPr>
          <w:tblHeader w:val="true"/>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Audit Area</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Frequency</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bCs/>
                <w:color w:val="000000"/>
                <w:sz w:val="20"/>
                <w:szCs w:val="20"/>
              </w:rPr>
              <w:t>Q1</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bCs/>
                <w:color w:val="000000"/>
                <w:sz w:val="20"/>
                <w:szCs w:val="20"/>
              </w:rPr>
              <w:t>Q2</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bCs/>
                <w:color w:val="000000"/>
                <w:sz w:val="20"/>
                <w:szCs w:val="20"/>
              </w:rPr>
              <w:t>Q3</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bCs/>
                <w:color w:val="000000"/>
                <w:sz w:val="20"/>
                <w:szCs w:val="20"/>
              </w:rPr>
              <w:t>Q4</w:t>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AUD-01 Policy Currency &amp; Ownership</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AUD-02 Training Completion &amp; Effectiveness</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Quarterly</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AUD-03 Vulnerability Scan &amp; Remediation</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Quarterly</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AUD-04 Endpoint &amp; Configuration Baseline</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Semi-Annual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AUD-05 User Access &amp; Privilege Review</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Quarterly</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AUD-06 Network Segmentation Verification</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AUD-07 Vendor &amp; Supply-Chain Review</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AUD-08 Data Classification &amp; Handling</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AUD-09 Incident Response Tabletop</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r>
      <w:tr>
        <w:trPr/>
        <w:tc>
          <w:tcPr>
            <w:tcW w:w="3928"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AUD-10 Backup Integrity &amp; Restore Test</w:t>
            </w:r>
          </w:p>
        </w:tc>
        <w:tc>
          <w:tcPr>
            <w:tcW w:w="171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Semi-Annual</w:t>
            </w:r>
          </w:p>
        </w:tc>
        <w:tc>
          <w:tcPr>
            <w:tcW w:w="9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color w:val="000000"/>
                <w:sz w:val="20"/>
                <w:szCs w:val="20"/>
              </w:rPr>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sz w:val="20"/>
                <w:szCs w:val="20"/>
              </w:rPr>
            </w:pPr>
            <w:r>
              <w:rPr>
                <w:rFonts w:ascii="Times New Roman" w:hAnsi="Times New Roman"/>
                <w:b w:val="false"/>
                <w:bCs w:val="false"/>
                <w:color w:val="000000"/>
                <w:sz w:val="20"/>
                <w:szCs w:val="20"/>
              </w:rPr>
              <w:t>●</w:t>
            </w:r>
          </w:p>
        </w:tc>
      </w:tr>
    </w:tbl>
    <w:p>
      <w:pPr>
        <w:pStyle w:val="Normal"/>
        <w:spacing w:lineRule="auto" w:line="276" w:before="0" w:after="140"/>
        <w:rPr>
          <w:rFonts w:ascii="Times New Roman" w:hAnsi="Times New Roman"/>
        </w:rPr>
      </w:pPr>
      <w:r>
        <w:rPr>
          <w:rFonts w:ascii="Times New Roman" w:hAnsi="Times New Roman"/>
          <w:i/>
          <w:iCs/>
          <w:color w:val="2B2D38"/>
          <w:sz w:val="18"/>
          <w:szCs w:val="18"/>
        </w:rPr>
        <w:t>An independent, external audit — covering PCI-DSS compliance scope and a re-test of the Week 5 Critical findings — is recommended annually in Q4, once internal audits AUD-01 through AUD-10 have completed a full cycle, so external findings can be compared against the internal program's own results.</w:t>
      </w:r>
    </w:p>
    <w:p>
      <w:pPr>
        <w:pStyle w:val="Normal"/>
        <w:bidi w:val="0"/>
        <w:spacing w:lineRule="auto" w:line="240" w:before="171" w:after="171"/>
        <w:jc w:val="start"/>
        <w:rPr>
          <w:rFonts w:ascii="Times New Roman" w:hAnsi="Times New Roman"/>
          <w:sz w:val="28"/>
          <w:szCs w:val="28"/>
          <w:u w:val="none"/>
        </w:rPr>
      </w:pPr>
      <w:r>
        <w:rPr>
          <w:rFonts w:ascii="Times New Roman" w:hAnsi="Times New Roman"/>
          <w:sz w:val="28"/>
          <w:szCs w:val="28"/>
          <w:u w:val="none"/>
        </w:rPr>
        <w:t>7. ROLES &amp; RESPONSIBILITIES</w:t>
      </w:r>
    </w:p>
    <w:tbl>
      <w:tblPr>
        <w:tblW w:w="9600" w:type="dxa"/>
        <w:jc w:val="start"/>
        <w:tblInd w:w="0" w:type="dxa"/>
        <w:tblLayout w:type="fixed"/>
        <w:tblCellMar>
          <w:top w:w="58" w:type="dxa"/>
          <w:start w:w="58" w:type="dxa"/>
          <w:bottom w:w="58" w:type="dxa"/>
          <w:end w:w="58" w:type="dxa"/>
        </w:tblCellMar>
      </w:tblPr>
      <w:tblGrid>
        <w:gridCol w:w="3400"/>
        <w:gridCol w:w="6200"/>
      </w:tblGrid>
      <w:tr>
        <w:trPr>
          <w:tblHeader w:val="true"/>
        </w:trPr>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Role</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bCs/>
                <w:color w:val="000000"/>
                <w:sz w:val="20"/>
                <w:szCs w:val="20"/>
              </w:rPr>
              <w:t>Audit Responsibilities</w:t>
            </w:r>
          </w:p>
        </w:tc>
      </w:tr>
      <w:tr>
        <w:trPr/>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IT Security Team (defined in Week 4 report)</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Owns and executes AUD-01, AUD-03 through AUD-08, AUD-10; maintains the central audit-tracking register; escalates overdue findings.</w:t>
            </w:r>
          </w:p>
        </w:tc>
      </w:tr>
      <w:tr>
        <w:trPr/>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Security Awareness Lead (defined in Week 4 report)</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Owns AUD-02; reports quarterly training KPIs alongside audit results.</w:t>
            </w:r>
          </w:p>
        </w:tc>
      </w:tr>
      <w:tr>
        <w:trPr/>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Department Managers</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Confirm access-review accuracy for their team (AUD-05); participate in the incident response tabletop (AUD-09).</w:t>
            </w:r>
          </w:p>
        </w:tc>
      </w:tr>
      <w:tr>
        <w:trPr/>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Leadership / Executive Sponsor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Reviews audit register quarterly; approves budget for findings requiring investment; participates in AUD-09 tabletop.</w:t>
            </w:r>
          </w:p>
        </w:tc>
      </w:tr>
      <w:tr>
        <w:trPr/>
        <w:tc>
          <w:tcPr>
            <w:tcW w:w="3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External Auditor (annual, Q4)</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olor w:val="000000"/>
                <w:sz w:val="20"/>
                <w:szCs w:val="20"/>
              </w:rPr>
            </w:pPr>
            <w:r>
              <w:rPr>
                <w:rFonts w:ascii="Times New Roman" w:hAnsi="Times New Roman"/>
                <w:b w:val="false"/>
                <w:bCs w:val="false"/>
                <w:color w:val="000000"/>
                <w:sz w:val="20"/>
                <w:szCs w:val="20"/>
              </w:rPr>
              <w:t>Performs independent PCI-DSS scope audit and re-tests prior Critical findings; reports directly to leadership.</w:t>
            </w:r>
          </w:p>
        </w:tc>
      </w:tr>
    </w:tbl>
    <w:p>
      <w:pPr>
        <w:pStyle w:val="Normal"/>
        <w:bidi w:val="0"/>
        <w:spacing w:lineRule="auto" w:line="240"/>
        <w:jc w:val="start"/>
        <w:rPr>
          <w:rFonts w:ascii="Times New Roman" w:hAnsi="Times New Roman"/>
        </w:rPr>
      </w:pPr>
      <w:r>
        <w:rPr>
          <w:rFonts w:ascii="Times New Roman" w:hAnsi="Times New Roman"/>
          <w:sz w:val="28"/>
          <w:szCs w:val="28"/>
          <w:u w:val="none"/>
        </w:rPr>
        <w:br/>
      </w:r>
      <w:r>
        <w:rPr>
          <w:rFonts w:ascii="Times New Roman" w:hAnsi="Times New Roman"/>
          <w:sz w:val="28"/>
          <w:szCs w:val="28"/>
          <w:u w:val="none"/>
        </w:rPr>
        <w:t>8</w:t>
      </w:r>
      <w:r>
        <w:rPr>
          <w:rFonts w:ascii="Times New Roman" w:hAnsi="Times New Roman"/>
          <w:sz w:val="28"/>
          <w:szCs w:val="28"/>
          <w:u w:val="none"/>
        </w:rPr>
        <w:t>. FINDING LIFECYCLE &amp; REPORTING</w:t>
      </w:r>
    </w:p>
    <w:p>
      <w:pPr>
        <w:pStyle w:val="Normal"/>
        <w:spacing w:lineRule="auto" w:line="276" w:before="0" w:after="140"/>
        <w:rPr>
          <w:rFonts w:ascii="Times New Roman" w:hAnsi="Times New Roman"/>
          <w:sz w:val="20"/>
          <w:szCs w:val="20"/>
        </w:rPr>
      </w:pPr>
      <w:r>
        <w:rPr>
          <w:rFonts w:ascii="Times New Roman" w:hAnsi="Times New Roman"/>
          <w:sz w:val="20"/>
          <w:szCs w:val="20"/>
        </w:rPr>
        <w:t>Every audit finding, regardless of which of the nine areas it comes from, moves through the same lifecycle so the program produces one consistent view of risk over time:</w:t>
      </w:r>
    </w:p>
    <w:p>
      <w:pPr>
        <w:pStyle w:val="ListParagraph"/>
        <w:numPr>
          <w:ilvl w:val="0"/>
          <w:numId w:val="2"/>
        </w:numPr>
        <w:spacing w:lineRule="auto" w:line="276" w:before="0" w:after="80"/>
        <w:rPr>
          <w:rFonts w:ascii="Times New Roman" w:hAnsi="Times New Roman"/>
          <w:sz w:val="20"/>
          <w:szCs w:val="20"/>
        </w:rPr>
      </w:pPr>
      <w:r>
        <w:rPr>
          <w:rFonts w:ascii="Times New Roman" w:hAnsi="Times New Roman"/>
          <w:sz w:val="20"/>
          <w:szCs w:val="20"/>
        </w:rPr>
        <w:t>Identify — finding logged in the central audit-tracking register with the audit ID, area, and evidence reference.</w:t>
      </w:r>
    </w:p>
    <w:p>
      <w:pPr>
        <w:pStyle w:val="ListParagraph"/>
        <w:numPr>
          <w:ilvl w:val="0"/>
          <w:numId w:val="2"/>
        </w:numPr>
        <w:spacing w:lineRule="auto" w:line="276" w:before="0" w:after="80"/>
        <w:rPr>
          <w:rFonts w:ascii="Times New Roman" w:hAnsi="Times New Roman"/>
          <w:sz w:val="20"/>
          <w:szCs w:val="20"/>
        </w:rPr>
      </w:pPr>
      <w:r>
        <w:rPr>
          <w:rFonts w:ascii="Times New Roman" w:hAnsi="Times New Roman"/>
          <w:sz w:val="20"/>
          <w:szCs w:val="20"/>
        </w:rPr>
        <w:t>Rate — severity assigned using the Critical/High/Medium/Low scale and SLA from the Week 5 report (14/30/90/180 days).</w:t>
      </w:r>
    </w:p>
    <w:p>
      <w:pPr>
        <w:pStyle w:val="ListParagraph"/>
        <w:numPr>
          <w:ilvl w:val="0"/>
          <w:numId w:val="2"/>
        </w:numPr>
        <w:spacing w:lineRule="auto" w:line="276" w:before="0" w:after="80"/>
        <w:rPr>
          <w:rFonts w:ascii="Times New Roman" w:hAnsi="Times New Roman"/>
          <w:sz w:val="20"/>
          <w:szCs w:val="20"/>
        </w:rPr>
      </w:pPr>
      <w:r>
        <w:rPr>
          <w:rFonts w:ascii="Times New Roman" w:hAnsi="Times New Roman"/>
          <w:sz w:val="20"/>
          <w:szCs w:val="20"/>
        </w:rPr>
        <w:t>Assign — an owner and target remediation date are set at the time the finding is logged, not after the fact.</w:t>
      </w:r>
    </w:p>
    <w:p>
      <w:pPr>
        <w:pStyle w:val="ListParagraph"/>
        <w:numPr>
          <w:ilvl w:val="0"/>
          <w:numId w:val="2"/>
        </w:numPr>
        <w:spacing w:lineRule="auto" w:line="276" w:before="0" w:after="80"/>
        <w:rPr>
          <w:rFonts w:ascii="Times New Roman" w:hAnsi="Times New Roman"/>
          <w:sz w:val="20"/>
          <w:szCs w:val="20"/>
        </w:rPr>
      </w:pPr>
      <w:r>
        <w:rPr>
          <w:rFonts w:ascii="Times New Roman" w:hAnsi="Times New Roman"/>
          <w:sz w:val="20"/>
          <w:szCs w:val="20"/>
        </w:rPr>
        <w:t>Remediate — owner implements the fix and attaches evidence (config export, screenshot, sign-off) to the register.</w:t>
      </w:r>
    </w:p>
    <w:p>
      <w:pPr>
        <w:pStyle w:val="ListParagraph"/>
        <w:numPr>
          <w:ilvl w:val="0"/>
          <w:numId w:val="2"/>
        </w:numPr>
        <w:spacing w:lineRule="auto" w:line="276" w:before="0" w:after="80"/>
        <w:rPr>
          <w:rFonts w:ascii="Times New Roman" w:hAnsi="Times New Roman"/>
          <w:sz w:val="20"/>
          <w:szCs w:val="20"/>
        </w:rPr>
      </w:pPr>
      <w:r>
        <w:rPr>
          <w:rFonts w:ascii="Times New Roman" w:hAnsi="Times New Roman"/>
          <w:sz w:val="20"/>
          <w:szCs w:val="20"/>
        </w:rPr>
        <w:t>Verify — a second reviewer (not the finding's owner) confirms the fix before the finding is marked closed.</w:t>
      </w:r>
    </w:p>
    <w:p>
      <w:pPr>
        <w:pStyle w:val="Normal"/>
        <w:spacing w:lineRule="auto" w:line="276" w:before="0" w:after="140"/>
        <w:rPr>
          <w:rFonts w:ascii="Times New Roman" w:hAnsi="Times New Roman"/>
          <w:sz w:val="20"/>
          <w:szCs w:val="20"/>
        </w:rPr>
      </w:pPr>
      <w:r>
        <w:rPr>
          <w:rFonts w:ascii="Times New Roman" w:hAnsi="Times New Roman"/>
          <w:sz w:val="20"/>
          <w:szCs w:val="20"/>
        </w:rPr>
        <w:t>A summary of open/closed findings, aged by severity, is presented at a quarterly security review meeting attended by the IT Security Team and an executive sponsor, giving leadership the same running view across all four reports in this series: policy (Week 3), people (Week 4), technical exposure (Week 5), and now audit assurance (Week 6).</w:t>
      </w:r>
    </w:p>
    <w:p>
      <w:pPr>
        <w:pStyle w:val="Normal"/>
        <w:bidi w:val="0"/>
        <w:spacing w:lineRule="auto" w:line="240"/>
        <w:jc w:val="start"/>
        <w:rPr>
          <w:rFonts w:ascii="Times New Roman" w:hAnsi="Times New Roman"/>
          <w:sz w:val="28"/>
          <w:szCs w:val="28"/>
        </w:rPr>
      </w:pPr>
      <w:r>
        <w:rPr>
          <w:rFonts w:ascii="Times New Roman" w:hAnsi="Times New Roman"/>
          <w:sz w:val="28"/>
          <w:szCs w:val="28"/>
        </w:rPr>
        <w:t>9. RECOMMENDATIONS &amp; NEXT STEPS</w:t>
      </w:r>
    </w:p>
    <w:p>
      <w:pPr>
        <w:pStyle w:val="ListParagraph"/>
        <w:numPr>
          <w:ilvl w:val="0"/>
          <w:numId w:val="13"/>
        </w:numPr>
        <w:spacing w:lineRule="auto" w:line="276" w:before="0" w:after="80"/>
        <w:rPr>
          <w:rFonts w:ascii="Times New Roman" w:hAnsi="Times New Roman"/>
          <w:sz w:val="20"/>
          <w:szCs w:val="20"/>
        </w:rPr>
      </w:pPr>
      <w:r>
        <w:rPr>
          <w:rFonts w:ascii="Times New Roman" w:hAnsi="Times New Roman"/>
          <w:sz w:val="20"/>
          <w:szCs w:val="20"/>
        </w:rPr>
        <w:t>Stand up the central audit-tracking register before the next scheduled audit (AUD-02 and AUD-03 are quarterly and due soonest).</w:t>
      </w:r>
    </w:p>
    <w:p>
      <w:pPr>
        <w:pStyle w:val="ListParagraph"/>
        <w:numPr>
          <w:ilvl w:val="0"/>
          <w:numId w:val="13"/>
        </w:numPr>
        <w:spacing w:lineRule="auto" w:line="276" w:before="0" w:after="80"/>
        <w:rPr>
          <w:rFonts w:ascii="Times New Roman" w:hAnsi="Times New Roman"/>
          <w:sz w:val="20"/>
          <w:szCs w:val="20"/>
        </w:rPr>
      </w:pPr>
      <w:r>
        <w:rPr>
          <w:rFonts w:ascii="Times New Roman" w:hAnsi="Times New Roman"/>
          <w:sz w:val="20"/>
          <w:szCs w:val="20"/>
        </w:rPr>
        <w:t>Formally assign the audit ownership in Section 7 to named individuals, not just roles, within 30 days.</w:t>
      </w:r>
    </w:p>
    <w:p>
      <w:pPr>
        <w:pStyle w:val="ListParagraph"/>
        <w:numPr>
          <w:ilvl w:val="0"/>
          <w:numId w:val="13"/>
        </w:numPr>
        <w:spacing w:lineRule="auto" w:line="276" w:before="0" w:after="80"/>
        <w:rPr>
          <w:rFonts w:ascii="Times New Roman" w:hAnsi="Times New Roman"/>
          <w:sz w:val="20"/>
          <w:szCs w:val="20"/>
        </w:rPr>
      </w:pPr>
      <w:r>
        <w:rPr>
          <w:rFonts w:ascii="Times New Roman" w:hAnsi="Times New Roman"/>
          <w:sz w:val="20"/>
          <w:szCs w:val="20"/>
        </w:rPr>
        <w:t>Schedule the first AUD-09 incident response tabletop within one quarter — it is currently the least-tested control in the program and directly rehearses the VULN-08 VPN scenario from Week 5.</w:t>
      </w:r>
    </w:p>
    <w:p>
      <w:pPr>
        <w:pStyle w:val="ListParagraph"/>
        <w:numPr>
          <w:ilvl w:val="0"/>
          <w:numId w:val="13"/>
        </w:numPr>
        <w:spacing w:lineRule="auto" w:line="276" w:before="0" w:after="80"/>
        <w:rPr>
          <w:rFonts w:ascii="Times New Roman" w:hAnsi="Times New Roman"/>
          <w:sz w:val="20"/>
          <w:szCs w:val="20"/>
        </w:rPr>
      </w:pPr>
      <w:r>
        <w:rPr>
          <w:rFonts w:ascii="Times New Roman" w:hAnsi="Times New Roman"/>
          <w:sz w:val="20"/>
          <w:szCs w:val="20"/>
        </w:rPr>
        <w:t>Scope a follow-on review of physical security, HR background-check processes, and vendor contract/legal terms, identified in Section 3.2 as adjacent but out of scope here.</w:t>
      </w:r>
    </w:p>
    <w:p>
      <w:pPr>
        <w:pStyle w:val="ListParagraph"/>
        <w:numPr>
          <w:ilvl w:val="0"/>
          <w:numId w:val="13"/>
        </w:numPr>
        <w:spacing w:lineRule="auto" w:line="276" w:before="0" w:after="80"/>
        <w:rPr>
          <w:rFonts w:ascii="Times New Roman" w:hAnsi="Times New Roman"/>
          <w:sz w:val="20"/>
          <w:szCs w:val="20"/>
        </w:rPr>
      </w:pPr>
      <w:r>
        <w:rPr>
          <w:rFonts w:ascii="Times New Roman" w:hAnsi="Times New Roman"/>
          <w:sz w:val="20"/>
          <w:szCs w:val="20"/>
        </w:rPr>
        <w:t>Re-run this plan's Section 6 schedule annually and adjust frequencies based on that year's actual finding volume — a quiet quarter can shift a domain from quarterly to semi-annual, and a bad one should do the reverse.</w:t>
      </w:r>
    </w:p>
    <w:p>
      <w:pPr>
        <w:pStyle w:val="Normal"/>
        <w:bidi w:val="0"/>
        <w:spacing w:lineRule="auto" w:line="240"/>
        <w:jc w:val="start"/>
        <w:rPr>
          <w:rFonts w:ascii="Times New Roman" w:hAnsi="Times New Roman"/>
          <w:sz w:val="28"/>
          <w:szCs w:val="28"/>
        </w:rPr>
      </w:pPr>
      <w:r>
        <w:rPr>
          <w:rFonts w:ascii="Times New Roman" w:hAnsi="Times New Roman"/>
          <w:sz w:val="28"/>
          <w:szCs w:val="28"/>
        </w:rPr>
        <w:t>10. CONCLUSION</w:t>
      </w:r>
    </w:p>
    <w:p>
      <w:pPr>
        <w:pStyle w:val="Normal"/>
        <w:spacing w:lineRule="auto" w:line="276" w:before="0" w:after="140"/>
        <w:rPr>
          <w:rFonts w:ascii="Times New Roman" w:hAnsi="Times New Roman"/>
          <w:sz w:val="20"/>
          <w:szCs w:val="20"/>
        </w:rPr>
      </w:pPr>
      <w:r>
        <w:rPr>
          <w:rFonts w:ascii="Times New Roman" w:hAnsi="Times New Roman"/>
          <w:sz w:val="20"/>
          <w:szCs w:val="20"/>
        </w:rPr>
        <w:t>This audit plan closes the four-part security baseline built across this internship: the Week 3 Security Policy Review established what Nimbus's controls should be, the Week 4 Security Awareness Campaign Plan addressed the human layer, the Week 5 Vulnerability Assessment Report tested what was actually true on the ground, and this plan defines how the organization keeps re-testing that truth on a fixed, risk-weighted schedule rather than treating any of the prior three reports as a one-time exercise.</w:t>
      </w:r>
    </w:p>
    <w:p>
      <w:pPr>
        <w:pStyle w:val="Normal"/>
        <w:spacing w:lineRule="auto" w:line="276" w:before="0" w:after="140"/>
        <w:rPr>
          <w:rFonts w:ascii="Times New Roman" w:hAnsi="Times New Roman"/>
          <w:sz w:val="20"/>
          <w:szCs w:val="20"/>
        </w:rPr>
      </w:pPr>
      <w:r>
        <w:rPr>
          <w:rFonts w:ascii="Times New Roman" w:hAnsi="Times New Roman"/>
          <w:sz w:val="20"/>
          <w:szCs w:val="20"/>
        </w:rPr>
        <w:t>The program is deliberately sized to Nimbus's ~450-employee scale: it reuses the roles, tools, and severity language already established in Weeks 3–5 rather than requiring new headcount, while still reserving an annual independent audit for the domains — payment data and the Week 5 Critical findings — where an internal-only check is not sufficient assurance on its own.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pPr/>
    <w:rPr>
      <w:color w:val="2E74B5"/>
      <w:sz w:val="26"/>
      <w:szCs w:val="26"/>
    </w:rPr>
  </w:style>
  <w:style w:type="paragraph" w:styleId="Heading3">
    <w:name w:val="heading 3"/>
    <w:basedOn w:val="Heading"/>
    <w:pPr/>
    <w:rPr>
      <w:color w:val="1F4D78"/>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LibreOffice/26.8.0.3$Linux_X86_64 LibreOffice_project/680$Build-3</Application>
  <AppVersion>15.0000</AppVersion>
  <Pages>7</Pages>
  <Words>2770</Words>
  <Characters>16288</Characters>
  <CharactersWithSpaces>18770</CharactersWithSpaces>
  <Paragraphs>279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2026-08-30T16:43:39Z</dcterms:created>
  <dc:creator/>
  <dc:description/>
  <dc:language>en-US</dc:language>
  <cp:lastModifiedBy/>
  <dcterms:modified xsi:type="dcterms:W3CDTF">2026-09-26T11:56:55Z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