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rFonts w:ascii="Times New Roman" w:hAnsi="Times New Roman"/>
        </w:rPr>
      </w:pPr>
      <w:r>
        <w:rPr>
          <w:rFonts w:ascii="Times New Roman" w:hAnsi="Times New Roman"/>
          <w:b/>
          <w:bCs/>
          <w:sz w:val="32"/>
          <w:szCs w:val="32"/>
        </w:rPr>
        <w:t>VULNERABILITY ASSESSMENT REPORT</w:t>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b/>
          <w:bCs/>
          <w:sz w:val="24"/>
          <w:szCs w:val="24"/>
          <w:u w:val="single"/>
        </w:rPr>
        <w:t>Internship Technical Report – Week 5</w:t>
      </w:r>
    </w:p>
    <w:p>
      <w:pPr>
        <w:pStyle w:val="Normal"/>
        <w:bidi w:val="0"/>
        <w:spacing w:lineRule="auto" w:line="240"/>
        <w:jc w:val="end"/>
        <w:rPr>
          <w:rFonts w:ascii="Times New Roman" w:hAnsi="Times New Roman"/>
        </w:rPr>
      </w:pPr>
      <w:r>
        <w:rPr>
          <w:rFonts w:ascii="Times New Roman" w:hAnsi="Times New Roman"/>
        </w:rPr>
      </w:r>
    </w:p>
    <w:p>
      <w:pPr>
        <w:pStyle w:val="Normal"/>
        <w:bidi w:val="0"/>
        <w:spacing w:lineRule="auto" w:line="240"/>
        <w:jc w:val="end"/>
        <w:rPr>
          <w:rFonts w:ascii="Times New Roman" w:hAnsi="Times New Roman"/>
        </w:rPr>
      </w:pPr>
      <w:r>
        <w:rPr>
          <w:rFonts w:ascii="Times New Roman" w:hAnsi="Times New Roman"/>
          <w:sz w:val="22"/>
          <w:szCs w:val="22"/>
        </w:rPr>
        <w:t>Author: Aditya Sharma</w:t>
      </w:r>
    </w:p>
    <w:p>
      <w:pPr>
        <w:pStyle w:val="Normal"/>
        <w:bidi w:val="0"/>
        <w:spacing w:lineRule="auto" w:line="240"/>
        <w:jc w:val="end"/>
        <w:rPr>
          <w:rFonts w:ascii="Times New Roman" w:hAnsi="Times New Roman"/>
        </w:rPr>
      </w:pPr>
      <w:r>
        <w:rPr>
          <w:rFonts w:ascii="Times New Roman" w:hAnsi="Times New Roman"/>
          <w:sz w:val="22"/>
          <w:szCs w:val="22"/>
        </w:rPr>
        <w:t>Domain: Cyber Security Analyst</w:t>
      </w:r>
    </w:p>
    <w:p>
      <w:pPr>
        <w:pStyle w:val="Normal"/>
        <w:bidi w:val="0"/>
        <w:spacing w:lineRule="auto" w:line="240"/>
        <w:jc w:val="end"/>
        <w:rPr>
          <w:rFonts w:ascii="Times New Roman" w:hAnsi="Times New Roman"/>
        </w:rPr>
      </w:pPr>
      <w:r>
        <w:rPr>
          <w:rFonts w:ascii="Times New Roman" w:hAnsi="Times New Roman"/>
          <w:sz w:val="22"/>
          <w:szCs w:val="22"/>
        </w:rPr>
        <w:t xml:space="preserve">Submission Date: </w:t>
      </w:r>
      <w:r>
        <w:rPr>
          <w:rFonts w:ascii="Times New Roman" w:hAnsi="Times New Roman"/>
          <w:sz w:val="22"/>
          <w:szCs w:val="22"/>
        </w:rPr>
        <w:t>8</w:t>
      </w:r>
      <w:r>
        <w:rPr>
          <w:rFonts w:ascii="Times New Roman" w:hAnsi="Times New Roman"/>
          <w:sz w:val="22"/>
          <w:szCs w:val="22"/>
        </w:rPr>
        <w:t xml:space="preserve"> </w:t>
      </w:r>
      <w:r>
        <w:rPr>
          <w:rFonts w:ascii="Times New Roman" w:hAnsi="Times New Roman"/>
          <w:sz w:val="22"/>
          <w:szCs w:val="22"/>
        </w:rPr>
        <w:t xml:space="preserve">October </w:t>
      </w:r>
      <w:r>
        <w:rPr>
          <w:rFonts w:ascii="Times New Roman" w:hAnsi="Times New Roman"/>
          <w:sz w:val="22"/>
          <w:szCs w:val="22"/>
        </w:rPr>
        <w:t>2026</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before="0" w:after="0"/>
        <w:jc w:val="start"/>
        <w:rPr>
          <w:rFonts w:ascii="Times New Roman" w:hAnsi="Times New Roman"/>
          <w:sz w:val="28"/>
          <w:szCs w:val="28"/>
        </w:rPr>
      </w:pPr>
      <w:r>
        <w:rPr>
          <w:rFonts w:ascii="Times New Roman" w:hAnsi="Times New Roman"/>
          <w:sz w:val="28"/>
          <w:szCs w:val="28"/>
        </w:rPr>
        <w:t>1. EXECUTIVE SUMMARY</w:t>
      </w:r>
    </w:p>
    <w:p>
      <w:pPr>
        <w:pStyle w:val="Normal"/>
        <w:spacing w:lineRule="auto" w:line="276" w:before="57" w:after="83"/>
        <w:rPr>
          <w:rFonts w:ascii="Times New Roman" w:hAnsi="Times New Roman"/>
          <w:sz w:val="20"/>
          <w:szCs w:val="20"/>
        </w:rPr>
      </w:pPr>
      <w:r>
        <w:rPr>
          <w:rFonts w:ascii="Times New Roman" w:hAnsi="Times New Roman"/>
          <w:sz w:val="20"/>
          <w:szCs w:val="20"/>
        </w:rPr>
        <w:t>This report presents a vulnerability assessment of the IT infrastructure of Nimbus Retail Solutions, a hypothetical e-commerce retailer with about 450 employees, a hybrid workforce, a cloud-hosted storefront, an on-premises warehouse system and card-payment processing. The assessment identified 13 vulnerabilities across the internet perimeter, internal network, web application and cloud configuration. By CVSS v3.1 severity there are 5 Critical, 7 High and 1 Medium findings and none rated Low.</w:t>
      </w:r>
    </w:p>
    <w:p>
      <w:pPr>
        <w:pStyle w:val="Normal"/>
        <w:spacing w:lineRule="auto" w:line="276" w:before="0" w:after="0"/>
        <w:rPr>
          <w:rFonts w:ascii="Times New Roman" w:hAnsi="Times New Roman"/>
          <w:sz w:val="20"/>
          <w:szCs w:val="20"/>
        </w:rPr>
      </w:pPr>
      <w:r>
        <w:rPr>
          <w:rFonts w:ascii="Times New Roman" w:hAnsi="Times New Roman"/>
          <w:sz w:val="20"/>
          <w:szCs w:val="20"/>
        </w:rPr>
        <w:t>Because CVSS alone does not reflect business context, each finding was also scored with a Contextual Risk Index (CRI) that weights asset criticality, internet exposure and whether the flaw is known to be exploited in the wild. On that basis 5 findings are Priority 1 and need action within 72 hours.</w:t>
      </w:r>
    </w:p>
    <w:p>
      <w:pPr>
        <w:pStyle w:val="Normal"/>
        <w:spacing w:lineRule="auto" w:line="276" w:before="0" w:after="140"/>
        <w:rPr>
          <w:rFonts w:ascii="Times New Roman" w:hAnsi="Times New Roman"/>
          <w:sz w:val="20"/>
          <w:szCs w:val="20"/>
        </w:rPr>
      </w:pPr>
      <w:r>
        <w:rPr>
          <w:rFonts w:ascii="Times New Roman" w:hAnsi="Times New Roman"/>
          <w:b/>
          <w:bCs/>
          <w:sz w:val="20"/>
          <w:szCs w:val="20"/>
        </w:rPr>
        <w:t>Key findings:</w:t>
      </w:r>
    </w:p>
    <w:p>
      <w:pPr>
        <w:pStyle w:val="ListParagraph"/>
        <w:numPr>
          <w:ilvl w:val="0"/>
          <w:numId w:val="5"/>
        </w:numPr>
        <w:spacing w:lineRule="auto" w:line="276" w:before="0" w:after="0"/>
        <w:rPr>
          <w:rFonts w:ascii="Times New Roman" w:hAnsi="Times New Roman"/>
          <w:sz w:val="20"/>
          <w:szCs w:val="20"/>
        </w:rPr>
      </w:pPr>
      <w:r>
        <w:rPr>
          <w:rFonts w:ascii="Times New Roman" w:hAnsi="Times New Roman"/>
          <w:sz w:val="20"/>
          <w:szCs w:val="20"/>
        </w:rPr>
        <w:t>VA-01 Log4Shell on the order API (CVSS 10.0), VA-02 MOVEit SQL injection (9.8) and VA-03 Zerologon on a domain controller (10.0) are all on CISA's Known Exploited Vulnerabilities list and rank highest.</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VA-06 (no multi-factor authentication) and VA-09 (SQL injection in the customer portal) are Critical at 9.1 and put customer accounts and data directly at risk.</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VA-11 (flat network) means a compromise of any warehouse device can reach cardholder data, so several lower-rated findings combine into a serious attack path.</w:t>
      </w:r>
    </w:p>
    <w:p>
      <w:pPr>
        <w:pStyle w:val="Normal"/>
        <w:spacing w:lineRule="auto" w:line="276" w:before="0" w:after="140"/>
        <w:rPr>
          <w:rFonts w:ascii="Times New Roman" w:hAnsi="Times New Roman"/>
          <w:sz w:val="20"/>
          <w:szCs w:val="20"/>
        </w:rPr>
      </w:pPr>
      <w:r>
        <w:rPr>
          <w:rFonts w:ascii="Times New Roman" w:hAnsi="Times New Roman"/>
          <w:sz w:val="20"/>
          <w:szCs w:val="20"/>
        </w:rPr>
        <w:t>Most of the highest-risk items need patches or configuration changes rather than new products. If the five P1 items are fixed within the first week, the number of Critical findings drops from five to zero and the most likely routes into the network are closed. A phased plan is given in Section 8.</w:t>
      </w:r>
    </w:p>
    <w:p>
      <w:pPr>
        <w:pStyle w:val="Normal"/>
        <w:spacing w:lineRule="auto" w:line="276" w:before="0" w:after="140"/>
        <w:rPr>
          <w:rFonts w:ascii="Times New Roman" w:hAnsi="Times New Roman"/>
          <w:sz w:val="20"/>
          <w:szCs w:val="20"/>
        </w:rPr>
      </w:pPr>
      <w:r>
        <w:rPr>
          <w:rFonts w:ascii="Times New Roman" w:hAnsi="Times New Roman"/>
          <w:sz w:val="20"/>
          <w:szCs w:val="20"/>
        </w:rPr>
        <w:t>Industry context: IBM's 2025 Cost of a Data Breach Report puts the global average breach at $4.44 million and the average time to identify and contain a breach at 241 days, and Verizon's 2025 DBIR found that about 20% of breaches began with exploitation of a vulnerability, a 34% increase on the prior year.</w:t>
      </w:r>
    </w:p>
    <w:p>
      <w:pPr>
        <w:pStyle w:val="Normal"/>
        <w:bidi w:val="0"/>
        <w:spacing w:lineRule="auto" w:line="276" w:before="57" w:after="57"/>
        <w:jc w:val="start"/>
        <w:rPr>
          <w:rFonts w:ascii="Times New Roman" w:hAnsi="Times New Roman"/>
          <w:sz w:val="28"/>
          <w:szCs w:val="28"/>
        </w:rPr>
      </w:pPr>
      <w:r>
        <w:rPr>
          <w:rFonts w:ascii="Times New Roman" w:hAnsi="Times New Roman"/>
          <w:sz w:val="28"/>
          <w:szCs w:val="28"/>
        </w:rPr>
        <w:t>2. SCOPE, ASSUMPTIONS AND RULES OF ENGAGEMENT</w:t>
      </w:r>
    </w:p>
    <w:p>
      <w:pPr>
        <w:pStyle w:val="Normal"/>
        <w:bidi w:val="0"/>
        <w:spacing w:lineRule="auto" w:line="240" w:before="0" w:after="0"/>
        <w:jc w:val="start"/>
        <w:rPr>
          <w:rFonts w:ascii="Times New Roman" w:hAnsi="Times New Roman"/>
        </w:rPr>
      </w:pPr>
      <w:r>
        <w:rPr>
          <w:rFonts w:ascii="Times New Roman" w:hAnsi="Times New Roman"/>
          <w:sz w:val="20"/>
          <w:szCs w:val="20"/>
        </w:rPr>
        <w:t>Nimbus Retail Solutions is a fictional organization created for this exercise. The environment, scan output and evidence in this report are simulated to reflect common real-world weaknesses; no real systems were scanned. The CVEs, CVSS vectors and mitigation advice are real and publicly documented. The assessment is written as it would be for an authorised engagement.</w:t>
      </w:r>
    </w:p>
    <w:tbl>
      <w:tblPr>
        <w:tblW w:w="9500" w:type="dxa"/>
        <w:jc w:val="start"/>
        <w:tblInd w:w="0" w:type="dxa"/>
        <w:tblLayout w:type="fixed"/>
        <w:tblCellMar>
          <w:top w:w="58" w:type="dxa"/>
          <w:start w:w="58" w:type="dxa"/>
          <w:bottom w:w="58" w:type="dxa"/>
          <w:end w:w="58" w:type="dxa"/>
        </w:tblCellMar>
      </w:tblPr>
      <w:tblGrid>
        <w:gridCol w:w="2299"/>
        <w:gridCol w:w="7201"/>
      </w:tblGrid>
      <w:tr>
        <w:trPr>
          <w:tblHeader w:val="true"/>
        </w:trPr>
        <w:tc>
          <w:tcPr>
            <w:tcW w:w="22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Item</w:t>
            </w:r>
          </w:p>
        </w:tc>
        <w:tc>
          <w:tcPr>
            <w:tcW w:w="72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Detail</w:t>
            </w:r>
          </w:p>
        </w:tc>
      </w:tr>
      <w:tr>
        <w:trPr>
          <w:cantSplit/>
        </w:trPr>
        <w:tc>
          <w:tcPr>
            <w:tcW w:w="22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In scope</w:t>
            </w:r>
          </w:p>
        </w:tc>
        <w:tc>
          <w:tcPr>
            <w:tcW w:w="72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Public IP range and domains, customer portal, partner file-transfer server, VPN and webmail, corporate Windows domain, warehouse VLAN, backup server, cloud storage</w:t>
            </w:r>
          </w:p>
        </w:tc>
      </w:tr>
      <w:tr>
        <w:trPr>
          <w:cantSplit/>
        </w:trPr>
        <w:tc>
          <w:tcPr>
            <w:tcW w:w="22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Out of scope</w:t>
            </w:r>
          </w:p>
        </w:tc>
        <w:tc>
          <w:tcPr>
            <w:tcW w:w="72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Third-party SaaS internals, physical security, social-engineering campaigns, denial-of-service testing</w:t>
            </w:r>
          </w:p>
        </w:tc>
      </w:tr>
      <w:tr>
        <w:trPr>
          <w:cantSplit/>
        </w:trPr>
        <w:tc>
          <w:tcPr>
            <w:tcW w:w="22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Testing type</w:t>
            </w:r>
          </w:p>
        </w:tc>
        <w:tc>
          <w:tcPr>
            <w:tcW w:w="72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Authenticated and unauthenticated scanning with manual validation; exploitation was limited to safe proof-of-concept checks</w:t>
            </w:r>
          </w:p>
        </w:tc>
      </w:tr>
      <w:tr>
        <w:trPr>
          <w:cantSplit/>
        </w:trPr>
        <w:tc>
          <w:tcPr>
            <w:tcW w:w="22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Data handling</w:t>
            </w:r>
          </w:p>
        </w:tc>
        <w:tc>
          <w:tcPr>
            <w:tcW w:w="72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No personal data was downloaded or retained; evidence is limited to headers, banners and counts</w:t>
            </w:r>
          </w:p>
        </w:tc>
      </w:tr>
      <w:tr>
        <w:trPr>
          <w:cantSplit/>
        </w:trPr>
        <w:tc>
          <w:tcPr>
            <w:tcW w:w="22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Assumed authorisation</w:t>
            </w:r>
          </w:p>
        </w:tc>
        <w:tc>
          <w:tcPr>
            <w:tcW w:w="72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Written approval from the CIO, testing windows outside peak trading hours, and an emergency contact for any service impact</w:t>
            </w:r>
          </w:p>
        </w:tc>
      </w:tr>
    </w:tbl>
    <w:p>
      <w:pPr>
        <w:pStyle w:val="Normal"/>
        <w:bidi w:val="0"/>
        <w:spacing w:lineRule="auto" w:line="240" w:before="114" w:after="114"/>
        <w:jc w:val="start"/>
        <w:rPr>
          <w:rFonts w:ascii="Times New Roman" w:hAnsi="Times New Roman"/>
          <w:sz w:val="28"/>
          <w:szCs w:val="28"/>
        </w:rPr>
      </w:pPr>
      <w:r>
        <w:rPr>
          <w:rFonts w:ascii="Times New Roman" w:hAnsi="Times New Roman"/>
          <w:sz w:val="28"/>
          <w:szCs w:val="28"/>
        </w:rPr>
        <w:t>3. METHODOLOGY</w:t>
      </w:r>
    </w:p>
    <w:p>
      <w:pPr>
        <w:pStyle w:val="Normal"/>
        <w:spacing w:lineRule="auto" w:line="276" w:before="0" w:after="26"/>
        <w:rPr>
          <w:rFonts w:ascii="Times New Roman" w:hAnsi="Times New Roman"/>
          <w:sz w:val="20"/>
          <w:szCs w:val="20"/>
        </w:rPr>
      </w:pPr>
      <w:r>
        <w:rPr>
          <w:rFonts w:ascii="Times New Roman" w:hAnsi="Times New Roman"/>
          <w:sz w:val="20"/>
          <w:szCs w:val="20"/>
        </w:rPr>
        <w:t>The assessment followed the four phases of NIST SP 800-115 (planning, discovery, attack/validation, reporting):</w:t>
      </w:r>
    </w:p>
    <w:p>
      <w:pPr>
        <w:pStyle w:val="ListParagraph"/>
        <w:numPr>
          <w:ilvl w:val="0"/>
          <w:numId w:val="6"/>
        </w:numPr>
        <w:spacing w:lineRule="auto" w:line="276" w:before="0" w:after="0"/>
        <w:rPr>
          <w:rFonts w:ascii="Times New Roman" w:hAnsi="Times New Roman"/>
          <w:sz w:val="20"/>
          <w:szCs w:val="20"/>
        </w:rPr>
      </w:pPr>
      <w:r>
        <w:rPr>
          <w:rFonts w:ascii="Times New Roman" w:hAnsi="Times New Roman"/>
          <w:sz w:val="20"/>
          <w:szCs w:val="20"/>
        </w:rPr>
        <w:t>Planning: define scope, rules of engagement, and critical assets.</w:t>
      </w:r>
    </w:p>
    <w:p>
      <w:pPr>
        <w:pStyle w:val="ListParagraph"/>
        <w:numPr>
          <w:ilvl w:val="0"/>
          <w:numId w:val="3"/>
        </w:numPr>
        <w:spacing w:lineRule="auto" w:line="276" w:before="0" w:after="0"/>
        <w:rPr>
          <w:rFonts w:ascii="Times New Roman" w:hAnsi="Times New Roman"/>
          <w:sz w:val="20"/>
          <w:szCs w:val="20"/>
        </w:rPr>
      </w:pPr>
      <w:r>
        <w:rPr>
          <w:rFonts w:ascii="Times New Roman" w:hAnsi="Times New Roman"/>
          <w:sz w:val="20"/>
          <w:szCs w:val="20"/>
        </w:rPr>
        <w:t>Discovery: asset enumeration and service fingerprinting (typical tools: Nmap, Masscan), vulnerability scanning (Nessus or OpenVAS), web application testing (OWASP ZAP, Burp Suite), TLS testing (testssl.sh), dependency scanning (OWASP Dependency-Check, Grype), and cloud configuration review (Prowler).</w:t>
      </w:r>
    </w:p>
    <w:p>
      <w:pPr>
        <w:pStyle w:val="ListParagraph"/>
        <w:numPr>
          <w:ilvl w:val="0"/>
          <w:numId w:val="3"/>
        </w:numPr>
        <w:spacing w:lineRule="auto" w:line="276" w:before="0" w:after="0"/>
        <w:rPr>
          <w:rFonts w:ascii="Times New Roman" w:hAnsi="Times New Roman"/>
          <w:sz w:val="20"/>
          <w:szCs w:val="20"/>
        </w:rPr>
      </w:pPr>
      <w:r>
        <w:rPr>
          <w:rFonts w:ascii="Times New Roman" w:hAnsi="Times New Roman"/>
          <w:sz w:val="20"/>
          <w:szCs w:val="20"/>
        </w:rPr>
        <w:t>Validation: each scanner result was manually confirmed to remove false positives, using safe non-destructive checks.</w:t>
      </w:r>
    </w:p>
    <w:p>
      <w:pPr>
        <w:pStyle w:val="ListParagraph"/>
        <w:numPr>
          <w:ilvl w:val="0"/>
          <w:numId w:val="3"/>
        </w:numPr>
        <w:spacing w:lineRule="auto" w:line="276" w:before="0" w:after="0"/>
        <w:rPr>
          <w:rFonts w:ascii="Times New Roman" w:hAnsi="Times New Roman"/>
          <w:sz w:val="20"/>
          <w:szCs w:val="20"/>
        </w:rPr>
      </w:pPr>
      <w:r>
        <w:rPr>
          <w:rFonts w:ascii="Times New Roman" w:hAnsi="Times New Roman"/>
          <w:sz w:val="20"/>
          <w:szCs w:val="20"/>
        </w:rPr>
        <w:t>Scoring and reporting: CVSS v3.1 base scores were recomputed from vector strings by the companion Python tool, then adjusted for business context.</w:t>
      </w:r>
    </w:p>
    <w:p>
      <w:pPr>
        <w:pStyle w:val="Normal"/>
        <w:spacing w:lineRule="auto" w:line="276" w:before="0" w:after="140"/>
        <w:rPr>
          <w:rFonts w:ascii="Times New Roman" w:hAnsi="Times New Roman"/>
          <w:sz w:val="20"/>
          <w:szCs w:val="20"/>
        </w:rPr>
      </w:pPr>
      <w:r>
        <w:rPr>
          <w:rFonts w:ascii="Times New Roman" w:hAnsi="Times New Roman"/>
          <w:sz w:val="20"/>
          <w:szCs w:val="20"/>
        </w:rPr>
        <w:t>Contextual Risk Index (CRI). CRI = CVSS base score x asset-criticality factor (0.9 to 1.3 for criticality 1 to 5) x exposure factor (1.2 internet-facing, 1.0 internal) x exploitation factor (1.25 if known to be exploited, otherwise 1.0). Bands: P1 at CRI 14 or above (fix in 72 hours), P2 at 10 to 13.9 (30 days), P3 at 6 to 9.9 (90 days), P4 below 6. This model is an analyst-defined prioritization aid, in the spirit of NIST SP 800-30 likelihood-and-impact thinking, not an official standard. The weights are documented in Appendix A so reviewers can challenge them.</w:t>
      </w:r>
    </w:p>
    <w:p>
      <w:pPr>
        <w:pStyle w:val="Normal"/>
        <w:bidi w:val="0"/>
        <w:spacing w:lineRule="auto" w:line="240" w:before="114" w:after="114"/>
        <w:jc w:val="start"/>
        <w:rPr>
          <w:rFonts w:ascii="Times New Roman" w:hAnsi="Times New Roman"/>
          <w:sz w:val="28"/>
          <w:szCs w:val="28"/>
        </w:rPr>
      </w:pPr>
      <w:r>
        <w:rPr>
          <w:rFonts w:ascii="Times New Roman" w:hAnsi="Times New Roman"/>
          <w:sz w:val="28"/>
          <w:szCs w:val="28"/>
        </w:rPr>
        <w:t>4. ENVIRONMENT AND ASSET INVENTORY</w:t>
      </w:r>
    </w:p>
    <w:tbl>
      <w:tblPr>
        <w:tblW w:w="9500" w:type="dxa"/>
        <w:jc w:val="start"/>
        <w:tblInd w:w="0" w:type="dxa"/>
        <w:tblLayout w:type="fixed"/>
        <w:tblCellMar>
          <w:top w:w="58" w:type="dxa"/>
          <w:start w:w="58" w:type="dxa"/>
          <w:bottom w:w="58" w:type="dxa"/>
          <w:end w:w="58" w:type="dxa"/>
        </w:tblCellMar>
      </w:tblPr>
      <w:tblGrid>
        <w:gridCol w:w="2900"/>
        <w:gridCol w:w="3599"/>
        <w:gridCol w:w="1500"/>
        <w:gridCol w:w="1501"/>
      </w:tblGrid>
      <w:tr>
        <w:trPr>
          <w:tblHeader w:val="true"/>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rPr>
            </w:pPr>
            <w:r>
              <w:rPr>
                <w:rFonts w:ascii="Times New Roman" w:hAnsi="Times New Roman"/>
                <w:b/>
                <w:bCs/>
                <w:color w:val="000000"/>
                <w:sz w:val="20"/>
                <w:szCs w:val="20"/>
              </w:rPr>
              <w:t>Asset</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rPr>
            </w:pPr>
            <w:r>
              <w:rPr>
                <w:rFonts w:ascii="Times New Roman" w:hAnsi="Times New Roman"/>
                <w:b/>
                <w:bCs/>
                <w:color w:val="000000"/>
                <w:sz w:val="20"/>
                <w:szCs w:val="20"/>
              </w:rPr>
              <w:t>Role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rPr>
            </w:pPr>
            <w:r>
              <w:rPr>
                <w:rFonts w:ascii="Times New Roman" w:hAnsi="Times New Roman"/>
                <w:b/>
                <w:bCs/>
                <w:color w:val="000000"/>
                <w:sz w:val="20"/>
                <w:szCs w:val="20"/>
              </w:rPr>
              <w:t>Exposure</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color w:val="000000"/>
              </w:rPr>
            </w:pPr>
            <w:r>
              <w:rPr>
                <w:rFonts w:ascii="Times New Roman" w:hAnsi="Times New Roman"/>
                <w:b/>
                <w:bCs/>
                <w:color w:val="000000"/>
                <w:sz w:val="20"/>
                <w:szCs w:val="20"/>
              </w:rPr>
              <w:t>Criticality (1-5)</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ORD-API-01</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Order management API (Java)</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Internet</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5</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Customer portal + load balancer</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Storefront, accounts, payments</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Internet</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5 / 3</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FTS-01</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Partner file transfer (MOVEit)</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Internet</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4</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VPN gateway and webmail</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Remote access and email</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Internet</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5</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JMP-01</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SSH jump host to production</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Internet</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4</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FIN-WS-07</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Finance workstation (banking, payroll)</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Internet (RDP)</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4</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DC-01 / DC-02</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Active Directory domain controllers</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Internal</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5</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WMS-01</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Legacy warehouse management host</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Internal</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4</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BKP-01</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Backup server</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Internal</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5</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Warehouse cameras and printers</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34 IoT devices on warehouse VLAN</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Internal</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2</w:t>
            </w:r>
          </w:p>
        </w:tc>
      </w:tr>
      <w:tr>
        <w:trPr>
          <w:cantSplit/>
        </w:trPr>
        <w:tc>
          <w:tcPr>
            <w:tcW w:w="2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Cloud bucket nimbus-order-exports</w:t>
            </w:r>
          </w:p>
        </w:tc>
        <w:tc>
          <w:tcPr>
            <w:tcW w:w="35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Marketing order exports</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Internet</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rPr>
            </w:pPr>
            <w:r>
              <w:rPr>
                <w:rFonts w:ascii="Times New Roman" w:hAnsi="Times New Roman"/>
                <w:sz w:val="20"/>
                <w:szCs w:val="20"/>
              </w:rPr>
              <w:t>4</w:t>
            </w:r>
          </w:p>
        </w:tc>
      </w:tr>
    </w:tbl>
    <w:p>
      <w:pPr>
        <w:pStyle w:val="Normal"/>
        <w:bidi w:val="0"/>
        <w:spacing w:lineRule="auto" w:line="240"/>
        <w:jc w:val="start"/>
        <w:rPr>
          <w:rFonts w:ascii="Times New Roman" w:hAnsi="Times New Roman"/>
          <w:sz w:val="28"/>
          <w:szCs w:val="28"/>
        </w:rPr>
      </w:pPr>
      <w:r>
        <w:rPr>
          <w:rFonts w:ascii="Times New Roman" w:hAnsi="Times New Roman"/>
          <w:sz w:val="28"/>
          <w:szCs w:val="28"/>
        </w:rPr>
      </w:r>
    </w:p>
    <w:p>
      <w:pPr>
        <w:pStyle w:val="Normal"/>
        <w:spacing w:lineRule="auto" w:line="276" w:before="0" w:after="26"/>
        <w:rPr>
          <w:rFonts w:ascii="Times New Roman" w:hAnsi="Times New Roman"/>
        </w:rPr>
      </w:pPr>
      <w:r>
        <w:rPr>
          <w:rFonts w:ascii="Times New Roman" w:hAnsi="Times New Roman"/>
          <w:sz w:val="28"/>
          <w:szCs w:val="28"/>
        </w:rPr>
        <w:t>5. SUMMARY OF FINDINGS</w:t>
      </w:r>
    </w:p>
    <w:p>
      <w:pPr>
        <w:pStyle w:val="Normal"/>
        <w:spacing w:lineRule="auto" w:line="276" w:before="0" w:after="26"/>
        <w:rPr>
          <w:rFonts w:ascii="Times New Roman" w:hAnsi="Times New Roman"/>
          <w:sz w:val="20"/>
          <w:szCs w:val="20"/>
        </w:rPr>
      </w:pPr>
      <w:r>
        <w:rPr>
          <w:rFonts w:ascii="Times New Roman" w:hAnsi="Times New Roman"/>
          <w:sz w:val="20"/>
          <w:szCs w:val="20"/>
        </w:rPr>
        <w:t>Findings are listed in priority order (highest Contextual Risk Index first). Scores were generated by vuln_prioritizer.py.</w:t>
      </w:r>
    </w:p>
    <w:tbl>
      <w:tblPr>
        <w:tblW w:w="9500" w:type="dxa"/>
        <w:jc w:val="start"/>
        <w:tblInd w:w="0" w:type="dxa"/>
        <w:tblLayout w:type="fixed"/>
        <w:tblCellMar>
          <w:top w:w="58" w:type="dxa"/>
          <w:start w:w="58" w:type="dxa"/>
          <w:bottom w:w="58" w:type="dxa"/>
          <w:end w:w="58" w:type="dxa"/>
        </w:tblCellMar>
      </w:tblPr>
      <w:tblGrid>
        <w:gridCol w:w="749"/>
        <w:gridCol w:w="801"/>
        <w:gridCol w:w="3549"/>
        <w:gridCol w:w="700"/>
        <w:gridCol w:w="1001"/>
        <w:gridCol w:w="700"/>
        <w:gridCol w:w="2000"/>
      </w:tblGrid>
      <w:tr>
        <w:trPr>
          <w:tblHeader w:val="true"/>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ID</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Finding</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CVSS</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Severity</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CRI</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Priority</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VA-01</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Log4j2 JNDI remote code execution (Log4Shell)</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10.0</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Critical</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19.5</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P1 - Immediate (72h)</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2</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VA-02</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MOVEit Transfer SQL injection</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9.8</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Critical</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17.6</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P1 - Immediate (72h)</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3</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VA-03</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Netlogon elevation of privilege (Zerologon)</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10.0</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Critical</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16.2</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P1 - Immediate (72h)</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4</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VA-06</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No multi-factor authentication on VPN and webmail</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9.1</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Critical</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14.2</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P1 - Immediate (72h)</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5</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VA-09</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SQL injection in customer portal search</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9.1</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Critical</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14.2</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P1 - Immediate (72h)</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6</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VA-04</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SMBv1 remote code execution (EternalBlue)</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8.1</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High</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12.1</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P2 - Within 30 days</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7</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VA-05</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OpenSSH signal handler race condition (regreSSHion)</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8.1</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High</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11.7</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P2 - Within 30 days</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VA-08</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Internet-exposed RDP without lockout or NLA</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8.1</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High</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11.7</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P2 - Within 30 days</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9</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VA-11</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Flat network: warehouse VLAN can reach payment database subnet</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8.7</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High</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11.3</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P2 - Within 30 days</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10</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VA-07</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Publicly readable cloud storage bucket with order exports</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7.5</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High</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10.8</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P2 - Within 30 days</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11</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VA-13</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Unencrypted backups on a share writable by domain users</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8.0</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High</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10.4</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P2 - Within 30 days</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12</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VA-10</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Default credentials on warehouse cameras and printers</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8.8</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High</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8.8</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P3 - Within 90 days</w:t>
            </w:r>
          </w:p>
        </w:tc>
      </w:tr>
      <w:tr>
        <w:trPr>
          <w:cantSplit/>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13</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VA-12</w:t>
            </w:r>
          </w:p>
        </w:tc>
        <w:tc>
          <w:tcPr>
            <w:tcW w:w="354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Legacy TLS 1.0/1.1 and weak ciphers enabled</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5.9</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Medium</w:t>
            </w:r>
          </w:p>
        </w:tc>
        <w:tc>
          <w:tcPr>
            <w:tcW w:w="7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7.8</w:t>
            </w:r>
          </w:p>
        </w:tc>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P3 - Within 90 days</w:t>
            </w:r>
          </w:p>
        </w:tc>
      </w:tr>
    </w:tbl>
    <w:p>
      <w:pPr>
        <w:pStyle w:val="Normal"/>
        <w:spacing w:lineRule="auto" w:line="276" w:before="0" w:after="26"/>
        <w:rPr>
          <w:rFonts w:ascii="Times New Roman" w:hAnsi="Times New Roman"/>
          <w:color w:val="2B2D38"/>
          <w:sz w:val="20"/>
          <w:szCs w:val="20"/>
          <w:u w:val="single"/>
        </w:rPr>
      </w:pPr>
      <w:r>
        <w:rPr>
          <w:rFonts w:ascii="Times New Roman" w:hAnsi="Times New Roman"/>
          <w:color w:val="2B2D38"/>
          <w:sz w:val="20"/>
          <w:szCs w:val="20"/>
          <w:u w:val="single"/>
        </w:rPr>
      </w:r>
    </w:p>
    <w:p>
      <w:pPr>
        <w:pStyle w:val="Normal"/>
        <w:bidi w:val="0"/>
        <w:spacing w:lineRule="auto" w:line="240" w:before="0" w:after="0"/>
        <w:jc w:val="start"/>
        <w:rPr>
          <w:rFonts w:ascii="Times New Roman" w:hAnsi="Times New Roman"/>
          <w:sz w:val="28"/>
          <w:szCs w:val="28"/>
        </w:rPr>
      </w:pPr>
      <w:r>
        <w:rPr>
          <w:rFonts w:ascii="Times New Roman" w:hAnsi="Times New Roman"/>
          <w:sz w:val="28"/>
          <w:szCs w:val="28"/>
        </w:rPr>
        <w:t>6. DETAILED FINDINGS</w:t>
      </w:r>
    </w:p>
    <w:p>
      <w:pPr>
        <w:pStyle w:val="Normal"/>
        <w:spacing w:lineRule="auto" w:line="276" w:before="114" w:after="114"/>
        <w:rPr>
          <w:rFonts w:ascii="Times New Roman" w:hAnsi="Times New Roman"/>
          <w:sz w:val="20"/>
          <w:szCs w:val="20"/>
        </w:rPr>
      </w:pPr>
      <w:r>
        <w:rPr>
          <w:rFonts w:ascii="Times New Roman" w:hAnsi="Times New Roman"/>
          <w:sz w:val="20"/>
          <w:szCs w:val="20"/>
        </w:rPr>
        <w:t>Each finding lists the affected asset, evidence, impact, remediation steps and how to verify the fix. Findings are presented in priority order.</w:t>
      </w:r>
    </w:p>
    <w:p>
      <w:pPr>
        <w:pStyle w:val="Heading2"/>
        <w:spacing w:before="106" w:after="57"/>
        <w:rPr>
          <w:rFonts w:ascii="Times New Roman" w:hAnsi="Times New Roman"/>
          <w:color w:val="000000"/>
        </w:rPr>
      </w:pPr>
      <w:r>
        <w:rPr>
          <w:rFonts w:ascii="Times New Roman" w:hAnsi="Times New Roman"/>
          <w:color w:val="000000"/>
        </w:rPr>
        <w:t>VA-01: Log4j2 JNDI remote code execution (Log4Shell)</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ORD-API-01 order management API</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CVE-2021-44228</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10.0 (Critical)  CVSS:3.1/AV:N/AC:L/PR:N/UI:N/S:C/C:H/I:H/A:H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19.5  |  Rank 1 of 13  |  P1 - Immediate (72h)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The order-management API runs Apache Log4j2 2.14.1, which resolves JNDI lookups inside logged strings (CVE-2021-44228, Log4Shell). Any attacker-controlled value that reaches a log statement, such as the User-Agent or a search field, can cause the server to load and run remote code.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Dependency scan (e.g. OWASP Dependency-Check or Syft/Grype) reports log4j-core-2.14.1.jar on ORD-API-01. A benign out-of-band DNS callback test using an authorised canary domain confirmed the lookup is processed.</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Unauthenticated remote code execution on the system that holds every customer order and payment token reference. Full server takeover, data theft and ransomware staging are all realistic outcomes. CVE-2021-44228 is in CISA's Known Exploited Vulnerabilities (KEV) catalog.</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Upgrade Log4j2 to 2.17.1 or later (Java 8) and redeploy.</w:t>
            </w:r>
          </w:p>
          <w:p>
            <w:pPr>
              <w:pStyle w:val="Normal"/>
              <w:rPr>
                <w:rFonts w:ascii="Times New Roman" w:hAnsi="Times New Roman"/>
                <w:color w:val="000000"/>
              </w:rPr>
            </w:pPr>
            <w:r>
              <w:rPr>
                <w:rFonts w:ascii="Times New Roman" w:hAnsi="Times New Roman"/>
                <w:color w:val="000000"/>
                <w:sz w:val="20"/>
                <w:szCs w:val="20"/>
              </w:rPr>
              <w:t>2) Until patched, remove the JndiLookup class from log4j-core and block outbound LDAP/RMI/DNS from the API tier.</w:t>
            </w:r>
          </w:p>
          <w:p>
            <w:pPr>
              <w:pStyle w:val="Normal"/>
              <w:rPr>
                <w:rFonts w:ascii="Times New Roman" w:hAnsi="Times New Roman"/>
                <w:color w:val="000000"/>
              </w:rPr>
            </w:pPr>
            <w:r>
              <w:rPr>
                <w:rFonts w:ascii="Times New Roman" w:hAnsi="Times New Roman"/>
                <w:color w:val="000000"/>
                <w:sz w:val="20"/>
                <w:szCs w:val="20"/>
              </w:rPr>
              <w:t>3) Add a WAF rule for ${jndi: patterns as a stop-gap, not a fix.</w:t>
            </w:r>
          </w:p>
          <w:p>
            <w:pPr>
              <w:pStyle w:val="Normal"/>
              <w:rPr>
                <w:rFonts w:ascii="Times New Roman" w:hAnsi="Times New Roman"/>
                <w:color w:val="000000"/>
              </w:rPr>
            </w:pPr>
            <w:r>
              <w:rPr>
                <w:rFonts w:ascii="Times New Roman" w:hAnsi="Times New Roman"/>
                <w:color w:val="000000"/>
                <w:sz w:val="20"/>
                <w:szCs w:val="20"/>
              </w:rPr>
              <w:t>4) Hunt logs for jndi: strings dating back to December 2021.</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Re-run dependency scan and canary test; confirm log4j-core &gt;= 2.17.1 in the software bill of materials.</w:t>
            </w:r>
          </w:p>
        </w:tc>
      </w:tr>
    </w:tbl>
    <w:p>
      <w:pPr>
        <w:pStyle w:val="Normal"/>
        <w:spacing w:before="0" w:after="160"/>
        <w:rPr>
          <w:rFonts w:ascii="Times New Roman" w:hAnsi="Times New Roman"/>
          <w:color w:val="000000"/>
        </w:rPr>
      </w:pPr>
      <w:r>
        <w:rPr>
          <w:rFonts w:ascii="Times New Roman" w:hAnsi="Times New Roman"/>
          <w:color w:val="000000"/>
        </w:rPr>
      </w:r>
    </w:p>
    <w:p>
      <w:pPr>
        <w:pStyle w:val="Heading2"/>
        <w:spacing w:before="220" w:after="120"/>
        <w:rPr>
          <w:rFonts w:ascii="Times New Roman" w:hAnsi="Times New Roman"/>
          <w:color w:val="000000"/>
        </w:rPr>
      </w:pPr>
      <w:r>
        <w:rPr>
          <w:rFonts w:ascii="Times New Roman" w:hAnsi="Times New Roman"/>
          <w:color w:val="000000"/>
        </w:rPr>
        <w:t>VA-02: MOVEit Transfer SQL injection</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FTS-01 partner file transfer server</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CVE-2023-34362</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9.8 (Critical)  CVSS:3.1/AV:N/AC:L/PR:N/UI:N/S:U/C:H/I:H/A:H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17.6  |  Rank 2 of 13  |  P1 - Immediate (72h)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The partner file-transfer server runs a MOVEit Transfer build that predates the 31 May 2023 fixes for CVE-2023-34362, an SQL injection in the web application that lets an unauthenticated attacker reach the database and plant a web shell.</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Version banner and file-hash comparison place FTS-01 in the vulnerable range. The HTTPS interface is reachable from the internet for partner uploads.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Mass theft of partner and customer files, which is exactly how the 2023 MOVEit campaign operated. The vulnerability is on CISA's KEV list. Contractual breach-notification duties to partners would also be triggered.</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Apply the current vendor patch immediately and take the server offline until it is applied.</w:t>
            </w:r>
          </w:p>
          <w:p>
            <w:pPr>
              <w:pStyle w:val="Normal"/>
              <w:rPr>
                <w:rFonts w:ascii="Times New Roman" w:hAnsi="Times New Roman"/>
                <w:color w:val="000000"/>
              </w:rPr>
            </w:pPr>
            <w:r>
              <w:rPr>
                <w:rFonts w:ascii="Times New Roman" w:hAnsi="Times New Roman"/>
                <w:color w:val="000000"/>
                <w:sz w:val="20"/>
                <w:szCs w:val="20"/>
              </w:rPr>
              <w:t>2) Check for the known web-shell filename human2.aspx and for unexpected new admin accounts and sessions.</w:t>
            </w:r>
          </w:p>
          <w:p>
            <w:pPr>
              <w:pStyle w:val="Normal"/>
              <w:rPr>
                <w:rFonts w:ascii="Times New Roman" w:hAnsi="Times New Roman"/>
                <w:color w:val="000000"/>
              </w:rPr>
            </w:pPr>
            <w:r>
              <w:rPr>
                <w:rFonts w:ascii="Times New Roman" w:hAnsi="Times New Roman"/>
                <w:color w:val="000000"/>
                <w:sz w:val="20"/>
                <w:szCs w:val="20"/>
              </w:rPr>
              <w:t>3) Restrict inbound HTTPS to partner IP ranges.</w:t>
            </w:r>
          </w:p>
          <w:p>
            <w:pPr>
              <w:pStyle w:val="Normal"/>
              <w:rPr>
                <w:rFonts w:ascii="Times New Roman" w:hAnsi="Times New Roman"/>
                <w:color w:val="000000"/>
              </w:rPr>
            </w:pPr>
            <w:r>
              <w:rPr>
                <w:rFonts w:ascii="Times New Roman" w:hAnsi="Times New Roman"/>
                <w:color w:val="000000"/>
                <w:sz w:val="20"/>
                <w:szCs w:val="20"/>
              </w:rPr>
              <w:t>4) Rotate service-account credentials and API keys stored on the host.</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Confirm patched version, clean indicator-of-compromise sweep, and that external access is limited to the allow-list.</w:t>
            </w:r>
          </w:p>
        </w:tc>
      </w:tr>
    </w:tbl>
    <w:p>
      <w:pPr>
        <w:pStyle w:val="Heading2"/>
        <w:spacing w:before="220" w:after="120"/>
        <w:rPr>
          <w:rFonts w:ascii="Times New Roman" w:hAnsi="Times New Roman"/>
          <w:color w:val="000000"/>
        </w:rPr>
      </w:pPr>
      <w:r>
        <w:rPr>
          <w:rFonts w:ascii="Times New Roman" w:hAnsi="Times New Roman"/>
          <w:color w:val="000000"/>
        </w:rPr>
        <w:t>VA-03: Netlogon elevation of privilege (Zerologon)</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DC-02 secondary domain controller</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CVE-2020-1472</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10.0 (Critical)  CVSS:3.1/AV:N/AC:L/PR:N/UI:N/S:C/C:H/I:H/A:H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16.2  |  Rank 3 of 13  |  P1 - Immediate (72h)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Secondary domain controller DC-02 does not enforce secure RPC for Netlogon sessions, leaving it exposed to CVE-2020-1472 (Zerologon). An attacker with any network foothold can reset the machine account password and take over the domain.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An authorised, non-destructive check showed the Netlogon secure-channel handshake accepted a zero-filled client credential. Windows update level is earlier than the February 2021 enforcement release.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Complete Active Directory compromise from a single internal foothold, enabling access to every domain-joined system. Listed in CISA's KEV catalog.</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Install the cumulative update that enforces secure RPC (February 2021 or later).</w:t>
            </w:r>
          </w:p>
          <w:p>
            <w:pPr>
              <w:pStyle w:val="Normal"/>
              <w:rPr>
                <w:rFonts w:ascii="Times New Roman" w:hAnsi="Times New Roman"/>
                <w:color w:val="000000"/>
              </w:rPr>
            </w:pPr>
            <w:r>
              <w:rPr>
                <w:rFonts w:ascii="Times New Roman" w:hAnsi="Times New Roman"/>
                <w:color w:val="000000"/>
                <w:sz w:val="20"/>
                <w:szCs w:val="20"/>
              </w:rPr>
              <w:t>2) Review Netlogon event IDs 5827-5831 for non-compliant devices before enforcement.</w:t>
            </w:r>
          </w:p>
          <w:p>
            <w:pPr>
              <w:pStyle w:val="Normal"/>
              <w:rPr>
                <w:rFonts w:ascii="Times New Roman" w:hAnsi="Times New Roman"/>
                <w:color w:val="000000"/>
              </w:rPr>
            </w:pPr>
            <w:r>
              <w:rPr>
                <w:rFonts w:ascii="Times New Roman" w:hAnsi="Times New Roman"/>
                <w:color w:val="000000"/>
                <w:sz w:val="20"/>
                <w:szCs w:val="20"/>
              </w:rPr>
              <w:t>3) Add detection for unusual domain controller machine-account password changes.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Re-run the Zerologon check; verify enforcement mode is active on all domain controllers.</w:t>
            </w:r>
          </w:p>
        </w:tc>
      </w:tr>
    </w:tbl>
    <w:p>
      <w:pPr>
        <w:pStyle w:val="Heading2"/>
        <w:spacing w:before="220" w:after="120"/>
        <w:rPr>
          <w:rFonts w:ascii="Times New Roman" w:hAnsi="Times New Roman"/>
          <w:color w:val="000000"/>
        </w:rPr>
      </w:pPr>
      <w:r>
        <w:rPr>
          <w:rFonts w:ascii="Times New Roman" w:hAnsi="Times New Roman"/>
          <w:color w:val="000000"/>
        </w:rPr>
        <w:t>VA-06: No multi-factor authentication on VPN and webmail</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Remote access gateway and mail portal</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Configuration or design weakness (no CVE)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9.1 (Critical)  CVSS:3.1/AV:N/AC:L/PR:N/UI:N/S:U/C:H/I:H/A:N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14.2  |  Rank 4 of 13  |  P1 - Immediate (72h)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The remote-access VPN and webmail portal accept a username and password only. No second factor is required, so a single stolen or reused credential gives full access.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Login flow review and configuration check show no MFA policy on either service. Password-spray testing (authorised, rate-limited, three attempts per account) matched 4 of 450 sampled accounts to a common-password list.</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Account takeover leading to network access, email compromise and business email fraud. Verizon's 2025 DBIR reports credential abuse as the initial access vector in 22% of breaches.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Enforce phishing-resistant MFA (FIDO2/WebAuthn or authenticator app with number matching) on VPN, webmail, admin consoles and the cloud portal.</w:t>
            </w:r>
          </w:p>
          <w:p>
            <w:pPr>
              <w:pStyle w:val="Normal"/>
              <w:rPr>
                <w:rFonts w:ascii="Times New Roman" w:hAnsi="Times New Roman"/>
                <w:color w:val="000000"/>
              </w:rPr>
            </w:pPr>
            <w:r>
              <w:rPr>
                <w:rFonts w:ascii="Times New Roman" w:hAnsi="Times New Roman"/>
                <w:color w:val="000000"/>
                <w:sz w:val="20"/>
                <w:szCs w:val="20"/>
              </w:rPr>
              <w:t>2) Block legacy authentication protocols that bypass MFA.</w:t>
            </w:r>
          </w:p>
          <w:p>
            <w:pPr>
              <w:pStyle w:val="Normal"/>
              <w:rPr>
                <w:rFonts w:ascii="Times New Roman" w:hAnsi="Times New Roman"/>
                <w:color w:val="000000"/>
              </w:rPr>
            </w:pPr>
            <w:r>
              <w:rPr>
                <w:rFonts w:ascii="Times New Roman" w:hAnsi="Times New Roman"/>
                <w:color w:val="000000"/>
                <w:sz w:val="20"/>
                <w:szCs w:val="20"/>
              </w:rPr>
              <w:t>3) Screen new passwords against breached-password lists and add lockout and alerting for spray patterns.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Attempt login without second factor from a test account and confirm denial; review sign-in logs for legacy-protocol use.</w:t>
            </w:r>
          </w:p>
        </w:tc>
      </w:tr>
    </w:tbl>
    <w:p>
      <w:pPr>
        <w:pStyle w:val="Heading2"/>
        <w:spacing w:before="220" w:after="120"/>
        <w:rPr>
          <w:rFonts w:ascii="Times New Roman" w:hAnsi="Times New Roman"/>
          <w:color w:val="000000"/>
        </w:rPr>
      </w:pPr>
      <w:r>
        <w:rPr>
          <w:rFonts w:ascii="Times New Roman" w:hAnsi="Times New Roman"/>
          <w:color w:val="000000"/>
        </w:rPr>
        <w:t>VA-09: SQL injection in customer portal search</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Customer portal (web application)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Configuration or design weakness (no CVE)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9.1 (Critical)  CVSS:3.1/AV:N/AC:L/PR:N/UI:N/S:U/C:H/I:H/A:N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14.2  |  Rank 5 of 13  |  P1 - Immediate (72h)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The search parameter on the customer portal is concatenated into an SQL query without parameterisation (OWASP Top 10 2021 A03: Injection).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 single quote in the search field returned a database error message, and a boolean-based test (' AND 1=1-- versus ' AND 1=2--) produced different results. No data was extracted during testing.</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Read access to the customer database, including accounts and order history, and potentially modification of data. Direct breach of confidentiality and integrity for the highest-value application.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Replace string-built queries with parameterised queries or an ORM.</w:t>
            </w:r>
          </w:p>
          <w:p>
            <w:pPr>
              <w:pStyle w:val="Normal"/>
              <w:rPr>
                <w:rFonts w:ascii="Times New Roman" w:hAnsi="Times New Roman"/>
                <w:color w:val="000000"/>
              </w:rPr>
            </w:pPr>
            <w:r>
              <w:rPr>
                <w:rFonts w:ascii="Times New Roman" w:hAnsi="Times New Roman"/>
                <w:color w:val="000000"/>
                <w:sz w:val="20"/>
                <w:szCs w:val="20"/>
              </w:rPr>
              <w:t>2) Run the database account with least privilege (no DDL, read-only where possible).</w:t>
            </w:r>
          </w:p>
          <w:p>
            <w:pPr>
              <w:pStyle w:val="Normal"/>
              <w:rPr>
                <w:rFonts w:ascii="Times New Roman" w:hAnsi="Times New Roman"/>
                <w:color w:val="000000"/>
              </w:rPr>
            </w:pPr>
            <w:r>
              <w:rPr>
                <w:rFonts w:ascii="Times New Roman" w:hAnsi="Times New Roman"/>
                <w:color w:val="000000"/>
                <w:sz w:val="20"/>
                <w:szCs w:val="20"/>
              </w:rPr>
              <w:t>3) Suppress detailed error messages from users.</w:t>
            </w:r>
          </w:p>
          <w:p>
            <w:pPr>
              <w:pStyle w:val="Normal"/>
              <w:rPr>
                <w:rFonts w:ascii="Times New Roman" w:hAnsi="Times New Roman"/>
                <w:color w:val="000000"/>
              </w:rPr>
            </w:pPr>
            <w:r>
              <w:rPr>
                <w:rFonts w:ascii="Times New Roman" w:hAnsi="Times New Roman"/>
                <w:color w:val="000000"/>
                <w:sz w:val="20"/>
                <w:szCs w:val="20"/>
              </w:rPr>
              <w:t>4) Add a WAF rule as defence in depth and include SAST/DAST in the CI pipeline.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Repeat the injection tests; run an authenticated DAST scan (e.g. OWASP ZAP) with no injection findings.</w:t>
            </w:r>
          </w:p>
        </w:tc>
      </w:tr>
    </w:tbl>
    <w:p>
      <w:pPr>
        <w:pStyle w:val="Heading2"/>
        <w:spacing w:before="220" w:after="120"/>
        <w:rPr>
          <w:rFonts w:ascii="Times New Roman" w:hAnsi="Times New Roman"/>
          <w:color w:val="000000"/>
        </w:rPr>
      </w:pPr>
      <w:r>
        <w:rPr>
          <w:rFonts w:ascii="Times New Roman" w:hAnsi="Times New Roman"/>
          <w:color w:val="000000"/>
        </w:rPr>
        <w:t>VA-04: SMBv1 remote code execution (EternalBlue)</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WMS-01 legacy warehouse management host</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CVE-2017-0144</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8.1 (High)  CVSS:3.1/AV:N/AC:H/PR:N/UI:N/S:U/C:H/I:H/A:H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12.1  |  Rank 6 of 13  |  P2 - Within 30 days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WMS-01, a legacy Windows Server 2008 R2 host running the warehouse management system, still has SMBv1 enabled and lacks the MS17-010 patch, leaving it open to the EternalBlue exploit (CVE-2017-0144).</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Port 445/tcp is open and a safe Nmap smb-vuln-ms17-010 script check reports the host as vulnerable. The host cannot be upgraded because the vendor application does not support newer Windows versions.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Remote code execution and worm-style lateral movement, as seen in WannaCry and NotPetya. Warehouse outage would halt order fulfilment. Listed in CISA's KEV catalog.</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Apply MS17-010 if possible and disable SMBv1 in Windows features.</w:t>
            </w:r>
          </w:p>
          <w:p>
            <w:pPr>
              <w:pStyle w:val="Normal"/>
              <w:rPr>
                <w:rFonts w:ascii="Times New Roman" w:hAnsi="Times New Roman"/>
                <w:color w:val="000000"/>
              </w:rPr>
            </w:pPr>
            <w:r>
              <w:rPr>
                <w:rFonts w:ascii="Times New Roman" w:hAnsi="Times New Roman"/>
                <w:color w:val="000000"/>
                <w:sz w:val="20"/>
                <w:szCs w:val="20"/>
              </w:rPr>
              <w:t>2) Because the OS is out of support, place WMS-01 in its own VLAN with a firewall allowing only the ports the application needs.</w:t>
            </w:r>
          </w:p>
          <w:p>
            <w:pPr>
              <w:pStyle w:val="Normal"/>
              <w:rPr>
                <w:rFonts w:ascii="Times New Roman" w:hAnsi="Times New Roman"/>
                <w:color w:val="000000"/>
              </w:rPr>
            </w:pPr>
            <w:r>
              <w:rPr>
                <w:rFonts w:ascii="Times New Roman" w:hAnsi="Times New Roman"/>
                <w:color w:val="000000"/>
                <w:sz w:val="20"/>
                <w:szCs w:val="20"/>
              </w:rPr>
              <w:t>3) Plan migration to a supported OS, with a business case tied to the downtime risk.</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Re-scan for MS17-010; confirm SMBv1 disabled and firewall rules block 445 from all other segments.</w:t>
            </w:r>
          </w:p>
        </w:tc>
      </w:tr>
    </w:tbl>
    <w:p>
      <w:pPr>
        <w:pStyle w:val="Heading2"/>
        <w:spacing w:before="220" w:after="120"/>
        <w:rPr>
          <w:rFonts w:ascii="Times New Roman" w:hAnsi="Times New Roman"/>
          <w:color w:val="000000"/>
        </w:rPr>
      </w:pPr>
      <w:r>
        <w:rPr>
          <w:rFonts w:ascii="Times New Roman" w:hAnsi="Times New Roman"/>
          <w:color w:val="000000"/>
        </w:rPr>
        <w:t>VA-05: OpenSSH signal handler race condition (regreSSHion)</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JMP-01 SSH jump host</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CVE-2024-6387</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8.1 (High)  CVSS:3.1/AV:N/AC:H/PR:N/UI:N/S:U/C:H/I:H/A:H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11.7  |  Rank 7 of 13  |  P2 - Within 30 days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The SSH jump host runs OpenSSH 9.2p1, within the 8.5p1-9.7p1 range affected by CVE-2024-6387 (regreSSHion), a signal-handler race condition that can lead to unauthenticated code execution as root on glibc-based Linux.</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SSH banner and package inventory show OpenSSH 9.2p1 with no vendor back-port. Exploitation is difficult (high attack complexity) because it requires many timed connection attempts.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 compromised jump host exposes the administrative path into production servers. The difficulty of exploitation lowers likelihood, so it is scored High rather than Critical.</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Upgrade OpenSSH to 9.8p1 or install the distribution's patched package.</w:t>
            </w:r>
          </w:p>
          <w:p>
            <w:pPr>
              <w:pStyle w:val="Normal"/>
              <w:rPr>
                <w:rFonts w:ascii="Times New Roman" w:hAnsi="Times New Roman"/>
                <w:color w:val="000000"/>
              </w:rPr>
            </w:pPr>
            <w:r>
              <w:rPr>
                <w:rFonts w:ascii="Times New Roman" w:hAnsi="Times New Roman"/>
                <w:color w:val="000000"/>
                <w:sz w:val="20"/>
                <w:szCs w:val="20"/>
              </w:rPr>
              <w:t>2) As a temporary measure set LoginGraceTime to 0 (this trades the race for connection exhaustion, so monitor MaxStartups).</w:t>
            </w:r>
          </w:p>
          <w:p>
            <w:pPr>
              <w:pStyle w:val="Normal"/>
              <w:rPr>
                <w:rFonts w:ascii="Times New Roman" w:hAnsi="Times New Roman"/>
                <w:color w:val="000000"/>
              </w:rPr>
            </w:pPr>
            <w:r>
              <w:rPr>
                <w:rFonts w:ascii="Times New Roman" w:hAnsi="Times New Roman"/>
                <w:color w:val="000000"/>
                <w:sz w:val="20"/>
                <w:szCs w:val="20"/>
              </w:rPr>
              <w:t>3) Restrict SSH to the corporate VPN range and enable fail2ban-style rate limiting.</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Confirm patched version via banner and package manager; verify firewall restricts source addresses.</w:t>
            </w:r>
          </w:p>
        </w:tc>
      </w:tr>
    </w:tbl>
    <w:p>
      <w:pPr>
        <w:pStyle w:val="Heading2"/>
        <w:spacing w:before="220" w:after="120"/>
        <w:rPr>
          <w:rFonts w:ascii="Times New Roman" w:hAnsi="Times New Roman"/>
          <w:color w:val="000000"/>
        </w:rPr>
      </w:pPr>
      <w:r>
        <w:rPr>
          <w:rFonts w:ascii="Times New Roman" w:hAnsi="Times New Roman"/>
          <w:color w:val="000000"/>
        </w:rPr>
        <w:t>VA-08: Internet-exposed RDP without lockout or NLA</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FIN-WS-07 finance workstation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Configuration or design weakness (no CVE)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8.1 (High)  CVSS:3.1/AV:N/AC:H/PR:N/UI:N/S:U/C:H/I:H/A:H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11.7  |  Rank 8 of 13  |  P2 - Within 30 days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Finance workstation FIN-WS-07 exposes Remote Desktop (3389/tcp) directly to the internet. Network Level Authentication is off and there is no account lockout policy.</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External port scan shows 3389 open. Configuration review shows NLA disabled and an unlimited number of failed logons allowed.</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Brute-force or credential-stuffing access to a machine with banking and payroll access, a very common ransomware entry point.</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Close 3389 at the perimeter firewall immediately.</w:t>
            </w:r>
          </w:p>
          <w:p>
            <w:pPr>
              <w:pStyle w:val="Normal"/>
              <w:rPr>
                <w:rFonts w:ascii="Times New Roman" w:hAnsi="Times New Roman"/>
                <w:color w:val="000000"/>
              </w:rPr>
            </w:pPr>
            <w:r>
              <w:rPr>
                <w:rFonts w:ascii="Times New Roman" w:hAnsi="Times New Roman"/>
                <w:color w:val="000000"/>
                <w:sz w:val="20"/>
                <w:szCs w:val="20"/>
              </w:rPr>
              <w:t>2) Offer remote access only through the MFA-protected VPN or a gateway.</w:t>
            </w:r>
          </w:p>
          <w:p>
            <w:pPr>
              <w:pStyle w:val="Normal"/>
              <w:rPr>
                <w:rFonts w:ascii="Times New Roman" w:hAnsi="Times New Roman"/>
                <w:color w:val="000000"/>
              </w:rPr>
            </w:pPr>
            <w:r>
              <w:rPr>
                <w:rFonts w:ascii="Times New Roman" w:hAnsi="Times New Roman"/>
                <w:color w:val="000000"/>
                <w:sz w:val="20"/>
                <w:szCs w:val="20"/>
              </w:rPr>
              <w:t>3) Enable NLA and set an account lockout threshold (for example 5 attempts).</w:t>
            </w:r>
          </w:p>
          <w:p>
            <w:pPr>
              <w:pStyle w:val="Normal"/>
              <w:rPr>
                <w:rFonts w:ascii="Times New Roman" w:hAnsi="Times New Roman"/>
                <w:color w:val="000000"/>
              </w:rPr>
            </w:pPr>
            <w:r>
              <w:rPr>
                <w:rFonts w:ascii="Times New Roman" w:hAnsi="Times New Roman"/>
                <w:color w:val="000000"/>
                <w:sz w:val="20"/>
                <w:szCs w:val="20"/>
              </w:rPr>
              <w:t>4) Alert on repeated failed RDP logons (Event ID 4625).</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External rescan confirms the port is closed; test lockout behaviour with a disposable account.</w:t>
            </w:r>
          </w:p>
        </w:tc>
      </w:tr>
    </w:tbl>
    <w:p>
      <w:pPr>
        <w:pStyle w:val="Heading2"/>
        <w:spacing w:before="220" w:after="120"/>
        <w:rPr>
          <w:rFonts w:ascii="Times New Roman" w:hAnsi="Times New Roman"/>
          <w:color w:val="000000"/>
        </w:rPr>
      </w:pPr>
      <w:r>
        <w:rPr>
          <w:rFonts w:ascii="Times New Roman" w:hAnsi="Times New Roman"/>
          <w:color w:val="000000"/>
        </w:rPr>
        <w:t>VA-11: Flat network: warehouse VLAN can reach payment database subnet</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Core switching and firewall rules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Configuration or design weakness (no CVE)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8.7 (High)  CVSS:3.1/AV:A/AC:L/PR:L/UI:N/S:C/C:H/I:H/A:N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11.3  |  Rank 9 of 13  |  P2 - Within 30 days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Firewall and switch rules allow the warehouse VLAN to reach the payment database subnet on all ports. The network is effectively flat between operational technology and cardholder-data systems.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Firewall rule review and a connectivity test from a warehouse host reached the database listener on its management and data ports.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Any compromise in the warehouse (see VA-04 and VA-10) can pivot straight to cardholder data. It also puts the PCI-DSS scope boundary in question, because out-of-scope systems have access to in-scope ones.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Segment the cardholder-data environment into its own VLAN behind a default-deny firewall.</w:t>
            </w:r>
          </w:p>
          <w:p>
            <w:pPr>
              <w:pStyle w:val="Normal"/>
              <w:rPr>
                <w:rFonts w:ascii="Times New Roman" w:hAnsi="Times New Roman"/>
                <w:color w:val="000000"/>
              </w:rPr>
            </w:pPr>
            <w:r>
              <w:rPr>
                <w:rFonts w:ascii="Times New Roman" w:hAnsi="Times New Roman"/>
                <w:color w:val="000000"/>
                <w:sz w:val="20"/>
                <w:szCs w:val="20"/>
              </w:rPr>
              <w:t>2) Permit only the specific application-to-database ports needed.</w:t>
            </w:r>
          </w:p>
          <w:p>
            <w:pPr>
              <w:pStyle w:val="Normal"/>
              <w:rPr>
                <w:rFonts w:ascii="Times New Roman" w:hAnsi="Times New Roman"/>
                <w:color w:val="000000"/>
              </w:rPr>
            </w:pPr>
            <w:r>
              <w:rPr>
                <w:rFonts w:ascii="Times New Roman" w:hAnsi="Times New Roman"/>
                <w:color w:val="000000"/>
                <w:sz w:val="20"/>
                <w:szCs w:val="20"/>
              </w:rPr>
              <w:t>3) Review and document all rules, removing 'any-any' entries.</w:t>
            </w:r>
          </w:p>
          <w:p>
            <w:pPr>
              <w:pStyle w:val="Normal"/>
              <w:rPr>
                <w:rFonts w:ascii="Times New Roman" w:hAnsi="Times New Roman"/>
                <w:color w:val="000000"/>
              </w:rPr>
            </w:pPr>
            <w:r>
              <w:rPr>
                <w:rFonts w:ascii="Times New Roman" w:hAnsi="Times New Roman"/>
                <w:color w:val="000000"/>
                <w:sz w:val="20"/>
                <w:szCs w:val="20"/>
              </w:rPr>
              <w:t>4) Validate segmentation with a PCI-style segmentation test.</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Repeat connectivity tests from the warehouse VLAN and confirm all ports are blocked.</w:t>
            </w:r>
          </w:p>
        </w:tc>
      </w:tr>
    </w:tbl>
    <w:p>
      <w:pPr>
        <w:pStyle w:val="Heading2"/>
        <w:spacing w:before="220" w:after="120"/>
        <w:rPr>
          <w:rFonts w:ascii="Times New Roman" w:hAnsi="Times New Roman"/>
          <w:color w:val="000000"/>
        </w:rPr>
      </w:pPr>
      <w:r>
        <w:rPr>
          <w:rFonts w:ascii="Times New Roman" w:hAnsi="Times New Roman"/>
          <w:color w:val="000000"/>
        </w:rPr>
        <w:t>VA-07: Publicly readable cloud storage bucket with order exports</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Cloud bucket nimbus-order-exports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Configuration or design weakness (no CVE)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7.5 (High)  CVSS:3.1/AV:N/AC:L/PR:N/UI:N/S:U/C:H/I:N/A:N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10.8  |  Rank 10 of 13  |  P2 - Within 30 days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The cloud storage bucket nimbus-order-exports allows public read access. It contains daily CSV exports of customer names, delivery addresses and order totals used by the marketing team.</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An unauthenticated HTTP listing request returned the object index. Sample inspection (headers only, no download of personal data) confirmed customer fields are present. The bucket policy grants read to all principals.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Direct exposure of customer personal data to anyone on the internet, with data-protection and breach-notification consequences. No exploit skill is needed.</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Enable account-wide Block Public Access and remove the public-read policy.</w:t>
            </w:r>
          </w:p>
          <w:p>
            <w:pPr>
              <w:pStyle w:val="Normal"/>
              <w:rPr>
                <w:rFonts w:ascii="Times New Roman" w:hAnsi="Times New Roman"/>
                <w:color w:val="000000"/>
              </w:rPr>
            </w:pPr>
            <w:r>
              <w:rPr>
                <w:rFonts w:ascii="Times New Roman" w:hAnsi="Times New Roman"/>
                <w:color w:val="000000"/>
                <w:sz w:val="20"/>
                <w:szCs w:val="20"/>
              </w:rPr>
              <w:t>2) Move the export to a private location with signed, expiring links.</w:t>
            </w:r>
          </w:p>
          <w:p>
            <w:pPr>
              <w:pStyle w:val="Normal"/>
              <w:rPr>
                <w:rFonts w:ascii="Times New Roman" w:hAnsi="Times New Roman"/>
                <w:color w:val="000000"/>
              </w:rPr>
            </w:pPr>
            <w:r>
              <w:rPr>
                <w:rFonts w:ascii="Times New Roman" w:hAnsi="Times New Roman"/>
                <w:color w:val="000000"/>
                <w:sz w:val="20"/>
                <w:szCs w:val="20"/>
              </w:rPr>
              <w:t>3) Enable access logging and run a configuration-drift check (e.g. AWS Config or Prowler) weekly.</w:t>
            </w:r>
          </w:p>
          <w:p>
            <w:pPr>
              <w:pStyle w:val="Normal"/>
              <w:rPr>
                <w:rFonts w:ascii="Times New Roman" w:hAnsi="Times New Roman"/>
                <w:color w:val="000000"/>
              </w:rPr>
            </w:pPr>
            <w:r>
              <w:rPr>
                <w:rFonts w:ascii="Times New Roman" w:hAnsi="Times New Roman"/>
                <w:color w:val="000000"/>
                <w:sz w:val="20"/>
                <w:szCs w:val="20"/>
              </w:rPr>
              <w:t>4) Assess whether the bucket was accessed externally and notify as required.</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Repeat the unauthenticated request and confirm a 403; confirm the configuration check passes.</w:t>
            </w:r>
          </w:p>
        </w:tc>
      </w:tr>
    </w:tbl>
    <w:p>
      <w:pPr>
        <w:pStyle w:val="Heading2"/>
        <w:spacing w:before="220" w:after="120"/>
        <w:rPr>
          <w:rFonts w:ascii="Times New Roman" w:hAnsi="Times New Roman"/>
          <w:color w:val="000000"/>
        </w:rPr>
      </w:pPr>
      <w:r>
        <w:rPr>
          <w:rFonts w:ascii="Times New Roman" w:hAnsi="Times New Roman"/>
          <w:color w:val="000000"/>
        </w:rPr>
        <w:t>VA-13: Unencrypted backups on a share writable by domain users</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BKP-01 backup server</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Configuration or design weakness (no CVE)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8.0 (High)  CVSS:3.1/AV:A/AC:L/PR:L/UI:N/S:U/C:H/I:H/A:H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10.4  |  Rank 11 of 13  |  P2 - Within 30 days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Backup server BKP-01 stores nightly backups of file servers and databases without encryption on a network share that is writable by all domain users.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Share permission review shows Domain Users with modify rights. Backup files are readable without any key.</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Ransomware operators target backups first. Any compromised user account could delete or encrypt the only recovery copy, and any user can read the data it holds.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Restrict the share to the backup service account and administrators.</w:t>
            </w:r>
          </w:p>
          <w:p>
            <w:pPr>
              <w:pStyle w:val="Normal"/>
              <w:rPr>
                <w:rFonts w:ascii="Times New Roman" w:hAnsi="Times New Roman"/>
                <w:color w:val="000000"/>
              </w:rPr>
            </w:pPr>
            <w:r>
              <w:rPr>
                <w:rFonts w:ascii="Times New Roman" w:hAnsi="Times New Roman"/>
                <w:color w:val="000000"/>
                <w:sz w:val="20"/>
                <w:szCs w:val="20"/>
              </w:rPr>
              <w:t>2) Encrypt backups at rest and keep at least one copy offline or immutable.</w:t>
            </w:r>
          </w:p>
          <w:p>
            <w:pPr>
              <w:pStyle w:val="Normal"/>
              <w:rPr>
                <w:rFonts w:ascii="Times New Roman" w:hAnsi="Times New Roman"/>
                <w:color w:val="000000"/>
              </w:rPr>
            </w:pPr>
            <w:r>
              <w:rPr>
                <w:rFonts w:ascii="Times New Roman" w:hAnsi="Times New Roman"/>
                <w:color w:val="000000"/>
                <w:sz w:val="20"/>
                <w:szCs w:val="20"/>
              </w:rPr>
              <w:t>3) Test a full restore quarterly and record the result.</w:t>
            </w:r>
          </w:p>
          <w:p>
            <w:pPr>
              <w:pStyle w:val="Normal"/>
              <w:rPr>
                <w:rFonts w:ascii="Times New Roman" w:hAnsi="Times New Roman"/>
                <w:color w:val="000000"/>
              </w:rPr>
            </w:pPr>
            <w:r>
              <w:rPr>
                <w:rFonts w:ascii="Times New Roman" w:hAnsi="Times New Roman"/>
                <w:color w:val="000000"/>
                <w:sz w:val="20"/>
                <w:szCs w:val="20"/>
              </w:rPr>
              <w:t>4) Alert on mass deletion or modification of backup files.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Permission audit shows only authorised principals; a restore test completes from the immutable copy.</w:t>
            </w:r>
          </w:p>
        </w:tc>
      </w:tr>
    </w:tbl>
    <w:p>
      <w:pPr>
        <w:pStyle w:val="Heading2"/>
        <w:spacing w:before="220" w:after="120"/>
        <w:rPr>
          <w:rFonts w:ascii="Times New Roman" w:hAnsi="Times New Roman"/>
          <w:color w:val="000000"/>
        </w:rPr>
      </w:pPr>
      <w:r>
        <w:rPr>
          <w:rFonts w:ascii="Times New Roman" w:hAnsi="Times New Roman"/>
          <w:color w:val="000000"/>
        </w:rPr>
        <w:t>VA-10: Default credentials on warehouse cameras and printers</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Warehouse IoT devices (31 hosts)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Configuration or design weakness (no CVE)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8.8 (High)  CVSS:3.1/AV:A/AC:L/PR:N/UI:N/S:U/C:H/I:H/A:H</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8.8  |  Rank 12 of 13  |  P3 - Within 90 days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31 warehouse network cameras and label printers still use manufacturer default administrator credentials and expose web management interfaces on the warehouse VLAN.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Credential check against vendor default lists succeeded on 31 of 34 discovered devices.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 foothold inside the network, video surveillance exposure and possible use as a pivot or botnet node. Business criticality of the devices themselves is low, which is why the contextual index is lower than the CVSS score.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Change all default passwords to unique values stored in the password manager.</w:t>
            </w:r>
          </w:p>
          <w:p>
            <w:pPr>
              <w:pStyle w:val="Normal"/>
              <w:rPr>
                <w:rFonts w:ascii="Times New Roman" w:hAnsi="Times New Roman"/>
                <w:color w:val="000000"/>
              </w:rPr>
            </w:pPr>
            <w:r>
              <w:rPr>
                <w:rFonts w:ascii="Times New Roman" w:hAnsi="Times New Roman"/>
                <w:color w:val="000000"/>
                <w:sz w:val="20"/>
                <w:szCs w:val="20"/>
              </w:rPr>
              <w:t>2) Disable unused services (Telnet, UPnP) and update firmware.</w:t>
            </w:r>
          </w:p>
          <w:p>
            <w:pPr>
              <w:pStyle w:val="Normal"/>
              <w:rPr>
                <w:rFonts w:ascii="Times New Roman" w:hAnsi="Times New Roman"/>
                <w:color w:val="000000"/>
              </w:rPr>
            </w:pPr>
            <w:r>
              <w:rPr>
                <w:rFonts w:ascii="Times New Roman" w:hAnsi="Times New Roman"/>
                <w:color w:val="000000"/>
                <w:sz w:val="20"/>
                <w:szCs w:val="20"/>
              </w:rPr>
              <w:t>3) Keep IoT devices on an isolated VLAN with no route to servers.</w:t>
            </w:r>
          </w:p>
          <w:p>
            <w:pPr>
              <w:pStyle w:val="Normal"/>
              <w:rPr>
                <w:rFonts w:ascii="Times New Roman" w:hAnsi="Times New Roman"/>
                <w:color w:val="000000"/>
              </w:rPr>
            </w:pPr>
            <w:r>
              <w:rPr>
                <w:rFonts w:ascii="Times New Roman" w:hAnsi="Times New Roman"/>
                <w:color w:val="000000"/>
                <w:sz w:val="20"/>
                <w:szCs w:val="20"/>
              </w:rPr>
              <w:t>4) Make 'no default credentials' a procurement and onboarding checklist item.</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Re-run the default-credential check; confirm VLAN ACLs block traffic to server networks.</w:t>
            </w:r>
          </w:p>
        </w:tc>
      </w:tr>
    </w:tbl>
    <w:p>
      <w:pPr>
        <w:pStyle w:val="Heading2"/>
        <w:spacing w:before="220" w:after="120"/>
        <w:rPr>
          <w:rFonts w:ascii="Times New Roman" w:hAnsi="Times New Roman"/>
          <w:color w:val="000000"/>
        </w:rPr>
      </w:pPr>
      <w:r>
        <w:rPr>
          <w:rFonts w:ascii="Times New Roman" w:hAnsi="Times New Roman"/>
          <w:color w:val="000000"/>
        </w:rPr>
        <w:t>VA-12: Legacy TLS 1.0/1.1 and weak ciphers enabled</w:t>
      </w:r>
    </w:p>
    <w:tbl>
      <w:tblPr>
        <w:tblW w:w="9500" w:type="dxa"/>
        <w:jc w:val="start"/>
        <w:tblInd w:w="0" w:type="dxa"/>
        <w:tblLayout w:type="fixed"/>
        <w:tblCellMar>
          <w:top w:w="70" w:type="dxa"/>
          <w:start w:w="100" w:type="dxa"/>
          <w:bottom w:w="70" w:type="dxa"/>
          <w:end w:w="100" w:type="dxa"/>
        </w:tblCellMar>
      </w:tblPr>
      <w:tblGrid>
        <w:gridCol w:w="1900"/>
        <w:gridCol w:w="7600"/>
      </w:tblGrid>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Asset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Customer portal load balancer</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CVE / reference</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Configuration or design weakness (no CVE)</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CVSS v3.1</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5.9 (Medium)  CVSS:3.1/AV:N/AC:H/PR:N/UI:N/S:U/C:H/I:N/A:N</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Contextual risk</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CRI 7.8  |  Rank 13 of 13  |  P3 - Within 90 days</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Description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The customer portal load balancer still negotiates TLS 1.0 and TLS 1.1 and offers CBC-mode cipher suites regarded as weak.</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Evidence (simulated)</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A TLS scan (testssl.sh) shows TLS 1.0/1.1 enabled and a B grade. Exploitation requires a man-in-the-middle position, hence the high attack complexity.</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Business impact</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Reduced confidentiality of customer sessions on hostile networks and a PCI-DSS compliance gap, since the standard requires strong cryptography.</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Remediation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1) Disable TLS 1.0 and 1.1; allow TLS 1.2 and 1.3 only.</w:t>
            </w:r>
          </w:p>
          <w:p>
            <w:pPr>
              <w:pStyle w:val="Normal"/>
              <w:rPr>
                <w:rFonts w:ascii="Times New Roman" w:hAnsi="Times New Roman"/>
                <w:color w:val="000000"/>
              </w:rPr>
            </w:pPr>
            <w:r>
              <w:rPr>
                <w:rFonts w:ascii="Times New Roman" w:hAnsi="Times New Roman"/>
                <w:color w:val="000000"/>
                <w:sz w:val="20"/>
                <w:szCs w:val="20"/>
              </w:rPr>
              <w:t>2) Use AEAD ciphers (AES-GCM, ChaCha20-Poly1305) and enable HSTS.</w:t>
            </w:r>
          </w:p>
          <w:p>
            <w:pPr>
              <w:pStyle w:val="Normal"/>
              <w:rPr>
                <w:rFonts w:ascii="Times New Roman" w:hAnsi="Times New Roman"/>
                <w:color w:val="000000"/>
              </w:rPr>
            </w:pPr>
            <w:r>
              <w:rPr>
                <w:rFonts w:ascii="Times New Roman" w:hAnsi="Times New Roman"/>
                <w:color w:val="000000"/>
                <w:sz w:val="20"/>
                <w:szCs w:val="20"/>
              </w:rPr>
              <w:t>3) Re-test and test the change against known legacy clients first.</w:t>
            </w:r>
          </w:p>
        </w:tc>
      </w:tr>
      <w:tr>
        <w:trPr/>
        <w:tc>
          <w:tcPr>
            <w:tcW w:w="1900" w:type="dxa"/>
            <w:tcBorders>
              <w:top w:val="single" w:sz="4" w:space="0" w:color="000000"/>
              <w:start w:val="single" w:sz="4" w:space="0" w:color="000000"/>
              <w:bottom w:val="single" w:sz="4" w:space="0" w:color="000000"/>
              <w:end w:val="single" w:sz="4" w:space="0" w:color="000000"/>
            </w:tcBorders>
            <w:shd w:fill="EAF1F8" w:val="clear"/>
            <w:vAlign w:val="center"/>
          </w:tcPr>
          <w:p>
            <w:pPr>
              <w:pStyle w:val="Normal"/>
              <w:rPr>
                <w:rFonts w:ascii="Times New Roman" w:hAnsi="Times New Roman"/>
                <w:color w:val="000000"/>
              </w:rPr>
            </w:pPr>
            <w:r>
              <w:rPr>
                <w:rFonts w:ascii="Times New Roman" w:hAnsi="Times New Roman"/>
                <w:b/>
                <w:bCs/>
                <w:color w:val="000000"/>
                <w:sz w:val="20"/>
                <w:szCs w:val="20"/>
              </w:rPr>
              <w:t>Verification</w:t>
            </w:r>
          </w:p>
        </w:tc>
        <w:tc>
          <w:tcPr>
            <w:tcW w:w="76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color w:val="000000"/>
              </w:rPr>
            </w:pPr>
            <w:r>
              <w:rPr>
                <w:rFonts w:ascii="Times New Roman" w:hAnsi="Times New Roman"/>
                <w:color w:val="000000"/>
                <w:sz w:val="20"/>
                <w:szCs w:val="20"/>
              </w:rPr>
              <w:t>Re-run testssl.sh; target grade A or better.</w:t>
            </w:r>
          </w:p>
        </w:tc>
      </w:tr>
    </w:tbl>
    <w:p>
      <w:pPr>
        <w:pStyle w:val="Heading1"/>
        <w:numPr>
          <w:ilvl w:val="0"/>
          <w:numId w:val="1"/>
        </w:numPr>
        <w:spacing w:before="280" w:after="160"/>
        <w:ind w:hanging="0" w:start="0"/>
        <w:rPr>
          <w:rFonts w:ascii="Times New Roman" w:hAnsi="Times New Roman"/>
          <w:b w:val="false"/>
          <w:bCs w:val="false"/>
          <w:sz w:val="28"/>
          <w:szCs w:val="28"/>
        </w:rPr>
      </w:pPr>
      <w:r>
        <w:rPr>
          <w:rFonts w:ascii="Times New Roman" w:hAnsi="Times New Roman"/>
          <w:b w:val="false"/>
          <w:bCs w:val="false"/>
          <w:sz w:val="28"/>
          <w:szCs w:val="28"/>
        </w:rPr>
        <w:t>7. RISK ANALYSIS</w:t>
      </w:r>
    </w:p>
    <w:p>
      <w:pPr>
        <w:pStyle w:val="Normal"/>
        <w:jc w:val="center"/>
        <w:rPr>
          <w:rFonts w:ascii="Times New Roman" w:hAnsi="Times New Roman"/>
        </w:rPr>
      </w:pPr>
      <w:r>
        <w:rPr>
          <w:rFonts w:ascii="Times New Roman" w:hAnsi="Times New Roman"/>
        </w:rPr>
        <w:drawing>
          <wp:inline distT="0" distB="0" distL="0" distR="0">
            <wp:extent cx="5905500" cy="2257425"/>
            <wp:effectExtent l="0" t="0" r="0" b="0"/>
            <wp:docPr id="1" name="chart" descr="Findings by severity and contextual risk index" title="Sever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 descr="Findings by severity and contextual risk index" title="Severity chart"/>
                    <pic:cNvPicPr>
                      <a:picLocks noChangeAspect="1" noChangeArrowheads="1"/>
                    </pic:cNvPicPr>
                  </pic:nvPicPr>
                  <pic:blipFill>
                    <a:blip r:embed="rId2"/>
                    <a:stretch>
                      <a:fillRect/>
                    </a:stretch>
                  </pic:blipFill>
                  <pic:spPr bwMode="auto">
                    <a:xfrm>
                      <a:off x="0" y="0"/>
                      <a:ext cx="5905500" cy="2257425"/>
                    </a:xfrm>
                    <a:prstGeom prst="rect">
                      <a:avLst/>
                    </a:prstGeom>
                    <a:noFill/>
                  </pic:spPr>
                </pic:pic>
              </a:graphicData>
            </a:graphic>
          </wp:inline>
        </w:drawing>
      </w:r>
    </w:p>
    <w:p>
      <w:pPr>
        <w:pStyle w:val="Normal"/>
        <w:spacing w:lineRule="auto" w:line="276" w:before="0" w:after="140"/>
        <w:jc w:val="center"/>
        <w:rPr>
          <w:rFonts w:ascii="Times New Roman" w:hAnsi="Times New Roman"/>
          <w:sz w:val="18"/>
          <w:szCs w:val="18"/>
        </w:rPr>
      </w:pPr>
      <w:r>
        <w:rPr>
          <w:rFonts w:ascii="Times New Roman" w:hAnsi="Times New Roman"/>
          <w:i/>
          <w:iCs/>
          <w:color w:val="666666"/>
          <w:sz w:val="18"/>
          <w:szCs w:val="18"/>
        </w:rPr>
        <w:t>Figure 1: Findings by CVSS severity (left) and Contextual Risk Index by finding (right).</w:t>
      </w:r>
    </w:p>
    <w:p>
      <w:pPr>
        <w:pStyle w:val="Normal"/>
        <w:spacing w:lineRule="auto" w:line="276" w:before="0" w:after="140"/>
        <w:rPr>
          <w:rFonts w:ascii="Times New Roman" w:hAnsi="Times New Roman"/>
          <w:sz w:val="20"/>
          <w:szCs w:val="20"/>
        </w:rPr>
      </w:pPr>
      <w:r>
        <w:rPr>
          <w:rFonts w:ascii="Times New Roman" w:hAnsi="Times New Roman"/>
          <w:b/>
          <w:bCs/>
          <w:sz w:val="20"/>
          <w:szCs w:val="20"/>
        </w:rPr>
        <w:t>Observations:</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Context changes the order. VA-10 (default credentials) has a CVSS of 8.8 but ranks 12th because the devices have low business value, while VA-06 (no MFA, CVSS 9.1) ranks 4th because it protects the main remote-access path.</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Known exploitation is the strongest signal. Four findings (VA-01 to VA-04) are listed in CISA's KEV catalog, meaning attackers are actively using them, and three of them occupy the top three ranks.</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Attack chain. A realistic path is: stolen password (VA-06) or exposed RDP (VA-08) leads to a foothold, flat networking (VA-11) allows movement to the payment database, and unprotected backups (VA-13) remove the ability to recover. Fixing only one link leaves the others usable, so the roadmap closes entry, movement and recovery weaknesses together.</w:t>
      </w:r>
    </w:p>
    <w:p>
      <w:pPr>
        <w:pStyle w:val="ListParagraph"/>
        <w:numPr>
          <w:ilvl w:val="0"/>
          <w:numId w:val="2"/>
        </w:numPr>
        <w:spacing w:lineRule="auto" w:line="276" w:before="0" w:after="0"/>
        <w:rPr>
          <w:rFonts w:ascii="Times New Roman" w:hAnsi="Times New Roman"/>
          <w:sz w:val="20"/>
          <w:szCs w:val="20"/>
          <w:u w:val="none"/>
        </w:rPr>
      </w:pPr>
      <w:r>
        <w:rPr>
          <w:rFonts w:ascii="Times New Roman" w:hAnsi="Times New Roman"/>
          <w:sz w:val="20"/>
          <w:szCs w:val="20"/>
          <w:u w:val="none"/>
        </w:rPr>
        <w:t>Compliance. VA-07, VA-09, VA-11 and VA-12 would each be raised in a PCI-DSS assessment because they affect the protection of cardholder and customer data.</w:t>
      </w:r>
    </w:p>
    <w:p>
      <w:pPr>
        <w:pStyle w:val="ListParagraph"/>
        <w:spacing w:lineRule="auto" w:line="276" w:before="0" w:after="0"/>
        <w:rPr>
          <w:rFonts w:ascii="Times New Roman" w:hAnsi="Times New Roman"/>
          <w:sz w:val="20"/>
          <w:szCs w:val="20"/>
          <w:u w:val="none"/>
        </w:rPr>
      </w:pPr>
      <w:r>
        <w:rPr>
          <w:rFonts w:ascii="Times New Roman" w:hAnsi="Times New Roman"/>
          <w:sz w:val="20"/>
          <w:szCs w:val="20"/>
          <w:u w:val="none"/>
        </w:rPr>
      </w:r>
    </w:p>
    <w:p>
      <w:pPr>
        <w:pStyle w:val="ListParagraph"/>
        <w:spacing w:lineRule="auto" w:line="276" w:before="0" w:after="0"/>
        <w:rPr>
          <w:rFonts w:ascii="Times New Roman" w:hAnsi="Times New Roman"/>
          <w:sz w:val="20"/>
          <w:szCs w:val="20"/>
          <w:u w:val="none"/>
        </w:rPr>
      </w:pPr>
      <w:r>
        <w:rPr>
          <w:rFonts w:ascii="Times New Roman" w:hAnsi="Times New Roman"/>
          <w:sz w:val="20"/>
          <w:szCs w:val="20"/>
          <w:u w:val="none"/>
        </w:rPr>
      </w:r>
    </w:p>
    <w:p>
      <w:pPr>
        <w:pStyle w:val="Normal"/>
        <w:bidi w:val="0"/>
        <w:spacing w:lineRule="auto" w:line="240"/>
        <w:jc w:val="start"/>
        <w:rPr>
          <w:rFonts w:ascii="Times New Roman" w:hAnsi="Times New Roman"/>
          <w:sz w:val="28"/>
          <w:szCs w:val="28"/>
          <w:u w:val="none"/>
        </w:rPr>
      </w:pPr>
      <w:r>
        <w:rPr>
          <w:rFonts w:ascii="Times New Roman" w:hAnsi="Times New Roman"/>
          <w:sz w:val="28"/>
          <w:szCs w:val="28"/>
          <w:u w:val="none"/>
        </w:rPr>
        <w:t>8. REMEDIATION ROADMAP</w:t>
      </w:r>
    </w:p>
    <w:tbl>
      <w:tblPr>
        <w:tblW w:w="9500" w:type="dxa"/>
        <w:jc w:val="start"/>
        <w:tblInd w:w="0" w:type="dxa"/>
        <w:tblLayout w:type="fixed"/>
        <w:tblCellMar>
          <w:top w:w="58" w:type="dxa"/>
          <w:start w:w="58" w:type="dxa"/>
          <w:bottom w:w="58" w:type="dxa"/>
          <w:end w:w="58" w:type="dxa"/>
        </w:tblCellMar>
      </w:tblPr>
      <w:tblGrid>
        <w:gridCol w:w="1699"/>
        <w:gridCol w:w="4900"/>
        <w:gridCol w:w="1701"/>
        <w:gridCol w:w="1200"/>
      </w:tblGrid>
      <w:tr>
        <w:trPr>
          <w:tblHeader w:val="true"/>
        </w:trPr>
        <w:tc>
          <w:tcPr>
            <w:tcW w:w="16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Phase</w:t>
            </w:r>
          </w:p>
        </w:tc>
        <w:tc>
          <w:tcPr>
            <w:tcW w:w="4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Actions</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Owner</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Effort</w:t>
            </w:r>
          </w:p>
        </w:tc>
      </w:tr>
      <w:tr>
        <w:trPr>
          <w:cantSplit/>
        </w:trPr>
        <w:tc>
          <w:tcPr>
            <w:tcW w:w="1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0-72 hours (P1)</w:t>
            </w:r>
          </w:p>
        </w:tc>
        <w:tc>
          <w:tcPr>
            <w:tcW w:w="4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Patch or isolate VA-01, VA-02, VA-03; enforce MFA on VPN and webmail (VA-06); take the vulnerable portal search offline or add a WAF rule until fixed (VA-09)</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IT Operations, App Dev, Security</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Low to Medium</w:t>
            </w:r>
          </w:p>
        </w:tc>
      </w:tr>
      <w:tr>
        <w:trPr>
          <w:cantSplit/>
        </w:trPr>
        <w:tc>
          <w:tcPr>
            <w:tcW w:w="1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Within 30 days (P2)</w:t>
            </w:r>
          </w:p>
        </w:tc>
        <w:tc>
          <w:tcPr>
            <w:tcW w:w="4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Isolate and plan retirement of WMS-01 (VA-04); upgrade OpenSSH (VA-05); close RDP (VA-08); lock down the cloud bucket (VA-07); segment the payment network (VA-11); secure and encrypt backups (VA-13)</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IT Operations, Network, Cloud</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Low to High</w:t>
            </w:r>
          </w:p>
        </w:tc>
      </w:tr>
      <w:tr>
        <w:trPr>
          <w:cantSplit/>
        </w:trPr>
        <w:tc>
          <w:tcPr>
            <w:tcW w:w="1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Within 90 days (P3)</w:t>
            </w:r>
          </w:p>
        </w:tc>
        <w:tc>
          <w:tcPr>
            <w:tcW w:w="4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Rotate default credentials and isolate IoT (VA-10); disable legacy TLS (VA-12); introduce monthly authenticated scans, a patch SLA and an asset inventory</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IT Operations, Security</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Low to Medium</w:t>
            </w:r>
          </w:p>
        </w:tc>
      </w:tr>
      <w:tr>
        <w:trPr>
          <w:cantSplit/>
        </w:trPr>
        <w:tc>
          <w:tcPr>
            <w:tcW w:w="1699"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Ongoing</w:t>
            </w:r>
          </w:p>
        </w:tc>
        <w:tc>
          <w:tcPr>
            <w:tcW w:w="49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Weekly external scan, monthly internal scan, quarterly restore test, annual penetration test, track KPIs below</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Security Team</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Recurring</w:t>
            </w:r>
          </w:p>
        </w:tc>
      </w:tr>
    </w:tbl>
    <w:p>
      <w:pPr>
        <w:pStyle w:val="Normal"/>
        <w:spacing w:lineRule="auto" w:line="276" w:before="0" w:after="140"/>
        <w:rPr>
          <w:rFonts w:ascii="Times New Roman" w:hAnsi="Times New Roman"/>
          <w:sz w:val="20"/>
          <w:szCs w:val="20"/>
        </w:rPr>
      </w:pPr>
      <w:r>
        <w:rPr>
          <w:rFonts w:ascii="Times New Roman" w:hAnsi="Times New Roman"/>
          <w:sz w:val="20"/>
          <w:szCs w:val="20"/>
        </w:rPr>
        <w:t>Suggested KPIs: mean time to remediate Critical findings under 7 days; 95% of internet-facing assets scanned weekly; zero Known Exploited Vulnerabilities older than 14 days; percentage of accounts with MFA at 100%.</w:t>
      </w:r>
    </w:p>
    <w:p>
      <w:pPr>
        <w:pStyle w:val="Normal"/>
        <w:bidi w:val="0"/>
        <w:spacing w:lineRule="auto" w:line="240"/>
        <w:jc w:val="start"/>
        <w:rPr>
          <w:rFonts w:ascii="Times New Roman" w:hAnsi="Times New Roman"/>
        </w:rPr>
      </w:pPr>
      <w:r>
        <w:rPr>
          <w:rFonts w:ascii="Times New Roman" w:hAnsi="Times New Roman"/>
          <w:sz w:val="28"/>
          <w:szCs w:val="28"/>
        </w:rPr>
        <w:t>9. THREAT CONTEXT AND SUPPORTING DATA</w:t>
      </w:r>
    </w:p>
    <w:tbl>
      <w:tblPr>
        <w:tblW w:w="9690" w:type="dxa"/>
        <w:jc w:val="start"/>
        <w:tblInd w:w="0" w:type="dxa"/>
        <w:tblLayout w:type="fixed"/>
        <w:tblCellMar>
          <w:top w:w="58" w:type="dxa"/>
          <w:start w:w="58" w:type="dxa"/>
          <w:bottom w:w="58" w:type="dxa"/>
          <w:end w:w="58" w:type="dxa"/>
        </w:tblCellMar>
      </w:tblPr>
      <w:tblGrid>
        <w:gridCol w:w="5370"/>
        <w:gridCol w:w="4320"/>
      </w:tblGrid>
      <w:tr>
        <w:trPr>
          <w:tblHeader w:val="true"/>
        </w:trPr>
        <w:tc>
          <w:tcPr>
            <w:tcW w:w="53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Statistic</w:t>
            </w:r>
          </w:p>
        </w:tc>
        <w:tc>
          <w:tcPr>
            <w:tcW w:w="43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b/>
                <w:bCs/>
                <w:sz w:val="20"/>
                <w:szCs w:val="20"/>
              </w:rPr>
            </w:pPr>
            <w:r>
              <w:rPr>
                <w:rFonts w:ascii="Times New Roman" w:hAnsi="Times New Roman"/>
                <w:b/>
                <w:bCs/>
                <w:sz w:val="20"/>
                <w:szCs w:val="20"/>
              </w:rPr>
              <w:t>Source</w:t>
            </w:r>
          </w:p>
        </w:tc>
      </w:tr>
      <w:tr>
        <w:trPr>
          <w:cantSplit/>
        </w:trPr>
        <w:tc>
          <w:tcPr>
            <w:tcW w:w="537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Global average cost of a data breach: $4.44 million</w:t>
            </w:r>
          </w:p>
        </w:tc>
        <w:tc>
          <w:tcPr>
            <w:tcW w:w="432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IBM/Ponemon Cost of a Data Breach Report 2025</w:t>
            </w:r>
          </w:p>
        </w:tc>
      </w:tr>
      <w:tr>
        <w:trPr>
          <w:cantSplit/>
        </w:trPr>
        <w:tc>
          <w:tcPr>
            <w:tcW w:w="537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Average time to identify and contain a breach: 241 days</w:t>
            </w:r>
          </w:p>
        </w:tc>
        <w:tc>
          <w:tcPr>
            <w:tcW w:w="432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IBM/Ponemon Cost of a Data Breach Report 2025</w:t>
            </w:r>
          </w:p>
        </w:tc>
      </w:tr>
      <w:tr>
        <w:trPr>
          <w:cantSplit/>
        </w:trPr>
        <w:tc>
          <w:tcPr>
            <w:tcW w:w="537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Supply-chain compromise caused 15% of breaches and phishing 16%</w:t>
            </w:r>
          </w:p>
        </w:tc>
        <w:tc>
          <w:tcPr>
            <w:tcW w:w="432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IBM/Ponemon Cost of a Data Breach Report 2025</w:t>
            </w:r>
          </w:p>
        </w:tc>
      </w:tr>
      <w:tr>
        <w:trPr>
          <w:cantSplit/>
        </w:trPr>
        <w:tc>
          <w:tcPr>
            <w:tcW w:w="537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About 20% of breaches began with exploited vulnerabilities, up 34% year on year</w:t>
            </w:r>
          </w:p>
        </w:tc>
        <w:tc>
          <w:tcPr>
            <w:tcW w:w="432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Verizon 2025 Data Breach Investigations Report</w:t>
            </w:r>
          </w:p>
        </w:tc>
      </w:tr>
      <w:tr>
        <w:trPr>
          <w:cantSplit/>
        </w:trPr>
        <w:tc>
          <w:tcPr>
            <w:tcW w:w="537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Credential abuse was the initial access vector in 22% of breaches</w:t>
            </w:r>
          </w:p>
        </w:tc>
        <w:tc>
          <w:tcPr>
            <w:tcW w:w="432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Verizon 2025 Data Breach Investigations Report</w:t>
            </w:r>
          </w:p>
        </w:tc>
      </w:tr>
      <w:tr>
        <w:trPr>
          <w:cantSplit/>
        </w:trPr>
        <w:tc>
          <w:tcPr>
            <w:tcW w:w="537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46% of infostealer-affected devices with corporate logins were unmanaged</w:t>
            </w:r>
          </w:p>
        </w:tc>
        <w:tc>
          <w:tcPr>
            <w:tcW w:w="4320" w:type="dxa"/>
            <w:tcBorders>
              <w:top w:val="single" w:sz="4" w:space="0" w:color="000000"/>
              <w:start w:val="single" w:sz="4" w:space="0" w:color="000000"/>
              <w:bottom w:val="single" w:sz="4" w:space="0" w:color="000000"/>
              <w:end w:val="single" w:sz="4" w:space="0" w:color="000000"/>
            </w:tcBorders>
            <w:vAlign w:val="center"/>
          </w:tcPr>
          <w:p>
            <w:pPr>
              <w:pStyle w:val="Normal"/>
              <w:rPr>
                <w:rFonts w:ascii="Times New Roman" w:hAnsi="Times New Roman"/>
                <w:sz w:val="20"/>
                <w:szCs w:val="20"/>
              </w:rPr>
            </w:pPr>
            <w:r>
              <w:rPr>
                <w:rFonts w:ascii="Times New Roman" w:hAnsi="Times New Roman"/>
                <w:sz w:val="20"/>
                <w:szCs w:val="20"/>
              </w:rPr>
              <w:t>Verizon 2025 Data Breach Investigations Report</w:t>
            </w:r>
          </w:p>
        </w:tc>
      </w:tr>
    </w:tbl>
    <w:p>
      <w:pPr>
        <w:pStyle w:val="Normal"/>
        <w:spacing w:lineRule="auto" w:line="276" w:before="0" w:after="26"/>
        <w:rPr>
          <w:rFonts w:ascii="Times New Roman" w:hAnsi="Times New Roman"/>
          <w:sz w:val="20"/>
          <w:szCs w:val="20"/>
        </w:rPr>
      </w:pPr>
      <w:r>
        <w:rPr>
          <w:rFonts w:ascii="Times New Roman" w:hAnsi="Times New Roman"/>
          <w:sz w:val="20"/>
          <w:szCs w:val="20"/>
        </w:rPr>
        <w:t>These figures show why the top-ranked findings (patchable, internet-facing, known exploited) and the identity finding (no MFA) were prioritised ahead of lower-impact configuration issues.</w:t>
      </w:r>
    </w:p>
    <w:p>
      <w:pPr>
        <w:pStyle w:val="Heading1"/>
        <w:numPr>
          <w:ilvl w:val="0"/>
          <w:numId w:val="1"/>
        </w:numPr>
        <w:spacing w:before="166" w:after="46"/>
        <w:ind w:hanging="0" w:start="0"/>
        <w:rPr>
          <w:rFonts w:ascii="Times New Roman" w:hAnsi="Times New Roman"/>
          <w:sz w:val="28"/>
          <w:szCs w:val="28"/>
        </w:rPr>
      </w:pPr>
      <w:r>
        <w:rPr>
          <w:rFonts w:ascii="Times New Roman" w:hAnsi="Times New Roman"/>
          <w:b w:val="false"/>
          <w:bCs w:val="false"/>
          <w:sz w:val="28"/>
          <w:szCs w:val="28"/>
        </w:rPr>
        <w:t>10. Limitations</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The environment and scan results are simulated for a hypothetical organization; real engagements would include scanner exports and screenshots.</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A vulnerability assessment finds and ranks weaknesses; it does not prove an attacker could chain them. A penetration test is recommended after remediation.</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CVSS vectors for non-CVE findings were assigned by the analyst and may reasonably differ by one point between reviewers. The CRI weights are an analyst-defined model.</w:t>
      </w:r>
    </w:p>
    <w:p>
      <w:pPr>
        <w:pStyle w:val="ListParagraph"/>
        <w:numPr>
          <w:ilvl w:val="0"/>
          <w:numId w:val="2"/>
        </w:numPr>
        <w:spacing w:lineRule="auto" w:line="276" w:before="0" w:after="0"/>
        <w:rPr>
          <w:rFonts w:ascii="Times New Roman" w:hAnsi="Times New Roman"/>
          <w:sz w:val="20"/>
          <w:szCs w:val="20"/>
        </w:rPr>
      </w:pPr>
      <w:r>
        <w:rPr>
          <w:rFonts w:ascii="Times New Roman" w:hAnsi="Times New Roman"/>
          <w:sz w:val="20"/>
          <w:szCs w:val="20"/>
        </w:rPr>
        <w:t>A point-in-time assessment becomes outdated as new CVEs are published, so recurring scans are part of the recommendations.</w:t>
      </w:r>
    </w:p>
    <w:p>
      <w:pPr>
        <w:pStyle w:val="Heading1"/>
        <w:numPr>
          <w:ilvl w:val="0"/>
          <w:numId w:val="1"/>
        </w:numPr>
        <w:spacing w:before="280" w:after="160"/>
        <w:ind w:hanging="0" w:start="0"/>
        <w:rPr>
          <w:rFonts w:ascii="Times New Roman" w:hAnsi="Times New Roman"/>
          <w:b w:val="false"/>
          <w:bCs w:val="false"/>
          <w:sz w:val="28"/>
          <w:szCs w:val="28"/>
        </w:rPr>
      </w:pPr>
      <w:r>
        <w:rPr>
          <w:rFonts w:ascii="Times New Roman" w:hAnsi="Times New Roman"/>
          <w:b w:val="false"/>
          <w:bCs w:val="false"/>
          <w:sz w:val="28"/>
          <w:szCs w:val="28"/>
        </w:rPr>
        <w:t>11. Conclusion</w:t>
      </w:r>
    </w:p>
    <w:p>
      <w:pPr>
        <w:pStyle w:val="Normal"/>
        <w:spacing w:lineRule="auto" w:line="276" w:before="0" w:after="140"/>
        <w:rPr>
          <w:rFonts w:ascii="Times New Roman" w:hAnsi="Times New Roman"/>
          <w:sz w:val="20"/>
          <w:szCs w:val="20"/>
        </w:rPr>
      </w:pPr>
      <w:r>
        <w:rPr>
          <w:rFonts w:ascii="Times New Roman" w:hAnsi="Times New Roman"/>
          <w:sz w:val="20"/>
          <w:szCs w:val="20"/>
        </w:rPr>
        <w:t>Nimbus Retail Solutions has a manageable number of vulnerabilities, but several are severe, internet-reachable and already exploited by attackers. The highest-risk items are patching and configuration issues that can be fixed quickly with existing staff. Completing the 72-hour and 30-day actions would remove every Critical finding and break the most likely attack path from the internet to cardholder data. Sustained improvement then depends on a scan-patch-verify cycle, with the companion script and scoring model reused each month to keep priorities objective and measurable.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pPr/>
    <w:rPr>
      <w:color w:val="2E74B5"/>
      <w:sz w:val="26"/>
      <w:szCs w:val="26"/>
    </w:rPr>
  </w:style>
  <w:style w:type="paragraph" w:styleId="Heading3">
    <w:name w:val="heading 3"/>
    <w:basedOn w:val="Heading"/>
    <w:pPr/>
    <w:rPr>
      <w:color w:val="1F4D78"/>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LibreOffice/26.8.0.3$Linux_X86_64 LibreOffice_project/680$Build-3</Application>
  <AppVersion>15.0000</AppVersion>
  <Pages>10</Pages>
  <Words>4089</Words>
  <Characters>23380</Characters>
  <CharactersWithSpaces>27000</CharactersWithSpaces>
  <Paragraphs>520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2026-08-30T16:43:39Z</dcterms:created>
  <dc:creator/>
  <dc:description/>
  <dc:language>en-US</dc:language>
  <cp:lastModifiedBy/>
  <dcterms:modified xsi:type="dcterms:W3CDTF">2026-10-09T11:06:08Z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