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ProofCam engineering requirements</w:t>
      </w:r>
    </w:p>
    <w:p>
      <w:r>
        <w:t>Robust photo and video provenance for Android and iPhone</w:t>
      </w:r>
    </w:p>
    <w:p>
      <w:r>
        <w:t>Draft v0.4  |  September 25 2026  |  Proposed requirements, not implemented capabilities</w:t>
      </w:r>
    </w:p>
    <w:p>
      <w:pPr>
        <w:pStyle w:val="Heading2"/>
      </w:pPr>
      <w:r>
        <w:t>Product contract</w:t>
      </w:r>
    </w:p>
    <w:p>
      <w:r>
        <w:t>Build a camera app that embeds an invisible record identifier in photo pixels and video frames, then binds the final export to a signed server record. Verification must not depend on EXIF, XMP, or provenance fields inside the media container. Support screenshots and normal sharing transformations as watermark-recovery targets, while keeping exact integrity checks strict.</w:t>
      </w:r>
    </w:p>
    <w:p>
      <w:r>
        <w:t>MUST denotes a release gate. SHOULD denotes a preferred design that may change only with a documented reason and test evidence. All numerical thresholds are proposed acceptance targets. No robustness, security, or performance result has been measured for this project yet.</w:t>
      </w:r>
    </w:p>
    <w:p>
      <w:pPr>
        <w:pStyle w:val="Heading2"/>
      </w:pPr>
      <w:r>
        <w:t>Supported first release</w:t>
      </w:r>
    </w:p>
    <w:tbl>
      <w:tblPr>
        <w:tblW w:type="auto" w:w="0"/>
        <w:tblLayout w:type="fixed"/>
        <w:tblLook w:firstColumn="1" w:firstRow="1" w:lastColumn="0" w:lastRow="0" w:noHBand="0" w:noVBand="1" w:val="04A0"/>
      </w:tblPr>
      <w:tblGrid>
        <w:gridCol w:w="1728"/>
        <w:gridCol w:w="8136"/>
      </w:tblGrid>
      <w:tr>
        <w:trPr>
          <w:cantSplit/>
          <w:tblHeader/>
        </w:trPr>
        <w:tc>
          <w:tcPr>
            <w:tcW w:type="dxa" w:w="1728"/>
            <w:tcBorders>
              <w:top w:val="single" w:sz="4" w:color="D9D9D9"/>
              <w:left w:val="single" w:sz="4" w:color="D9D9D9"/>
              <w:bottom w:val="single" w:sz="4" w:color="D9D9D9"/>
              <w:right w:val="single" w:sz="4" w:color="D9D9D9"/>
            </w:tcBorders>
            <w:shd w:fill="E8EEF3"/>
          </w:tcPr>
          <w:p>
            <w:pPr>
              <w:spacing w:after="100" w:before="100"/>
            </w:pPr>
            <w:r>
              <w:rPr>
                <w:b/>
                <w:sz w:val="20"/>
              </w:rPr>
              <w:t>Surface</w:t>
            </w:r>
          </w:p>
        </w:tc>
        <w:tc>
          <w:tcPr>
            <w:tcW w:type="dxa" w:w="8136"/>
            <w:tcBorders>
              <w:top w:val="single" w:sz="4" w:color="D9D9D9"/>
              <w:left w:val="single" w:sz="4" w:color="D9D9D9"/>
              <w:bottom w:val="single" w:sz="4" w:color="D9D9D9"/>
              <w:right w:val="single" w:sz="4" w:color="D9D9D9"/>
            </w:tcBorders>
            <w:shd w:fill="E8EEF3"/>
          </w:tcPr>
          <w:p>
            <w:pPr>
              <w:spacing w:after="100" w:before="100"/>
            </w:pPr>
            <w:r>
              <w:rPr>
                <w:b/>
                <w:sz w:val="20"/>
              </w:rPr>
              <w:t>Required scope</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100" w:before="100"/>
            </w:pPr>
            <w:r>
              <w:rPr>
                <w:b w:val="0"/>
                <w:sz w:val="20"/>
              </w:rPr>
              <w:t>Capture</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Android and iPhone; separate Photo and Video modes; native camera integration. Imported media may be verified but cannot receive an app-capture claim.</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100" w:before="100"/>
            </w:pPr>
            <w:r>
              <w:rPr>
                <w:b w:val="0"/>
                <w:sz w:val="20"/>
              </w:rPr>
              <w:t>Photo</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JPEG, normalized orientation and sRGB rendering. Maintain an immutable final export.</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100" w:before="100"/>
            </w:pPr>
            <w:r>
              <w:rPr>
                <w:b w:val="0"/>
                <w:sz w:val="20"/>
              </w:rPr>
              <w:t>Video</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MP4, H.264, SDR, up to 1080p at 30 fps and 60 seconds; optional AAC audio. Sign actual timing and track presence.</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100" w:before="100"/>
            </w:pPr>
            <w:r>
              <w:rPr>
                <w:b w:val="0"/>
                <w:sz w:val="20"/>
              </w:rPr>
              <w:t>Verification</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Mobile and browser verification; local extraction and hashing; network lookup of signed records. No default media upload.</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after="100" w:before="100"/>
            </w:pPr>
            <w:r>
              <w:rPr>
                <w:b w:val="0"/>
                <w:sz w:val="20"/>
              </w:rPr>
              <w:t>Offline</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Local capture, processing, and signed evidence queue. Public record lookup remains pending until registration.</w:t>
            </w:r>
          </w:p>
        </w:tc>
      </w:tr>
    </w:tbl>
    <w:p>
      <w:pPr>
        <w:pStyle w:val="Heading2"/>
      </w:pPr>
      <w:r>
        <w:t>Keep three claims separate</w:t>
      </w:r>
    </w:p>
    <w:p>
      <w:pPr>
        <w:pStyle w:val="ListBullet"/>
      </w:pPr>
      <w:r>
        <w:t>Record recovery: a watermark identifies a candidate signed record. It is a lookup hint, not proof that the image belongs to that record.</w:t>
      </w:r>
    </w:p>
    <w:p>
      <w:pPr>
        <w:pStyle w:val="ListBullet"/>
      </w:pPr>
      <w:r>
        <w:t>Content integrity: cryptographic comparisons establish an exact file or defined content match against a trusted signed baseline.</w:t>
      </w:r>
    </w:p>
    <w:p>
      <w:pPr>
        <w:pStyle w:val="ListBullet"/>
      </w:pPr>
      <w:r>
        <w:t>Capture assurance: report the app, device, and challenge checks that passed. Do not imply a sensor-signed photograph or independently verified scene.</w:t>
      </w:r>
    </w:p>
    <w:p>
      <w:pPr>
        <w:pStyle w:val="Heading2"/>
      </w:pPr>
      <w:r>
        <w:t>Nonnegotiable limits</w:t>
      </w:r>
    </w:p>
    <w:p>
      <w:r>
        <w:t>No invisible watermark can survive every crop, redraw, replacement, or destructive edit while remaining invisible. Public algorithms must be assumed known to attackers. Unknown or missing evidence must never become a positive result. Screenshots, transcoding, and legitimate edits may preserve the identifier while failing exact integrity. A photographed screen or staged scene can still be captured by a genuine camera.</w:t>
      </w:r>
    </w:p>
    <w:p>
      <w:r>
        <w:br w:type="page"/>
      </w:r>
    </w:p>
    <w:p>
      <w:pPr>
        <w:pStyle w:val="Heading1"/>
      </w:pPr>
      <w:r>
        <w:t>End to end capture protocol</w:t>
      </w:r>
    </w:p>
    <w:p>
      <w:pPr>
        <w:pStyle w:val="Heading2"/>
      </w:pPr>
      <w:r>
        <w:t>Implement this order</w:t>
      </w:r>
    </w:p>
    <w:p>
      <w:r>
        <w:t>CAP1. Enroll an installation using a device-specific protected signing key and available platform attestation. Validate enrollment on the server. Never place a shared certification private key in app code, configuration, or a downloadable model. Publish the supported OS/device matrix and actual assurance per device.</w:t>
      </w:r>
    </w:p>
    <w:p>
      <w:r>
        <w:t>CAP2. For online capture, obtain a cryptographically random 256-bit one-use challenge, bound to the installation and capture session. Proposed expiry: five minutes, allowing a 60-second video and finalization. Offline capture follows a separate lower-assurance path; never invent a retrospective capture challenge.</w:t>
      </w:r>
    </w:p>
    <w:p>
      <w:r>
        <w:t>CAP3. Capture inside the app. Normalize the export rendering and apply the invisible watermark before the final encode. Generate a random per-asset identifier. Persist original working data only in protected temporary storage; do not expose a general “sign arbitrary gallery media” endpoint.</w:t>
      </w:r>
    </w:p>
    <w:p>
      <w:r>
        <w:t>CAP4. Finalize media bytes. For a photo, compute SHA-256 over the entire final file and a versioned canonical pixel representation. For video, compute a final-file hash and the ordered track manifest described on page 4. Hashes always cover the watermarked final export, not a pre-watermark image.</w:t>
      </w:r>
    </w:p>
    <w:p>
      <w:r>
        <w:t>CAP5. Sign a deterministic, domain-separated request containing record ID, media type, hashes, schema/model versions, challenge, session ID, permitted claims, and completion state. Bind the same request digest into the platform assertion where supported. Do not sign ambiguous concatenated strings; specify lengths, types, ordering, and timestamp units.</w:t>
      </w:r>
    </w:p>
    <w:p>
      <w:r>
        <w:t>CAP6. Server validates signature, enrollment, assertion binding, challenge/session, expiry, replay state, and policy. Consume the challenge atomically with record creation. Identical retries return the same result; a reused ID or challenge with different content is rejected.</w:t>
      </w:r>
    </w:p>
    <w:p>
      <w:r>
        <w:t>CAP7. Issue a public signed certificate using a server key held in a managed key service or hardware security module. The public certificate attests to the server’s checks; it is not a manufacturer sensor certificate. Return success only after durable commit. Share the immutable export and retain the signed receipt locally.</w:t>
      </w:r>
    </w:p>
    <w:p>
      <w:pPr>
        <w:pStyle w:val="Heading2"/>
      </w:pPr>
      <w:r>
        <w:t>Required record fields</w:t>
      </w:r>
    </w:p>
    <w:p>
      <w:r>
        <w:t>Schema and algorithm versions; issuer and signing-key ID; random record ID; media type; exact-file hash; photo pixel hash or video manifest root; dimensions; duration and track status when applicable; claimed device time with evidence source; server registration time; assurance results; completion status; policy version. Private device evidence and exact location MUST NOT appear in the public record.</w:t>
      </w:r>
    </w:p>
    <w:p>
      <w:pPr>
        <w:pStyle w:val="Heading2"/>
      </w:pPr>
      <w:r>
        <w:t>Finalize and share safely</w:t>
      </w:r>
    </w:p>
    <w:p>
      <w:r>
        <w:t>Use a crash-safe state machine: captured → processing → locally signed → registration pending → registered → shared. Share original bytes through the platform share sheet. Warn when a destination transforms them. Reopen the stored export and verify its hashes before marking it ready. Any later edit must create a new asset and record.</w:t>
      </w:r>
    </w:p>
    <w:p>
      <w:r>
        <w:br w:type="page"/>
      </w:r>
    </w:p>
    <w:p>
      <w:pPr>
        <w:pStyle w:val="Heading1"/>
      </w:pPr>
      <w:r>
        <w:t>Watermark engineering instructions</w:t>
      </w:r>
    </w:p>
    <w:p>
      <w:pPr>
        <w:pStyle w:val="Heading2"/>
      </w:pPr>
      <w:r>
        <w:t>Select by benchmark rather than claims</w:t>
      </w:r>
    </w:p>
    <w:p>
      <w:r>
        <w:t>WM1. Benchmark a learned image-watermark baseline such as TrustMark and a video baseline such as VideoSeal, plus a conventional transform-domain baseline if practical. Pin code, weights, preprocessing, payload, and license versions. Desktop results are insufficient: test native mobile model conversion and the browser extractor. Do not assume every baseline supports the required payload.</w:t>
      </w:r>
    </w:p>
    <w:p>
      <w:r>
        <w:t>WM2. The production payload SHOULD contain a 128-bit random asset identifier plus version/routing bits and error correction. Calculate usable payload after coding overhead. If a candidate cannot fit it, change the model or explicitly redesign the identifier scheme with collision, enumeration, and capacity analysis. Never truncate silently. An identifier is not an authentication secret.</w:t>
      </w:r>
    </w:p>
    <w:p>
      <w:pPr>
        <w:pStyle w:val="Heading2"/>
      </w:pPr>
      <w:r>
        <w:t>Spatial resilience</w:t>
      </w:r>
    </w:p>
    <w:p>
      <w:r>
        <w:t>WM3. Evaluate distributed embedding across the image, redundant recovery from overlapping regions, and a multiscale decoder. Avoid a single corner or center-only dependency. Add synchronization or bounded scale/rotation search where supported. Measure each change: tiling, stronger embedding, and multiple models can create artifacts or interfere with each other.</w:t>
      </w:r>
    </w:p>
    <w:p>
      <w:r>
        <w:t>WM4. Use the chosen model’s validated error correction or a measured BCH/Reed–Solomon design. Interleave where burst errors justify it. Include an error-detection check if the payload permits, but never treat a checksum as a signature. Thresholds must be calibrated across the entire decoder search, not one favorable crop.</w:t>
      </w:r>
    </w:p>
    <w:p>
      <w:pPr>
        <w:pStyle w:val="Heading2"/>
      </w:pPr>
      <w:r>
        <w:t>Screenshots and screen recordings</w:t>
      </w:r>
    </w:p>
    <w:p>
      <w:r>
        <w:t>WM5. Detect the displayed media rectangle, compensate for borders and scaling, and test a bounded set of candidate regions. Allow a user-selected crop when automatic detection fails. Do not upload the screenshot for detection by default. Test actual iPhone, Android, and desktop screenshots, including browser zoom and letterboxing; synthetic resizes alone are insufficient.</w:t>
      </w:r>
    </w:p>
    <w:p>
      <w:r>
        <w:t>WM6. For video, distribute the ID through time and aggregate decoder confidence across multiple frames. Benchmark single-frame recovery separately from multi-frame recovery. A screenshot of a video may recover an ID only if that frame retains enough signal; never claim the entire video was verified from one frame.</w:t>
      </w:r>
    </w:p>
    <w:p>
      <w:pPr>
        <w:pStyle w:val="Heading2"/>
      </w:pPr>
      <w:r>
        <w:t>Quality and failover</w:t>
      </w:r>
    </w:p>
    <w:p>
      <w:r>
        <w:t>WM7. Select the lowest embedding strength that meets the declared recovery envelope. Set a visible-artifact ceiling and inspect flat areas, text, faces, dark scenes, gradients, and motion for flicker. Do not raise strength without a quality test. If recovery fails, allow exact-file lookup using its cryptographic digest; label this fallback separately and never replace exact verification with perceptual similarity.</w:t>
      </w:r>
    </w:p>
    <w:p>
      <w:r>
        <w:t>WM8. Keep old decoders available for versioned records. Limit model attempts, image dimensions, execution time, and memory. A copied watermark, guessed ID, or similarity match MUST NOT earn an integrity badge.</w:t>
      </w:r>
    </w:p>
    <w:p>
      <w:r>
        <w:br w:type="page"/>
      </w:r>
    </w:p>
    <w:p>
      <w:pPr>
        <w:pStyle w:val="Heading1"/>
      </w:pPr>
      <w:r>
        <w:t>Photo and video integrity rules</w:t>
      </w:r>
    </w:p>
    <w:p>
      <w:pPr>
        <w:pStyle w:val="Heading2"/>
      </w:pPr>
      <w:r>
        <w:t>Photo canonicalization</w:t>
      </w:r>
    </w:p>
    <w:p>
      <w:r>
        <w:t>INT1. Pin a deterministic JPEG decoder and canonical representation: dimensions, channel order, color interpretation, orientation policy, and exact pixel bytes. Normalize orientation and color into the export pixels before signing. Verification must not depend on removable EXIF or ICC data. Use golden fixtures to ensure identical hashes on Android, iOS, and web.</w:t>
      </w:r>
    </w:p>
    <w:p>
      <w:r>
        <w:t>INT2. Exact file match covers all bytes. Exact pixel match covers only the declared pixel representation; it does not assert that all file metadata is unchanged. Do not use a perceptual hash for either result. If rendering semantics are unsupported, show unsupported rather than silently normalizing away a meaningful difference.</w:t>
      </w:r>
    </w:p>
    <w:p>
      <w:pPr>
        <w:pStyle w:val="Heading2"/>
      </w:pPr>
      <w:r>
        <w:t>Video manifest</w:t>
      </w:r>
    </w:p>
    <w:p>
      <w:r>
        <w:t>INT3. After final encoding, enumerate video and audio samples with exact encoded bytes, track IDs, decode/presentation times, duration, codec initialization, orientation, color/rendering configuration, track presence, and supported edit-list semantics. Reject unsupported container constructs. Use a versioned deterministic serialization and explicit time bases.</w:t>
      </w:r>
    </w:p>
    <w:p>
      <w:r>
        <w:t>INT4. Group samples into one-second presentation-time intervals using a documented boundary rule. Each leaf hash binds asset ID, interval index, times, and sample contents. Use domain separation for leaf and internal Merkle hashes. Sign the ordered root, total interval/sample counts, duration, full-file hash, completion state, and audio presence. Include everything needed to prevent omission, reorder, splice, and truncation from passing a full-recording check.</w:t>
      </w:r>
    </w:p>
    <w:p>
      <w:r>
        <w:t>INT5. Video recording and watermarking may use processed frames before encoding or a bounded local post-processing pass. Any second encoding precedes final hashes. Benchmark audio synchronization, dropped frames, and thermal behavior. Record actual timestamps instead of assuming a constant 30 fps.</w:t>
      </w:r>
    </w:p>
    <w:p>
      <w:pPr>
        <w:pStyle w:val="Heading2"/>
      </w:pPr>
      <w:r>
        <w:t>Partial content and transformations</w:t>
      </w:r>
    </w:p>
    <w:p>
      <w:r>
        <w:t>INT6. Verify the entire supplied asset before displaying a full match. Segment proofs may support an explicitly labeled matching interval; they cannot authenticate the unseen remainder. If a clip is trimmed, show partial content. Where alignment fails, do not claim precise localization of tampering.</w:t>
      </w:r>
    </w:p>
    <w:p>
      <w:r>
        <w:t>INT7. Recompression, screenshots, resizing, audio replacement, and transcoding may break exact matches. Show “Record recovered; content does not exactly match.” This result does not identify the reason or prove derivation. A sequence may be legitimately edited or maliciously changed; the hash alone cannot distinguish them.</w:t>
      </w:r>
    </w:p>
    <w:p>
      <w:r>
        <w:t>INT8. A later in-app editing workflow may verify an input and issue a signed derivative with parent reference and declared operations. That establishes the editor’s attestation, not cryptographic proof that arbitrary external transformations were harmless. Keep this separate from original-capture status.</w:t>
      </w:r>
    </w:p>
    <w:p>
      <w:pPr>
        <w:pStyle w:val="Heading2"/>
      </w:pPr>
      <w:r>
        <w:t>Audio and interruption</w:t>
      </w:r>
    </w:p>
    <w:p>
      <w:r>
        <w:t>INT9. Audio is included in video integrity even though the watermark is in frames. Signed audio-absent status covers silent recording. Removed, shifted, or replaced audio fails a complete match. Interrupted recordings must be explicitly marked interrupted; salvage never silently receives a completed-session claim.</w:t>
      </w:r>
    </w:p>
    <w:p>
      <w:r>
        <w:br w:type="page"/>
      </w:r>
    </w:p>
    <w:p>
      <w:pPr>
        <w:pStyle w:val="Heading1"/>
      </w:pPr>
      <w:r>
        <w:t>Mobile security and verification policy</w:t>
      </w:r>
    </w:p>
    <w:p>
      <w:pPr>
        <w:pStyle w:val="Heading2"/>
      </w:pPr>
      <w:r>
        <w:t>Threat model</w:t>
      </w:r>
    </w:p>
    <w:p>
      <w:r>
        <w:t>Assume attackers know the algorithm, can copy watermarks and records, edit files, replay requests, register their own devices, instrument apps, and photograph displays. Test rooted/jailbroken and emulated environments. App integrity signals reduce abuse but do not universally establish a protected sensor path. Manufacturer integration is required before claiming stronger sensor-origin assurance.</w:t>
      </w:r>
    </w:p>
    <w:p>
      <w:pPr>
        <w:pStyle w:val="Heading2"/>
      </w:pPr>
      <w:r>
        <w:t>Required controls</w:t>
      </w:r>
    </w:p>
    <w:p>
      <w:r>
        <w:t>SEC1. On iPhone use server-validated App Attest where supported; on Android use server-validated Play Integrity and appropriate key attestation. Treat these as distinct platform capabilities. Bind evidence to the exact request digest, validate certificate roots/chains, counters or replay controls, app identity, and policy. A boolean supplied by the client is never proof.</w:t>
      </w:r>
    </w:p>
    <w:p>
      <w:r>
        <w:t>SEC2. Use hardware-backed, nonexportable per-installation keys where available and record actual assurance. Reinstallation or key loss creates a new enrollment. Do not export device private keys in backups. A device without required checks may save media but receives an explicitly lower assurance or no public certificate.</w:t>
      </w:r>
    </w:p>
    <w:p>
      <w:r>
        <w:t>SEC3. Use established cryptographic libraries, SHA-256, and a versioned standard signature envelope such as COSE with ES256 after interoperability review. Maintain algorithm allowlists. Separate development and production trust roots; reject development certificates in public verification.</w:t>
      </w:r>
    </w:p>
    <w:p>
      <w:r>
        <w:t>SEC4. Rotate server keys through a versioned trust bundle; retain public verification keys for historical records. Publish signed revocations and issue times. Proposed maximum cached trust age: 24 hours. Older caches may show mathematical signature validity, but MUST mark current signer status unknown. Known compromise invalidates affected policy claims; registration time alone is not an independent timestamp.</w:t>
      </w:r>
    </w:p>
    <w:p>
      <w:r>
        <w:t>SEC5. Enforce authenticated issuance, scoped authorization, rate limits, duplicate-ID checks, replay rejection, and abuse quotas. Rate-limit public lookups without revealing user identities. Test modified binaries, assertion relays, signing-oracle abuse, and arbitrary-media injection. Do not claim these tests exhaust all compromises.</w:t>
      </w:r>
    </w:p>
    <w:p>
      <w:pPr>
        <w:pStyle w:val="Heading2"/>
      </w:pPr>
      <w:r>
        <w:t>Display independent results</w:t>
      </w:r>
    </w:p>
    <w:tbl>
      <w:tblPr>
        <w:tblW w:type="auto" w:w="0"/>
        <w:tblLayout w:type="fixed"/>
        <w:tblLook w:firstColumn="1" w:firstRow="1" w:lastColumn="0" w:lastRow="0" w:noHBand="0" w:noVBand="1" w:val="04A0"/>
      </w:tblPr>
      <w:tblGrid>
        <w:gridCol w:w="2016"/>
        <w:gridCol w:w="7848"/>
      </w:tblGrid>
      <w:tr>
        <w:trPr>
          <w:cantSplit/>
          <w:tblHeader/>
        </w:trPr>
        <w:tc>
          <w:tcPr>
            <w:tcW w:type="dxa" w:w="2016"/>
            <w:tcBorders>
              <w:top w:val="single" w:sz="4" w:color="D9D9D9"/>
              <w:left w:val="single" w:sz="4" w:color="D9D9D9"/>
              <w:bottom w:val="single" w:sz="4" w:color="D9D9D9"/>
              <w:right w:val="single" w:sz="4" w:color="D9D9D9"/>
            </w:tcBorders>
            <w:shd w:fill="E8EEF3"/>
          </w:tcPr>
          <w:p>
            <w:pPr>
              <w:spacing w:after="100" w:before="100"/>
            </w:pPr>
            <w:r>
              <w:rPr>
                <w:b/>
                <w:sz w:val="20"/>
              </w:rPr>
              <w:t>Result row</w:t>
            </w:r>
          </w:p>
        </w:tc>
        <w:tc>
          <w:tcPr>
            <w:tcW w:type="dxa" w:w="7848"/>
            <w:tcBorders>
              <w:top w:val="single" w:sz="4" w:color="D9D9D9"/>
              <w:left w:val="single" w:sz="4" w:color="D9D9D9"/>
              <w:bottom w:val="single" w:sz="4" w:color="D9D9D9"/>
              <w:right w:val="single" w:sz="4" w:color="D9D9D9"/>
            </w:tcBorders>
            <w:shd w:fill="E8EEF3"/>
          </w:tcPr>
          <w:p>
            <w:pPr>
              <w:spacing w:after="100" w:before="100"/>
            </w:pPr>
            <w:r>
              <w:rPr>
                <w:b/>
                <w:sz w:val="20"/>
              </w:rPr>
              <w:t>Allowed interpretation</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Record signature</w:t>
            </w:r>
          </w:p>
        </w:tc>
        <w:tc>
          <w:tcPr>
            <w:tcW w:type="dxa" w:w="7848"/>
            <w:tcBorders>
              <w:top w:val="single" w:sz="4" w:color="D9D9D9"/>
              <w:left w:val="single" w:sz="4" w:color="D9D9D9"/>
              <w:bottom w:val="single" w:sz="4" w:color="D9D9D9"/>
              <w:right w:val="single" w:sz="4" w:color="D9D9D9"/>
            </w:tcBorders>
            <w:shd w:fill="FFFFFF"/>
          </w:tcPr>
          <w:p>
            <w:pPr>
              <w:spacing w:after="100" w:before="100"/>
            </w:pPr>
            <w:r>
              <w:rPr>
                <w:b w:val="0"/>
                <w:sz w:val="20"/>
              </w:rPr>
              <w:t>Valid, invalid, or unsupported; separate from whether the issuer is trusted.</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Issuer status</w:t>
            </w:r>
          </w:p>
        </w:tc>
        <w:tc>
          <w:tcPr>
            <w:tcW w:type="dxa" w:w="7848"/>
            <w:tcBorders>
              <w:top w:val="single" w:sz="4" w:color="D9D9D9"/>
              <w:left w:val="single" w:sz="4" w:color="D9D9D9"/>
              <w:bottom w:val="single" w:sz="4" w:color="D9D9D9"/>
              <w:right w:val="single" w:sz="4" w:color="D9D9D9"/>
            </w:tcBorders>
            <w:shd w:fill="FFFFFF"/>
          </w:tcPr>
          <w:p>
            <w:pPr>
              <w:spacing w:after="100" w:before="100"/>
            </w:pPr>
            <w:r>
              <w:rPr>
                <w:b w:val="0"/>
                <w:sz w:val="20"/>
              </w:rPr>
              <w:t>Trusted, unknown, revoked, or stale; name the trust policy.</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Content</w:t>
            </w:r>
          </w:p>
        </w:tc>
        <w:tc>
          <w:tcPr>
            <w:tcW w:type="dxa" w:w="7848"/>
            <w:tcBorders>
              <w:top w:val="single" w:sz="4" w:color="D9D9D9"/>
              <w:left w:val="single" w:sz="4" w:color="D9D9D9"/>
              <w:bottom w:val="single" w:sz="4" w:color="D9D9D9"/>
              <w:right w:val="single" w:sz="4" w:color="D9D9D9"/>
            </w:tcBorders>
            <w:shd w:fill="FFFFFF"/>
          </w:tcPr>
          <w:p>
            <w:pPr>
              <w:spacing w:after="100" w:before="100"/>
            </w:pPr>
            <w:r>
              <w:rPr>
                <w:b w:val="0"/>
                <w:sz w:val="20"/>
              </w:rPr>
              <w:t>Exact file, exact defined content, partial interval, mismatch, or uncheckable.</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Capture checks</w:t>
            </w:r>
          </w:p>
        </w:tc>
        <w:tc>
          <w:tcPr>
            <w:tcW w:type="dxa" w:w="7848"/>
            <w:tcBorders>
              <w:top w:val="single" w:sz="4" w:color="D9D9D9"/>
              <w:left w:val="single" w:sz="4" w:color="D9D9D9"/>
              <w:bottom w:val="single" w:sz="4" w:color="D9D9D9"/>
              <w:right w:val="single" w:sz="4" w:color="D9D9D9"/>
            </w:tcBorders>
            <w:shd w:fill="FFFFFF"/>
          </w:tcPr>
          <w:p>
            <w:pPr>
              <w:spacing w:after="100" w:before="100"/>
            </w:pPr>
            <w:r>
              <w:rPr>
                <w:b w:val="0"/>
                <w:sz w:val="20"/>
              </w:rPr>
              <w:t>List only checks that passed, with time/evidence scope. No generic “real” badge.</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Availability</w:t>
            </w:r>
          </w:p>
        </w:tc>
        <w:tc>
          <w:tcPr>
            <w:tcW w:type="dxa" w:w="7848"/>
            <w:tcBorders>
              <w:top w:val="single" w:sz="4" w:color="D9D9D9"/>
              <w:left w:val="single" w:sz="4" w:color="D9D9D9"/>
              <w:bottom w:val="single" w:sz="4" w:color="D9D9D9"/>
              <w:right w:val="single" w:sz="4" w:color="D9D9D9"/>
            </w:tcBorders>
            <w:shd w:fill="FFFFFF"/>
          </w:tcPr>
          <w:p>
            <w:pPr>
              <w:spacing w:after="100" w:before="100"/>
            </w:pPr>
            <w:r>
              <w:rPr>
                <w:b w:val="0"/>
                <w:sz w:val="20"/>
              </w:rPr>
              <w:t>Pending sync, missing record, network failure, or unsupported decoder are distinct.</w:t>
            </w:r>
          </w:p>
        </w:tc>
      </w:tr>
    </w:tbl>
    <w:p>
      <w:r>
        <w:t>SEC6. A green integrity result requires both a trusted valid record and the corresponding content match. Recovery alone never earns it. AI-generated unmarked media is not automatically fake or suspicious; missing provenance says only that this system cannot verify it.</w:t>
      </w:r>
    </w:p>
    <w:p>
      <w:r>
        <w:br w:type="page"/>
      </w:r>
    </w:p>
    <w:p>
      <w:pPr>
        <w:pStyle w:val="Heading1"/>
      </w:pPr>
      <w:r>
        <w:t>Privacy reliability and recovery</w:t>
      </w:r>
    </w:p>
    <w:p>
      <w:pPr>
        <w:pStyle w:val="Heading2"/>
      </w:pPr>
      <w:r>
        <w:t>Private defaults</w:t>
      </w:r>
    </w:p>
    <w:p>
      <w:r>
        <w:t>PR1. Request camera permission for capture and microphone permission only for audio. Allow labeled silent video after denial. Location is off by default. Device GPS and clock values are reported, not independently verified. Exact location and identity are absent from public records, watermark payloads, thumbnails, filenames, certificates, and telemetry.</w:t>
      </w:r>
    </w:p>
    <w:p>
      <w:r>
        <w:t>PR2. Treat the embedded ID as public and linkable across copies. The service can correlate issuance and lookup traffic; do not claim anonymity. Keep device credentials in private enrollment evidence; publish a service-issued certificate without stable device identifiers. Do not embed arbitrary lookup URLs that could track users or trigger network access to attacker-selected hosts.</w:t>
      </w:r>
    </w:p>
    <w:p>
      <w:r>
        <w:t>PR3. Perform extraction, parsing, and hashing locally. Send only the necessary record ID or user-approved exact digest for lookup. No default upload of media, perceptual descriptors, faces, or precise location. Optional diagnostics require opt-in and redaction. Proposed access-log retention is seven days, excluding raw media and sensitive claims.</w:t>
      </w:r>
    </w:p>
    <w:p>
      <w:pPr>
        <w:pStyle w:val="Heading2"/>
      </w:pPr>
      <w:r>
        <w:t>Durability and availability</w:t>
      </w:r>
    </w:p>
    <w:p>
      <w:r>
        <w:t>OPS1. Register records transactionally with idempotency keys and immutable content fields. An identifier cannot be reassigned to a different asset. Keep encrypted replicated storage, tested backups, integrity checks, and an audit trail for administrator actions. Do not expose private enrollment evidence through the public lookup API.</w:t>
      </w:r>
    </w:p>
    <w:p>
      <w:r>
        <w:t>OPS2. Proposed service targets: 99.9% monthly lookup availability, p95 lookup below one second excluding client networking, backup recovery point within 15 minutes, and recovery within four hours. Run restore drills. Persist local receipts; permit export/import of a signed record for offline verification with an explicit trust-cache age.</w:t>
      </w:r>
    </w:p>
    <w:p>
      <w:r>
        <w:t>OPS3. Queue work durably, use bounded retries with jitter, and reconcile pending registrations after restart. Never show registered before acknowledgement. During an outage, continue local capture when safe; verification shows unavailable rather than valid or invalid. Challenge expiry during finalization must lower assurance or require recapture, not relabel the old capture as fresh.</w:t>
      </w:r>
    </w:p>
    <w:p>
      <w:pPr>
        <w:pStyle w:val="Heading2"/>
      </w:pPr>
      <w:r>
        <w:t>Mobile and parser resilience</w:t>
      </w:r>
    </w:p>
    <w:p>
      <w:r>
        <w:t>OPS4. Preflight storage; enforce duration and resolution caps; stream video hashing and parsing rather than loading full recordings into memory. Show processing progress, cancellation, microphone state, and thermal/storage errors. Test calls, lock screen, backgrounding, process termination, permission revocation, and corrupted local queues.</w:t>
      </w:r>
    </w:p>
    <w:p>
      <w:r>
        <w:t>OPS5. Apply sandboxing where available, dependency pinning, signed model updates, fuzzing, decompression limits, file-size/dimension limits, bounded decoder search, and cancellation to untrusted media. Unsupported files must not crash the verifier. Do not follow embedded URLs or run embedded content.</w:t>
      </w:r>
    </w:p>
    <w:p>
      <w:pPr>
        <w:pStyle w:val="Heading2"/>
      </w:pPr>
      <w:r>
        <w:t>Deletion and portability</w:t>
      </w:r>
    </w:p>
    <w:p>
      <w:r>
        <w:t>PR4. Allow local deletion and public-record removal with explicit consequences: future lookup may fail, and previously copied records cannot be recalled. Never reuse a deleted identifier. Define backup expiry and prevent restores from unintentionally republishing deleted records. User-exported receipts remain independently signature-checkable, subject to current trust policy.</w:t>
      </w:r>
    </w:p>
    <w:p>
      <w:r>
        <w:br w:type="page"/>
      </w:r>
    </w:p>
    <w:p>
      <w:pPr>
        <w:pStyle w:val="Heading1"/>
      </w:pPr>
      <w:r>
        <w:t>Robustness test matrix</w:t>
      </w:r>
    </w:p>
    <w:p>
      <w:r>
        <w:t>QA1. Use a frozen held-out corpus of at least 1,000 varied photos and 200 varied videos; keep tuning data separate. Include low texture, text, faces, night scenes, motion, gradients, and extreme aspect ratios. Test source-disjoint samples, real devices, and released app versions. Report per-transform and per-device results with denominators and 95% confidence intervals.</w:t>
      </w:r>
    </w:p>
    <w:tbl>
      <w:tblPr>
        <w:tblW w:type="auto" w:w="0"/>
        <w:tblLayout w:type="fixed"/>
        <w:tblLook w:firstColumn="1" w:firstRow="1" w:lastColumn="0" w:lastRow="0" w:noHBand="0" w:noVBand="1" w:val="04A0"/>
      </w:tblPr>
      <w:tblGrid>
        <w:gridCol w:w="1584"/>
        <w:gridCol w:w="4608"/>
        <w:gridCol w:w="3672"/>
      </w:tblGrid>
      <w:tr>
        <w:trPr>
          <w:cantSplit/>
          <w:tblHeader/>
        </w:trPr>
        <w:tc>
          <w:tcPr>
            <w:tcW w:type="dxa" w:w="1584"/>
            <w:tcBorders>
              <w:top w:val="single" w:sz="4" w:color="D9D9D9"/>
              <w:left w:val="single" w:sz="4" w:color="D9D9D9"/>
              <w:bottom w:val="single" w:sz="4" w:color="D9D9D9"/>
              <w:right w:val="single" w:sz="4" w:color="D9D9D9"/>
            </w:tcBorders>
            <w:shd w:fill="E8EEF3"/>
          </w:tcPr>
          <w:p>
            <w:pPr>
              <w:spacing w:after="100" w:before="100"/>
            </w:pPr>
            <w:r>
              <w:rPr>
                <w:b/>
                <w:sz w:val="20"/>
              </w:rPr>
              <w:t>Test family</w:t>
            </w:r>
          </w:p>
        </w:tc>
        <w:tc>
          <w:tcPr>
            <w:tcW w:type="dxa" w:w="4608"/>
            <w:tcBorders>
              <w:top w:val="single" w:sz="4" w:color="D9D9D9"/>
              <w:left w:val="single" w:sz="4" w:color="D9D9D9"/>
              <w:bottom w:val="single" w:sz="4" w:color="D9D9D9"/>
              <w:right w:val="single" w:sz="4" w:color="D9D9D9"/>
            </w:tcBorders>
            <w:shd w:fill="E8EEF3"/>
          </w:tcPr>
          <w:p>
            <w:pPr>
              <w:spacing w:after="100" w:before="100"/>
            </w:pPr>
            <w:r>
              <w:rPr>
                <w:b/>
                <w:sz w:val="20"/>
              </w:rPr>
              <w:t>Required cases</w:t>
            </w:r>
          </w:p>
        </w:tc>
        <w:tc>
          <w:tcPr>
            <w:tcW w:type="dxa" w:w="3672"/>
            <w:tcBorders>
              <w:top w:val="single" w:sz="4" w:color="D9D9D9"/>
              <w:left w:val="single" w:sz="4" w:color="D9D9D9"/>
              <w:bottom w:val="single" w:sz="4" w:color="D9D9D9"/>
              <w:right w:val="single" w:sz="4" w:color="D9D9D9"/>
            </w:tcBorders>
            <w:shd w:fill="E8EEF3"/>
          </w:tcPr>
          <w:p>
            <w:pPr>
              <w:spacing w:after="100" w:before="100"/>
            </w:pPr>
            <w:r>
              <w:rPr>
                <w:b/>
                <w:sz w:val="20"/>
              </w:rPr>
              <w:t>Proposed recovery gate</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20"/>
              </w:rPr>
              <w:t>Baseline</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b w:val="0"/>
                <w:sz w:val="20"/>
              </w:rPr>
              <w:t>Original exports; metadata-only removal without changing content.</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100% corpus ID recovery and exact defined-content matches.</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20"/>
              </w:rPr>
              <w:t>Photo sharing</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b w:val="0"/>
                <w:sz w:val="20"/>
              </w:rPr>
              <w:t>JPEG Q90/Q70/Q50 separately; resize long edge to 2048/1024/512; retained crop areas 75% and 50%, varied positions.</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At least 99% per case at 1024+ pixels, Q70+, or 75% crop; 95% in stress cases.</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20"/>
              </w:rPr>
              <w:t>Screenshots</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b w:val="0"/>
                <w:sz w:val="20"/>
              </w:rPr>
              <w:t>Actual iOS/Android/desktop captures; borders, letterboxing, 100%/125%/150% display scale; media long edge 512 and 1024+.</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At least 95% per device/size bucket after region selection; auto-region success reported separately.</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20"/>
              </w:rPr>
              <w:t>Geometry and color</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b w:val="0"/>
                <w:sz w:val="20"/>
              </w:rPr>
              <w:t>Rotations ±5° and 90°; gamma 0.8/1.2; brightness ±10%; overlays over 10% of area.</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At least 95% per declared case; record visual quality and exact-match failure.</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20"/>
              </w:rPr>
              <w:t>Combined photo edits</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b w:val="0"/>
                <w:sz w:val="20"/>
              </w:rPr>
              <w:t>Screenshot → 75% crop → 1024 resize → JPEG Q70. Pin order and implementations.</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At least 90%; never infer exact integrity from recovery.</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20"/>
              </w:rPr>
              <w:t>Video sharing</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b w:val="0"/>
                <w:sz w:val="20"/>
              </w:rPr>
              <w:t>1080p H.264 4 Mbps; 720p 2 Mbps; 30→24 fps; 5-second excerpt; phone screen recording.</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At least 95% per case using a 5-second window; pin codecs and content classes.</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20"/>
              </w:rPr>
              <w:t>Video stills</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b w:val="0"/>
                <w:sz w:val="20"/>
              </w:rPr>
              <w:t>Ten randomly selected frames per clip, including screenshots of playback with controls.</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At least 90% single-frame recovery target; no full-video verification.</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20"/>
              </w:rPr>
              <w:t>Beyond envelope</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b w:val="0"/>
                <w:sz w:val="20"/>
              </w:rPr>
              <w:t>25% crop retention, long edge 256, repeated edits, blur, print/scan, camera recapture, learned removal.</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Measure and disclose; no universal survival promise or positive integrity shortcut.</w:t>
            </w:r>
          </w:p>
        </w:tc>
      </w:tr>
    </w:tbl>
    <w:p>
      <w:pPr>
        <w:pStyle w:val="Heading2"/>
      </w:pPr>
      <w:r>
        <w:t>How to use these targets</w:t>
      </w:r>
    </w:p>
    <w:p>
      <w:r>
        <w:t>All thresholds are proposed goals, not measured capabilities. A recovery success means the correct complete identifier, not a detector score or partial bits. Pin encoder versions and settings; JPEG quality values alone are not portable. Do not average away a failing device or transformation. If a gate fails, improve the implementation or explicitly narrow the published support envelope before launch.</w:t>
      </w:r>
    </w:p>
    <w:p>
      <w:r>
        <w:br w:type="page"/>
      </w:r>
    </w:p>
    <w:p>
      <w:pPr>
        <w:pStyle w:val="Heading1"/>
      </w:pPr>
      <w:r>
        <w:t>Security quality and launch gates</w:t>
      </w:r>
    </w:p>
    <w:p>
      <w:pPr>
        <w:pStyle w:val="Heading2"/>
      </w:pPr>
      <w:r>
        <w:t>Adversarial tests</w:t>
      </w:r>
    </w:p>
    <w:p>
      <w:r>
        <w:t>QA2. Test forged signatures, copied watermarks, valid records attached to unrelated media, slight semantic edits, synthesized media, invalid trust chains, replayed/expired challenges, substituted request hashes, revoked keys, and malformed records. For video add frame replacement, duplication, omission, order changes, truncation, splicing, audio removal/replacement, and time shifts. Zero false exact-integrity results in the release corpus is mandatory.</w:t>
      </w:r>
    </w:p>
    <w:p>
      <w:r>
        <w:t>QA3. Measure detector false positives on at least 300,000 unmarked inputs across the entire search procedure, including multiple crops and model attempts. With zero observed positives, report an approximate 95% upper bound of 3/N, not zero real-world risk. Track false detection, wrong-ID recovery, wrong-record lookup, and false cryptographic acceptance separately. Freeze thresholds before final evaluation.</w:t>
      </w:r>
    </w:p>
    <w:p>
      <w:pPr>
        <w:pStyle w:val="Heading2"/>
      </w:pPr>
      <w:r>
        <w:t>Quality and performance</w:t>
      </w:r>
    </w:p>
    <w:p>
      <w:r>
        <w:t>QA4. Proposed quality floor: mean SSIM at least 0.98 and fifth percentile at least 0.95 versus an identically encoded unwatermarked baseline. Supplement with blinded side-by-side review on actual displays, including motion/flicker. No conspicuous artifact may be hidden by a favorable average. Resolve visibility/recovery tradeoffs explicitly.</w:t>
      </w:r>
    </w:p>
    <w:p>
      <w:r>
        <w:t>QA5. Proposed p95 goals on named reference phones: photo finalization within two seconds; 60-second video finalization within 15 seconds; video verification at least playback speed; bounded peak memory below 512 MB incremental usage. Record energy and thermals during ten consecutive clips. These targets may require algorithm optimization; no performance promise before measurement.</w:t>
      </w:r>
    </w:p>
    <w:p>
      <w:pPr>
        <w:pStyle w:val="Heading2"/>
      </w:pPr>
      <w:r>
        <w:t>Delivery instructions</w:t>
      </w:r>
    </w:p>
    <w:tbl>
      <w:tblPr>
        <w:tblW w:type="auto" w:w="0"/>
        <w:tblLayout w:type="fixed"/>
        <w:tblLook w:firstColumn="1" w:firstRow="1" w:lastColumn="0" w:lastRow="0" w:noHBand="0" w:noVBand="1" w:val="04A0"/>
      </w:tblPr>
      <w:tblGrid>
        <w:gridCol w:w="2304"/>
        <w:gridCol w:w="7560"/>
      </w:tblGrid>
      <w:tr>
        <w:trPr>
          <w:cantSplit/>
          <w:tblHeader/>
        </w:trPr>
        <w:tc>
          <w:tcPr>
            <w:tcW w:type="dxa" w:w="2304"/>
            <w:tcBorders>
              <w:top w:val="single" w:sz="4" w:color="D9D9D9"/>
              <w:left w:val="single" w:sz="4" w:color="D9D9D9"/>
              <w:bottom w:val="single" w:sz="4" w:color="D9D9D9"/>
              <w:right w:val="single" w:sz="4" w:color="D9D9D9"/>
            </w:tcBorders>
            <w:shd w:fill="E8EEF3"/>
          </w:tcPr>
          <w:p>
            <w:pPr>
              <w:spacing w:after="100" w:before="100"/>
            </w:pPr>
            <w:r>
              <w:rPr>
                <w:b/>
                <w:sz w:val="20"/>
              </w:rPr>
              <w:t>Step and owner</w:t>
            </w:r>
          </w:p>
        </w:tc>
        <w:tc>
          <w:tcPr>
            <w:tcW w:type="dxa" w:w="7560"/>
            <w:tcBorders>
              <w:top w:val="single" w:sz="4" w:color="D9D9D9"/>
              <w:left w:val="single" w:sz="4" w:color="D9D9D9"/>
              <w:bottom w:val="single" w:sz="4" w:color="D9D9D9"/>
              <w:right w:val="single" w:sz="4" w:color="D9D9D9"/>
            </w:tcBorders>
            <w:shd w:fill="E8EEF3"/>
          </w:tcPr>
          <w:p>
            <w:pPr>
              <w:spacing w:after="100" w:before="100"/>
            </w:pPr>
            <w:r>
              <w:rPr>
                <w:b/>
                <w:sz w:val="20"/>
              </w:rPr>
              <w:t>Required reviewable output</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1  Product and security</w:t>
            </w:r>
          </w:p>
        </w:tc>
        <w:tc>
          <w:tcPr>
            <w:tcW w:type="dxa" w:w="7560"/>
            <w:tcBorders>
              <w:top w:val="single" w:sz="4" w:color="D9D9D9"/>
              <w:left w:val="single" w:sz="4" w:color="D9D9D9"/>
              <w:bottom w:val="single" w:sz="4" w:color="D9D9D9"/>
              <w:right w:val="single" w:sz="4" w:color="D9D9D9"/>
            </w:tcBorders>
            <w:shd w:fill="FFFFFF"/>
          </w:tcPr>
          <w:p>
            <w:pPr>
              <w:spacing w:after="100" w:before="100"/>
            </w:pPr>
            <w:r>
              <w:rPr>
                <w:b w:val="0"/>
                <w:sz w:val="20"/>
              </w:rPr>
              <w:t>Threat model, claim vocabulary, trust policy, supported platforms, and exact success/failure examples.</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2  Watermark engineering</w:t>
            </w:r>
          </w:p>
        </w:tc>
        <w:tc>
          <w:tcPr>
            <w:tcW w:type="dxa" w:w="7560"/>
            <w:tcBorders>
              <w:top w:val="single" w:sz="4" w:color="D9D9D9"/>
              <w:left w:val="single" w:sz="4" w:color="D9D9D9"/>
              <w:bottom w:val="single" w:sz="4" w:color="D9D9D9"/>
              <w:right w:val="single" w:sz="4" w:color="D9D9D9"/>
            </w:tcBorders>
            <w:shd w:fill="FFFFFF"/>
          </w:tcPr>
          <w:p>
            <w:pPr>
              <w:spacing w:after="100" w:before="100"/>
            </w:pPr>
            <w:r>
              <w:rPr>
                <w:b w:val="0"/>
                <w:sz w:val="20"/>
              </w:rPr>
              <w:t>Pinned candidate comparison: usable payload, screenshots/crops/video recovery, quality, mobile cost, licenses, and selected envelope.</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3  Protocol engineering</w:t>
            </w:r>
          </w:p>
        </w:tc>
        <w:tc>
          <w:tcPr>
            <w:tcW w:type="dxa" w:w="7560"/>
            <w:tcBorders>
              <w:top w:val="single" w:sz="4" w:color="D9D9D9"/>
              <w:left w:val="single" w:sz="4" w:color="D9D9D9"/>
              <w:bottom w:val="single" w:sz="4" w:color="D9D9D9"/>
              <w:right w:val="single" w:sz="4" w:color="D9D9D9"/>
            </w:tcBorders>
            <w:shd w:fill="FFFFFF"/>
          </w:tcPr>
          <w:p>
            <w:pPr>
              <w:spacing w:after="100" w:before="100"/>
            </w:pPr>
            <w:r>
              <w:rPr>
                <w:b w:val="0"/>
                <w:sz w:val="20"/>
              </w:rPr>
              <w:t>Record schema, canonical photo/video rules, signing flow, golden vectors, replay and revocation tests.</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4  Mobile and backend</w:t>
            </w:r>
          </w:p>
        </w:tc>
        <w:tc>
          <w:tcPr>
            <w:tcW w:type="dxa" w:w="7560"/>
            <w:tcBorders>
              <w:top w:val="single" w:sz="4" w:color="D9D9D9"/>
              <w:left w:val="single" w:sz="4" w:color="D9D9D9"/>
              <w:bottom w:val="single" w:sz="4" w:color="D9D9D9"/>
              <w:right w:val="single" w:sz="4" w:color="D9D9D9"/>
            </w:tcBorders>
            <w:shd w:fill="FFFFFF"/>
          </w:tcPr>
          <w:p>
            <w:pPr>
              <w:spacing w:after="100" w:before="100"/>
            </w:pPr>
            <w:r>
              <w:rPr>
                <w:b w:val="0"/>
                <w:sz w:val="20"/>
              </w:rPr>
              <w:t>Photo/video capture through independent verification; private defaults; durable queue; signed records and receipts.</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5  QA and security</w:t>
            </w:r>
          </w:p>
        </w:tc>
        <w:tc>
          <w:tcPr>
            <w:tcW w:type="dxa" w:w="7560"/>
            <w:tcBorders>
              <w:top w:val="single" w:sz="4" w:color="D9D9D9"/>
              <w:left w:val="single" w:sz="4" w:color="D9D9D9"/>
              <w:bottom w:val="single" w:sz="4" w:color="D9D9D9"/>
              <w:right w:val="single" w:sz="4" w:color="D9D9D9"/>
            </w:tcBorders>
            <w:shd w:fill="FFFFFF"/>
          </w:tcPr>
          <w:p>
            <w:pPr>
              <w:spacing w:after="100" w:before="100"/>
            </w:pPr>
            <w:r>
              <w:rPr>
                <w:b w:val="0"/>
                <w:sz w:val="20"/>
              </w:rPr>
              <w:t>Frozen corpus results, parser fuzzing, injection tests, outage/restore drills, and privacy traffic audit.</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6  Product release</w:t>
            </w:r>
          </w:p>
        </w:tc>
        <w:tc>
          <w:tcPr>
            <w:tcW w:type="dxa" w:w="7560"/>
            <w:tcBorders>
              <w:top w:val="single" w:sz="4" w:color="D9D9D9"/>
              <w:left w:val="single" w:sz="4" w:color="D9D9D9"/>
              <w:bottom w:val="single" w:sz="4" w:color="D9D9D9"/>
              <w:right w:val="single" w:sz="4" w:color="D9D9D9"/>
            </w:tcBorders>
            <w:shd w:fill="FFFFFF"/>
          </w:tcPr>
          <w:p>
            <w:pPr>
              <w:spacing w:after="100" w:before="100"/>
            </w:pPr>
            <w:r>
              <w:rPr>
                <w:b w:val="0"/>
                <w:sz w:val="20"/>
              </w:rPr>
              <w:t>Documented support matrix, unresolved limitations, and pilot comprehension: at least 9/10 reviewers distinguish recovery from integrity.</w:t>
            </w:r>
          </w:p>
        </w:tc>
      </w:tr>
    </w:tbl>
    <w:p>
      <w:r>
        <w:t>Block launch on false positive integrity, prohibited data leakage, canonicalization disagreement, replay acceptance, unsigned model updates, or unexplained media loss. No timeline is committed before the watermark/device feasibility gate. Named owners and budget remain to be assigned.</w:t>
      </w:r>
    </w:p>
    <w:p>
      <w:r>
        <w:br w:type="page"/>
      </w:r>
    </w:p>
    <w:p>
      <w:pPr>
        <w:pStyle w:val="Heading1"/>
      </w:pPr>
      <w:r>
        <w:t>Reference basis and implementation decisions</w:t>
      </w:r>
    </w:p>
    <w:p>
      <w:pPr>
        <w:pStyle w:val="Heading2"/>
      </w:pPr>
      <w:r>
        <w:t>Primary technical sources</w:t>
      </w:r>
    </w:p>
    <w:p>
      <w:r>
        <w:t>1. Adobe TrustMark configuration describes a capacity, robustness, and visibility tradeoff. Its documented 100-bit raw payload has less usable data after error correction, so it is a comparison baseline rather than a drop-in implementation of the proposed 128-bit identifier.</w:t>
        <w:br/>
        <w:t>https://github.com/adobe/trustmark/blob/main/python/CONFIG.md</w:t>
      </w:r>
    </w:p>
    <w:p>
      <w:r>
        <w:t>2. Meta VideoSeal provides image/video watermarking models and evaluation code, including temporal processing. Its published capabilities must be remeasured on our mobile pipeline and data; they do not establish ProofCam performance.</w:t>
        <w:br/>
        <w:t>https://github.com/facebookresearch/videoseal</w:t>
      </w:r>
    </w:p>
    <w:p>
      <w:r>
        <w:t>3. C2PA guidance separates watermark-based record discovery from cryptographic content binding. This custom protocol does not claim C2PA compliance.</w:t>
        <w:br/>
        <w:t>https://spec.c2pa.org/specifications/specifications/2.2/guidance/Guidance.html</w:t>
      </w:r>
    </w:p>
    <w:p>
      <w:r>
        <w:t>4. Apple App Attest supports app/key integrity evidence and server validation. It does not independently certify photographic scene truth.</w:t>
        <w:br/>
        <w:t>https://developer.apple.com/documentation/devicecheck</w:t>
        <w:br/>
        <w:t>https://developer.apple.com/documentation/devicecheck/validating-apps-that-connect-to-your-server</w:t>
      </w:r>
    </w:p>
    <w:p>
      <w:r>
        <w:t>5. Android Play Integrity provides request/app/device integrity signals; request hashing must be checked server-side. Android Keystore provides protected key capabilities with device-dependent assurance.</w:t>
        <w:br/>
        <w:t>https://developer.android.com/google/play/integrity/standard</w:t>
        <w:br/>
        <w:t>https://developer.android.com/privacy-and-security/keystore</w:t>
      </w:r>
    </w:p>
    <w:p>
      <w:r>
        <w:t>6. Native media APIs are integration starting points; watermarking and signing require additional implementation.</w:t>
        <w:br/>
        <w:t>https://developer.android.com/media/camera/camerax/video-capture</w:t>
        <w:br/>
        <w:t>https://developer.apple.com/documentation/avfoundation/avassetwriter</w:t>
      </w:r>
    </w:p>
    <w:p>
      <w:pPr>
        <w:pStyle w:val="Heading2"/>
      </w:pPr>
      <w:r>
        <w:t>Decisions to close before implementation</w:t>
      </w:r>
    </w:p>
    <w:p>
      <w:pPr>
        <w:pStyle w:val="ListBullet"/>
      </w:pPr>
      <w:r>
        <w:t>Choose the watermark model and payload layout only after net-capacity and screenshot benchmarks. Check licenses for code, weights, and commercial distribution separately.</w:t>
      </w:r>
    </w:p>
    <w:p>
      <w:pPr>
        <w:pStyle w:val="ListBullet"/>
      </w:pPr>
      <w:r>
        <w:t>Choose minimum OS versions and at least three iPhone and three Android reference devices spanning supported performance levels. Validate on-device model conversion and browser decoding.</w:t>
      </w:r>
    </w:p>
    <w:p>
      <w:pPr>
        <w:pStyle w:val="ListBullet"/>
      </w:pPr>
      <w:r>
        <w:t>Freeze canonical media serialization, supported MP4 semantics, signature envelope, public trust policy, retention terms, and offline receipt format.</w:t>
      </w:r>
    </w:p>
    <w:p>
      <w:pPr>
        <w:pStyle w:val="ListBullet"/>
      </w:pPr>
      <w:r>
        <w:t>Choose whether stronger capture assurance requires a future manufacturer partnership. Keep screen-recapture and zero-knowledge location research outside current guarantees.</w:t>
      </w:r>
    </w:p>
    <w:p>
      <w:pPr>
        <w:pStyle w:val="Heading2"/>
      </w:pPr>
      <w:r>
        <w:t>Deliverable status</w:t>
      </w:r>
    </w:p>
    <w:p>
      <w:r>
        <w:t>This document specifies what engineering must build and test. It does not indicate that an app, backend, watermark model, security audit, or robustness benchmark has been completed. The signed-baseline guarantee begins after final encoding; it does not certify the absence of AI content before signing.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 xml:space="preserve">ProofCam  •  Product requirements  •  Draft v0.4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