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宋体"/>
          <w:sz w:val="28"/>
        </w:rPr>
        <w:t>专土23-07广钢新城加压站建设工程总承包倩薇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流程节点</w:t>
            </w:r>
          </w:p>
        </w:tc>
        <w:tc>
          <w:tcPr>
            <w:tcW w:type="dxa" w:w="4320"/>
          </w:tcPr>
          <w:p>
            <w:r>
              <w:t>日期</w:t>
            </w:r>
          </w:p>
        </w:tc>
      </w:tr>
      <w:tr>
        <w:tc>
          <w:tcPr>
            <w:tcW w:type="dxa" w:w="4320"/>
          </w:tcPr>
          <w:p>
            <w:r>
              <w:t>供应商推荐表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询比\单源\直接采购记录及结果呈批表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合同文件呈批表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用章申请表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合同签订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阳光采购平台公布结果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合同交底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