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惠州至肇庆高速公路白云至三水段项目给排水迁改工程</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去玩儿</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啊我虽然</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w:t>
            </w:r>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613EC60-39C5-48FA-A3A6-9386A4F8AE2D}"/>
  </w:font>
  <w:font w:name="仿宋_GB2312">
    <w:altName w:val="仿宋"/>
    <w:panose1 w:val="02010609030101010101"/>
    <w:charset w:val="86"/>
    <w:family w:val="modern"/>
    <w:pitch w:val="default"/>
    <w:sig w:usb0="00000000" w:usb1="00000000" w:usb2="00000010" w:usb3="00000000" w:csb0="00040000" w:csb1="00000000"/>
    <w:embedRegular r:id="rId2" w:fontKey="{9B9FB4B0-CD4A-41FF-96CF-C30D58F25390}"/>
  </w:font>
  <w:font w:name="仿宋">
    <w:panose1 w:val="02010609060101010101"/>
    <w:charset w:val="86"/>
    <w:family w:val="auto"/>
    <w:pitch w:val="default"/>
    <w:sig w:usb0="800002BF" w:usb1="38CF7CFA" w:usb2="00000016" w:usb3="00000000" w:csb0="00040001" w:csb1="00000000"/>
    <w:embedRegular r:id="rId3" w:fontKey="{717F3A57-679A-453E-BFBE-3D141C4A4662}"/>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0715843"/>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2026-03-23T14:13:20Z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