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惠州至肇庆高速公路白云至三水段项目给排水迁改工程</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请问请问</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千问</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w:t>
            </w:r>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613EC60-39C5-48FA-A3A6-9386A4F8AE2D}"/>
  </w:font>
  <w:font w:name="仿宋_GB2312">
    <w:altName w:val="仿宋"/>
    <w:panose1 w:val="02010609030101010101"/>
    <w:charset w:val="86"/>
    <w:family w:val="modern"/>
    <w:pitch w:val="default"/>
    <w:sig w:usb0="00000000" w:usb1="00000000" w:usb2="00000010" w:usb3="00000000" w:csb0="00040000" w:csb1="00000000"/>
    <w:embedRegular r:id="rId2" w:fontKey="{9B9FB4B0-CD4A-41FF-96CF-C30D58F25390}"/>
  </w:font>
  <w:font w:name="仿宋">
    <w:panose1 w:val="02010609060101010101"/>
    <w:charset w:val="86"/>
    <w:family w:val="auto"/>
    <w:pitch w:val="default"/>
    <w:sig w:usb0="800002BF" w:usb1="38CF7CFA" w:usb2="00000016" w:usb3="00000000" w:csb0="00040001" w:csb1="00000000"/>
    <w:embedRegular r:id="rId3" w:fontKey="{717F3A57-679A-453E-BFBE-3D141C4A4662}"/>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0715843"/>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0</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2026-03-23T14:13:20Z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