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color w:val="0000FF"/>
          <w:lang w:val="en-US" w:eastAsia="zh-CN"/>
        </w:rPr>
        <w:t>{{caigou_xiangmu_ming}}</w:t>
      </w:r>
      <w:r>
        <w:rPr>
          <w:rFonts w:hint="eastAsia" w:ascii="宋体" w:hAnsi="宋体" w:eastAsia="宋体" w:cs="宋体"/>
          <w:lang w:val="en-US" w:eastAsia="zh-CN"/>
        </w:rPr>
        <w:t>意向供应商</w:t>
      </w:r>
      <w:r>
        <w:rPr>
          <w:rFonts w:hint="eastAsia" w:ascii="宋体" w:hAnsi="宋体" w:eastAsia="宋体" w:cs="宋体"/>
        </w:rPr>
        <w:t>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1CEF3A09">
      <w:pPr>
        <w:adjustRightInd w:val="0"/>
        <w:snapToGrid w:val="0"/>
        <w:spacing w:line="600" w:lineRule="exact"/>
        <w:jc w:val="left"/>
        <w:rPr>
          <w:rFonts w:ascii="Times New Roman" w:hAnsi="Times New Roman" w:eastAsia="仿宋_GB2312" w:cs="Times New Roman"/>
          <w:color w:val="auto"/>
          <w:sz w:val="28"/>
          <w:szCs w:val="28"/>
          <w:highlight w:val="non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w:t>
      </w:r>
    </w:p>
    <w:p w14:paraId="28F1396A">
      <w:pPr>
        <w:adjustRightInd w:val="0"/>
        <w:snapToGrid w:val="0"/>
        <w:spacing w:line="600" w:lineRule="exact"/>
        <w:jc w:val="left"/>
        <w:rPr>
          <w:rFonts w:ascii="仿宋_GB2312" w:eastAsia="仿宋_GB2312"/>
          <w:sz w:val="28"/>
          <w:szCs w:val="28"/>
          <w:u w:val="single"/>
        </w:rPr>
      </w:pPr>
      <w:r>
        <w:rPr>
          <w:rFonts w:ascii="Times New Roman" w:hAnsi="Times New Roman" w:eastAsia="仿宋_GB2312" w:cs="Times New Roman"/>
          <w:color w:val="auto"/>
          <w:sz w:val="28"/>
          <w:szCs w:val="28"/>
          <w:highlight w:val="none"/>
        </w:rPr>
        <w:t>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2F1D83F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65ED7BF1">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b w:val="0"/>
          <w:bCs w:val="0"/>
          <w:color w:val="auto"/>
          <w:sz w:val="28"/>
          <w:szCs w:val="28"/>
          <w:lang w:val="en-US" w:eastAsia="zh-CN"/>
        </w:rPr>
      </w:pPr>
      <w:r>
        <w:rPr>
          <w:rFonts w:hint="eastAsia" w:ascii="仿宋_GB2312" w:eastAsia="仿宋_GB2312"/>
          <w:b w:val="0"/>
          <w:bCs w:val="0"/>
          <w:color w:val="auto"/>
          <w:sz w:val="28"/>
          <w:szCs w:val="28"/>
          <w:lang w:val="en-US" w:eastAsia="zh-CN"/>
        </w:rPr>
        <w:t>4.凡符合要求的供应商可提交采购意向，不限于《广州市自来水工程有限公司优质供应商诚信清单》内供应商。</w:t>
      </w:r>
    </w:p>
    <w:p w14:paraId="410FCFFC">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keepNext/>
        <w:keepLines/>
        <w:pageBreakBefore w:val="0"/>
        <w:widowControl w:val="0"/>
        <w:kinsoku/>
        <w:wordWrap/>
        <w:overflowPunct/>
        <w:topLinePunct w:val="0"/>
        <w:autoSpaceDE/>
        <w:autoSpaceDN/>
        <w:bidi w:val="0"/>
        <w:adjustRightInd w:val="0"/>
        <w:snapToGrid w:val="0"/>
        <w:spacing w:line="600" w:lineRule="exact"/>
        <w:ind w:firstLine="560" w:firstLineChars="200"/>
        <w:textAlignment w:val="auto"/>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bookmarkStart w:id="1" w:name="_GoBack"/>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bookmarkEnd w:id="1"/>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0000FF"/>
          <w:sz w:val="28"/>
          <w:szCs w:val="28"/>
          <w:u w:val="single"/>
          <w:lang w:val="en-US" w:eastAsia="zh-CN"/>
        </w:rPr>
        <w:t>{{yixiang_baoming_jiezhi_year}}</w:t>
      </w:r>
      <w:r>
        <w:rPr>
          <w:rFonts w:hint="eastAsia" w:ascii="仿宋_GB2312" w:eastAsia="仿宋_GB2312"/>
          <w:sz w:val="28"/>
          <w:szCs w:val="28"/>
        </w:rPr>
        <w:t>年</w:t>
      </w:r>
      <w:r>
        <w:rPr>
          <w:rFonts w:hint="eastAsia" w:ascii="仿宋_GB2312" w:eastAsia="仿宋_GB2312"/>
          <w:color w:val="0000FF"/>
          <w:sz w:val="28"/>
          <w:szCs w:val="28"/>
          <w:u w:val="single"/>
          <w:lang w:val="en-US" w:eastAsia="zh-CN"/>
        </w:rPr>
        <w:t>{{yixiang_baoming_jiezhi_month}}</w:t>
      </w:r>
      <w:r>
        <w:rPr>
          <w:rFonts w:hint="eastAsia" w:ascii="仿宋_GB2312" w:eastAsia="仿宋_GB2312"/>
          <w:sz w:val="28"/>
          <w:szCs w:val="28"/>
        </w:rPr>
        <w:t>月</w:t>
      </w:r>
      <w:r>
        <w:rPr>
          <w:rFonts w:hint="eastAsia" w:ascii="仿宋_GB2312" w:eastAsia="仿宋_GB2312"/>
          <w:color w:val="0000FF"/>
          <w:sz w:val="28"/>
          <w:szCs w:val="28"/>
          <w:u w:val="single"/>
          <w:lang w:val="en-US" w:eastAsia="zh-CN"/>
        </w:rPr>
        <w:t>{{yixiang_baoming_jiezhi_day}}</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016C136D">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keepNext/>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keepNext/>
        <w:keepLines/>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p>
    <w:p w14:paraId="15BDF0DE">
      <w:pPr>
        <w:keepNext/>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keepNext/>
        <w:keepLines/>
        <w:pageBreakBefore w:val="0"/>
        <w:widowControl w:val="0"/>
        <w:kinsoku/>
        <w:wordWrap/>
        <w:overflowPunct/>
        <w:topLinePunct w:val="0"/>
        <w:autoSpaceDE/>
        <w:autoSpaceDN/>
        <w:bidi w:val="0"/>
        <w:ind w:firstLine="4200" w:firstLineChars="1500"/>
        <w:textAlignment w:val="auto"/>
        <w:rPr>
          <w:rFonts w:hint="eastAsia" w:ascii="仿宋_GB2312" w:eastAsia="仿宋_GB2312"/>
          <w:sz w:val="28"/>
          <w:szCs w:val="28"/>
          <w:u w:val="none"/>
        </w:rPr>
      </w:pPr>
      <w:r>
        <w:rPr>
          <w:rFonts w:hint="eastAsia" w:ascii="仿宋_GB2312" w:eastAsia="仿宋_GB2312"/>
          <w:color w:val="0000FF"/>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color w:val="0000FF"/>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color w:val="0000FF"/>
          <w:sz w:val="28"/>
          <w:szCs w:val="28"/>
          <w:u w:val="none"/>
          <w:lang w:val="en-US" w:eastAsia="zh-CN"/>
        </w:rPr>
        <w:t>{{gonggao_day}}</w:t>
      </w: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日</w:t>
      </w:r>
    </w:p>
    <w:p w14:paraId="4440A1CE">
      <w:pPr>
        <w:keepNext w:val="0"/>
        <w:keepLines w:val="0"/>
        <w:pageBreakBefore/>
        <w:widowControl w:val="0"/>
        <w:kinsoku/>
        <w:wordWrap/>
        <w:overflowPunct/>
        <w:topLinePunct w:val="0"/>
        <w:autoSpaceDE/>
        <w:autoSpaceDN/>
        <w:bidi w:val="0"/>
        <w:adjustRightInd w:val="0"/>
        <w:snapToGrid w:val="0"/>
        <w:spacing w:line="600" w:lineRule="exact"/>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{{caigou_neirong}}</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{{caigou_leixing}}</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138F1374">
      <w:pPr>
        <w:keepNext w:val="0"/>
        <w:keepLines w:val="0"/>
        <w:pageBreakBefore/>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keepNext/>
        <w:keepLines/>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p>
    <w:p w14:paraId="1A9004F5">
      <w:pPr>
        <w:keepNext/>
        <w:keepLines/>
        <w:pageBreakBefore w:val="0"/>
        <w:widowControl w:val="0"/>
        <w:kinsoku/>
        <w:wordWrap/>
        <w:overflowPunct/>
        <w:topLinePunct w:val="0"/>
        <w:autoSpaceDE/>
        <w:autoSpaceDN/>
        <w:bidi w:val="0"/>
        <w:spacing w:line="360" w:lineRule="auto"/>
        <w:jc w:val="center"/>
        <w:textAlignment w:val="auto"/>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keepNext/>
        <w:keepLines/>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auto"/>
          <w:sz w:val="28"/>
          <w:szCs w:val="28"/>
          <w:highlight w:val="none"/>
          <w:u w:val="single"/>
        </w:rPr>
      </w:pPr>
    </w:p>
    <w:p w14:paraId="0DB24359">
      <w:pPr>
        <w:keepNext/>
        <w:keepLines/>
        <w:pageBreakBefore w:val="0"/>
        <w:widowControl w:val="0"/>
        <w:kinsoku/>
        <w:wordWrap/>
        <w:overflowPunct/>
        <w:topLinePunct w:val="0"/>
        <w:autoSpaceDE/>
        <w:autoSpaceDN/>
        <w:bidi w:val="0"/>
        <w:spacing w:line="360" w:lineRule="auto"/>
        <w:textAlignment w:val="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keepNext/>
        <w:keepLines/>
        <w:pageBreakBefore w:val="0"/>
        <w:widowControl w:val="0"/>
        <w:kinsoku/>
        <w:wordWrap/>
        <w:overflowPunct/>
        <w:topLinePunct w:val="0"/>
        <w:autoSpaceDE/>
        <w:autoSpaceDN/>
        <w:bidi w:val="0"/>
        <w:ind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color w:val="0000FF"/>
          <w:sz w:val="30"/>
          <w:szCs w:val="30"/>
          <w:u w:val="single"/>
          <w:lang w:val="en-US" w:eastAsia="zh-CN"/>
        </w:rPr>
        <w:t>{{gong_cheng_ming}}</w:t>
      </w:r>
      <w:r>
        <w:rPr>
          <w:rFonts w:hint="eastAsia" w:ascii="仿宋" w:hAnsi="仿宋" w:eastAsia="仿宋" w:cs="仿宋"/>
          <w:sz w:val="30"/>
          <w:szCs w:val="30"/>
        </w:rPr>
        <w:t>”的意向报名信息，我公司决定参与</w:t>
      </w:r>
      <w:r>
        <w:rPr>
          <w:rFonts w:hint="eastAsia" w:ascii="仿宋" w:hAnsi="仿宋" w:eastAsia="仿宋" w:cs="仿宋"/>
          <w:color w:val="0000FF"/>
          <w:sz w:val="30"/>
          <w:szCs w:val="30"/>
          <w:u w:val="single"/>
          <w:lang w:val="en-US" w:eastAsia="zh-CN"/>
        </w:rPr>
        <w:t>{{caigou_neirong}}</w:t>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keepNext/>
        <w:keepLines/>
        <w:pageBreakBefore w:val="0"/>
        <w:widowControl w:val="0"/>
        <w:kinsoku/>
        <w:wordWrap/>
        <w:overflowPunct/>
        <w:topLinePunct w:val="0"/>
        <w:autoSpaceDE/>
        <w:autoSpaceDN/>
        <w:bidi w:val="0"/>
        <w:ind w:firstLine="600" w:firstLineChars="200"/>
        <w:textAlignment w:val="auto"/>
        <w:rPr>
          <w:rFonts w:ascii="仿宋" w:hAnsi="仿宋" w:eastAsia="仿宋" w:cs="仿宋"/>
          <w:sz w:val="30"/>
          <w:szCs w:val="30"/>
        </w:rPr>
      </w:pPr>
    </w:p>
    <w:p w14:paraId="03DF28C3">
      <w:pPr>
        <w:keepNext/>
        <w:keepLines/>
        <w:pageBreakBefore w:val="0"/>
        <w:widowControl w:val="0"/>
        <w:kinsoku/>
        <w:wordWrap/>
        <w:overflowPunct/>
        <w:topLinePunct w:val="0"/>
        <w:autoSpaceDE/>
        <w:autoSpaceDN/>
        <w:bidi w:val="0"/>
        <w:ind w:firstLine="600" w:firstLineChars="200"/>
        <w:textAlignment w:val="auto"/>
        <w:rPr>
          <w:rFonts w:hint="default" w:ascii="仿宋" w:hAnsi="仿宋" w:eastAsia="仿宋" w:cs="仿宋"/>
          <w:color w:val="auto"/>
          <w:sz w:val="30"/>
          <w:szCs w:val="30"/>
          <w:highlight w:val="none"/>
          <w:lang w:val="en-US" w:eastAsia="zh-CN"/>
        </w:rPr>
      </w:pPr>
    </w:p>
    <w:p w14:paraId="39C31C41">
      <w:pPr>
        <w:keepNext/>
        <w:keepLines/>
        <w:pageBreakBefore w:val="0"/>
        <w:widowControl w:val="0"/>
        <w:kinsoku/>
        <w:wordWrap/>
        <w:overflowPunct/>
        <w:topLinePunct w:val="0"/>
        <w:autoSpaceDE/>
        <w:autoSpaceDN/>
        <w:bidi w:val="0"/>
        <w:ind w:firstLine="600" w:firstLineChars="200"/>
        <w:textAlignment w:val="auto"/>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keepNext/>
        <w:keepLines/>
        <w:pageBreakBefore w:val="0"/>
        <w:widowControl w:val="0"/>
        <w:kinsoku/>
        <w:wordWrap/>
        <w:overflowPunct/>
        <w:topLinePunct w:val="0"/>
        <w:autoSpaceDE/>
        <w:autoSpaceDN/>
        <w:bidi w:val="0"/>
        <w:textAlignment w:val="auto"/>
        <w:rPr>
          <w:rFonts w:hint="eastAsia" w:ascii="仿宋" w:hAnsi="仿宋" w:eastAsia="仿宋" w:cs="仿宋"/>
          <w:color w:val="auto"/>
          <w:sz w:val="30"/>
          <w:szCs w:val="30"/>
          <w:highlight w:val="none"/>
        </w:rPr>
      </w:pPr>
    </w:p>
    <w:p w14:paraId="09201C03">
      <w:pPr>
        <w:keepNext/>
        <w:keepLines/>
        <w:pageBreakBefore w:val="0"/>
        <w:widowControl w:val="0"/>
        <w:kinsoku/>
        <w:wordWrap/>
        <w:overflowPunct/>
        <w:topLinePunct w:val="0"/>
        <w:autoSpaceDE/>
        <w:autoSpaceDN/>
        <w:bidi w:val="0"/>
        <w:textAlignment w:val="auto"/>
        <w:rPr>
          <w:rFonts w:ascii="Times New Roman" w:hAnsi="Times New Roman" w:eastAsia="仿宋_GB2312" w:cs="Times New Roman"/>
          <w:color w:val="auto"/>
          <w:sz w:val="28"/>
          <w:szCs w:val="28"/>
          <w:highlight w:val="none"/>
        </w:rPr>
      </w:pPr>
    </w:p>
    <w:p w14:paraId="03123A3F">
      <w:pPr>
        <w:keepNext/>
        <w:keepLines/>
        <w:pageBreakBefore w:val="0"/>
        <w:widowControl w:val="0"/>
        <w:kinsoku/>
        <w:wordWrap/>
        <w:overflowPunct/>
        <w:topLinePunct w:val="0"/>
        <w:autoSpaceDE/>
        <w:autoSpaceDN/>
        <w:bidi w:val="0"/>
        <w:ind w:firstLine="4900" w:firstLineChars="1750"/>
        <w:textAlignment w:val="auto"/>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keepNext/>
        <w:keepLines/>
        <w:pageBreakBefore w:val="0"/>
        <w:widowControl w:val="0"/>
        <w:kinsoku/>
        <w:wordWrap/>
        <w:overflowPunct/>
        <w:topLinePunct w:val="0"/>
        <w:autoSpaceDE/>
        <w:autoSpaceDN/>
        <w:bidi w:val="0"/>
        <w:textAlignment w:val="auto"/>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2B26E88"/>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44F11"/>
    <w:rsid w:val="17D877E4"/>
    <w:rsid w:val="18A300A1"/>
    <w:rsid w:val="19247533"/>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B157F6"/>
    <w:rsid w:val="4017144D"/>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12924"/>
    <w:rsid w:val="5502781D"/>
    <w:rsid w:val="55B83C14"/>
    <w:rsid w:val="55DA38A0"/>
    <w:rsid w:val="565C42B5"/>
    <w:rsid w:val="59363F53"/>
    <w:rsid w:val="59C11938"/>
    <w:rsid w:val="5B6A7475"/>
    <w:rsid w:val="5BCD17B1"/>
    <w:rsid w:val="5CBC4A63"/>
    <w:rsid w:val="5CDB3A5A"/>
    <w:rsid w:val="5CF410E7"/>
    <w:rsid w:val="5D3E2967"/>
    <w:rsid w:val="5E056FE1"/>
    <w:rsid w:val="5E767EDE"/>
    <w:rsid w:val="607448F1"/>
    <w:rsid w:val="61CB0541"/>
    <w:rsid w:val="63500CFE"/>
    <w:rsid w:val="641C5739"/>
    <w:rsid w:val="646A2634"/>
    <w:rsid w:val="6481216A"/>
    <w:rsid w:val="64FD2A9F"/>
    <w:rsid w:val="66636F9A"/>
    <w:rsid w:val="66763171"/>
    <w:rsid w:val="676B07FC"/>
    <w:rsid w:val="67EC1862"/>
    <w:rsid w:val="683F5B61"/>
    <w:rsid w:val="69166418"/>
    <w:rsid w:val="692E40F3"/>
    <w:rsid w:val="6B971801"/>
    <w:rsid w:val="6DB30807"/>
    <w:rsid w:val="6E900B48"/>
    <w:rsid w:val="6F0F4163"/>
    <w:rsid w:val="700417EE"/>
    <w:rsid w:val="70EE090A"/>
    <w:rsid w:val="72A2709C"/>
    <w:rsid w:val="73DD4830"/>
    <w:rsid w:val="747B1953"/>
    <w:rsid w:val="749D5D6D"/>
    <w:rsid w:val="74B13BD8"/>
    <w:rsid w:val="772A140E"/>
    <w:rsid w:val="78120820"/>
    <w:rsid w:val="789D27E0"/>
    <w:rsid w:val="78B611AB"/>
    <w:rsid w:val="7A904D34"/>
    <w:rsid w:val="7C8B294F"/>
    <w:rsid w:val="7CA0289E"/>
    <w:rsid w:val="7D1668E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1476</Words>
  <Characters>1841</Characters>
  <Lines>0</Lines>
  <Paragraphs>0</Paragraphs>
  <TotalTime>11</TotalTime>
  <ScaleCrop>false</ScaleCrop>
  <LinksUpToDate>false</LinksUpToDate>
  <CharactersWithSpaces>1967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2026-03-23T13:51:20Z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