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0"/>
          <w:szCs w:val="40"/>
          <w:highlight w:val="none"/>
          <w:lang w:val="en-US" w:eastAsia="zh-CN"/>
        </w:rPr>
      </w:pPr>
      <w:r>
        <w:rPr>
          <w:rFonts w:hint="eastAsia" w:ascii="方正小标宋简体" w:hAnsi="方正小标宋简体" w:eastAsia="方正小标宋简体" w:cs="方正小标宋简体"/>
          <w:bCs/>
          <w:color w:val="auto"/>
          <w:kern w:val="0"/>
          <w:sz w:val="40"/>
          <w:szCs w:val="40"/>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bookmarkStart w:id="0" w:name="_GoBack"/>
      <w:bookmarkEnd w:id="0"/>
      <w:r>
        <w:rPr>
          <w:rFonts w:hint="eastAsia" w:ascii="方正小标宋简体" w:hAnsi="方正小标宋简体" w:eastAsia="方正小标宋简体" w:cs="方正小标宋简体"/>
          <w:bCs/>
          <w:color w:val="auto"/>
          <w:kern w:val="0"/>
          <w:sz w:val="40"/>
          <w:szCs w:val="40"/>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3827"/>
        <w:gridCol w:w="174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41"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382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{{gong_cheng_ming}}</w:t>
            </w:r>
          </w:p>
        </w:tc>
        <w:tc>
          <w:tcPr>
            <w:tcW w:w="174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{{xiangmu_bianhao}}       {{gongcheng_bianhao}}</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382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{{caigou_xiangmu_ming}}</w:t>
            </w:r>
          </w:p>
        </w:tc>
        <w:tc>
          <w:tcPr>
            <w:tcW w:w="174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{{caigou_leixing}}</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42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74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{{gongyingshang1}}</w:t>
            </w:r>
          </w:p>
        </w:tc>
        <w:tc>
          <w:tcPr>
            <w:tcW w:w="174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{{lianxiren1}}</w:t>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{{lianxi_dianhua1}}</w:t>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{{gongyingshang2}}</w:t>
            </w:r>
          </w:p>
        </w:tc>
        <w:tc>
          <w:tcPr>
            <w:tcW w:w="174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{{lianxiren2}}</w:t>
            </w: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{{lianxi_dianhua2}}</w:t>
            </w: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{{gongyingshang3}}</w:t>
            </w:r>
          </w:p>
        </w:tc>
        <w:tc>
          <w:tcPr>
            <w:tcW w:w="174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{{lianxiren3}}</w:t>
            </w: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{{lianxi_dianhua3}}</w:t>
            </w:r>
          </w:p>
        </w:tc>
      </w:tr>
      <w:tr w14:paraId="0F18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11601C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{{gongyingshang4}}</w:t>
            </w:r>
          </w:p>
        </w:tc>
        <w:tc>
          <w:tcPr>
            <w:tcW w:w="1742" w:type="dxa"/>
            <w:shd w:val="clear" w:color="auto" w:fill="auto"/>
            <w:noWrap/>
            <w:vAlign w:val="center"/>
          </w:tcPr>
          <w:p w14:paraId="67A0E34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{{lianxiren4}}</w:t>
            </w:r>
          </w:p>
        </w:tc>
        <w:tc>
          <w:tcPr>
            <w:tcW w:w="2356" w:type="dxa"/>
            <w:shd w:val="clear" w:color="auto" w:fill="auto"/>
            <w:noWrap/>
            <w:vAlign w:val="center"/>
          </w:tcPr>
          <w:p w14:paraId="703375F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{{lianxi_dianhua4}}</w:t>
            </w:r>
          </w:p>
        </w:tc>
      </w:tr>
      <w:tr w14:paraId="3084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420" w:type="dxa"/>
            <w:gridSpan w:val="2"/>
            <w:shd w:val="clear" w:color="auto" w:fill="auto"/>
            <w:noWrap/>
            <w:vAlign w:val="center"/>
          </w:tcPr>
          <w:p w14:paraId="47D23F6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{{gongyingshang5}}</w:t>
            </w:r>
          </w:p>
        </w:tc>
        <w:tc>
          <w:tcPr>
            <w:tcW w:w="1742" w:type="dxa"/>
            <w:shd w:val="clear" w:color="auto" w:fill="auto"/>
            <w:noWrap/>
            <w:vAlign w:val="center"/>
          </w:tcPr>
          <w:p w14:paraId="318C6AFA">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{{lianxiren5}}</w:t>
            </w:r>
          </w:p>
        </w:tc>
        <w:tc>
          <w:tcPr>
            <w:tcW w:w="2356" w:type="dxa"/>
            <w:shd w:val="clear" w:color="auto" w:fill="auto"/>
            <w:noWrap/>
            <w:vAlign w:val="center"/>
          </w:tcPr>
          <w:p w14:paraId="235635D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0000FF"/>
                <w:sz w:val="21"/>
                <w:szCs w:val="21"/>
                <w:highlight w:val="none"/>
                <w:lang w:val="en-US" w:eastAsia="zh-CN"/>
              </w:rPr>
            </w:pPr>
            <w:r>
              <w:rPr>
                <w:rFonts w:hint="eastAsia" w:ascii="仿宋_GB2312" w:hAnsi="仿宋_GB2312" w:eastAsia="仿宋_GB2312" w:cs="仿宋_GB2312"/>
                <w:bCs/>
                <w:color w:val="0000FF"/>
                <w:sz w:val="21"/>
                <w:szCs w:val="21"/>
                <w:highlight w:val="none"/>
                <w:lang w:val="en-US" w:eastAsia="zh-CN"/>
              </w:rPr>
              <w:t>{{lianxi_dianhua5}}</w:t>
            </w: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5"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rPr>
              <w:t>项目</w:t>
            </w:r>
            <w:r>
              <w:rPr>
                <w:rFonts w:hint="eastAsia" w:ascii="仿宋_GB2312" w:hAnsi="仿宋_GB2312" w:eastAsia="仿宋_GB2312" w:cs="仿宋_GB2312"/>
                <w:bCs/>
                <w:color w:val="auto"/>
                <w:sz w:val="22"/>
                <w:szCs w:val="22"/>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2"/>
                <w:szCs w:val="18"/>
                <w:highlight w:val="none"/>
                <w:lang w:val="en-US" w:eastAsia="zh-CN"/>
              </w:rPr>
            </w:pPr>
            <w:r>
              <w:rPr>
                <w:rFonts w:hint="eastAsia" w:ascii="仿宋_GB2312" w:hAnsi="仿宋_GB2312" w:eastAsia="仿宋_GB2312" w:cs="仿宋_GB2312"/>
                <w:bCs/>
                <w:color w:val="auto"/>
                <w:sz w:val="22"/>
                <w:szCs w:val="22"/>
                <w:highlight w:val="none"/>
                <w:lang w:val="en-US" w:eastAsia="zh-CN"/>
              </w:rPr>
              <w:t>管理</w:t>
            </w:r>
            <w:r>
              <w:rPr>
                <w:rFonts w:hint="eastAsia" w:ascii="仿宋_GB2312" w:hAnsi="仿宋_GB2312" w:eastAsia="仿宋_GB2312" w:cs="仿宋_GB2312"/>
                <w:bCs/>
                <w:color w:val="auto"/>
                <w:sz w:val="22"/>
                <w:szCs w:val="22"/>
                <w:highlight w:val="none"/>
              </w:rPr>
              <w:t>部</w:t>
            </w:r>
            <w:r>
              <w:rPr>
                <w:rFonts w:hint="eastAsia" w:ascii="仿宋_GB2312" w:hAnsi="仿宋_GB2312" w:eastAsia="仿宋_GB2312" w:cs="仿宋_GB2312"/>
                <w:bCs/>
                <w:color w:val="auto"/>
                <w:sz w:val="22"/>
                <w:szCs w:val="22"/>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eastAsia" w:ascii="仿宋_GB2312" w:hAnsi="仿宋_GB2312" w:eastAsia="仿宋_GB2312" w:cs="仿宋_GB2312"/>
                <w:color w:val="auto"/>
                <w:sz w:val="22"/>
                <w:szCs w:val="22"/>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1</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18"/>
                <w:highlight w:val="none"/>
              </w:rPr>
            </w:pPr>
            <w:r>
              <w:rPr>
                <w:rFonts w:hint="default" w:ascii="仿宋_GB2312" w:hAnsi="仿宋" w:eastAsia="仿宋_GB2312" w:cs="宋体"/>
                <w:color w:val="auto"/>
                <w:sz w:val="22"/>
                <w:szCs w:val="22"/>
                <w:highlight w:val="none"/>
              </w:rPr>
              <w:t>2</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3</w:t>
            </w:r>
            <w:r>
              <w:rPr>
                <w:rFonts w:hint="default" w:ascii="仿宋_GB2312" w:hAnsi="仿宋_GB2312" w:eastAsia="仿宋_GB2312" w:cs="仿宋_GB2312"/>
                <w:color w:val="auto"/>
                <w:sz w:val="22"/>
                <w:szCs w:val="22"/>
                <w:highlight w:val="none"/>
              </w:rPr>
              <w:t>.</w:t>
            </w:r>
            <w:r>
              <w:rPr>
                <w:rFonts w:hint="eastAsia" w:ascii="仿宋_GB2312" w:hAnsi="仿宋_GB2312" w:eastAsia="仿宋_GB2312" w:cs="仿宋_GB2312"/>
                <w:color w:val="auto"/>
                <w:sz w:val="22"/>
                <w:szCs w:val="22"/>
                <w:highlight w:val="none"/>
                <w:lang w:eastAsia="zh-CN"/>
              </w:rPr>
              <w:t>☑</w:t>
            </w:r>
            <w:r>
              <w:rPr>
                <w:rFonts w:hint="default" w:ascii="仿宋_GB2312" w:hAnsi="仿宋_GB2312" w:eastAsia="仿宋_GB2312" w:cs="仿宋_GB2312"/>
                <w:color w:val="auto"/>
                <w:sz w:val="22"/>
                <w:szCs w:val="22"/>
                <w:highlight w:val="none"/>
              </w:rPr>
              <w:t>不具有下列任一关联关系：</w:t>
            </w:r>
          </w:p>
          <w:p w14:paraId="60768103">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color w:val="auto"/>
                <w:sz w:val="22"/>
                <w:szCs w:val="22"/>
                <w:highlight w:val="none"/>
              </w:rPr>
            </w:pPr>
            <w:r>
              <w:rPr>
                <w:rFonts w:hint="default" w:ascii="仿宋_GB2312" w:hAnsi="仿宋" w:eastAsia="仿宋_GB2312" w:cs="宋体"/>
                <w:color w:val="auto"/>
                <w:sz w:val="22"/>
                <w:szCs w:val="22"/>
                <w:highlight w:val="none"/>
              </w:rPr>
              <w:t>A</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法定代表人为同一个人的两个或两个以上企业；</w:t>
            </w:r>
          </w:p>
          <w:p w14:paraId="24D56D2C">
            <w:pPr>
              <w:keepNext w:val="0"/>
              <w:keepLines w:val="0"/>
              <w:suppressLineNumbers w:val="0"/>
              <w:spacing w:before="0" w:beforeAutospacing="0" w:after="0" w:afterAutospacing="0"/>
              <w:ind w:left="0" w:right="0" w:firstLine="358" w:firstLineChars="163"/>
              <w:contextualSpacing/>
              <w:rPr>
                <w:rFonts w:hint="default" w:ascii="仿宋_GB2312" w:hAnsi="仿宋_GB2312" w:eastAsia="仿宋_GB2312" w:cs="仿宋_GB2312"/>
                <w:bCs/>
                <w:color w:val="auto"/>
                <w:sz w:val="22"/>
                <w:szCs w:val="18"/>
                <w:highlight w:val="none"/>
              </w:rPr>
            </w:pPr>
            <w:r>
              <w:rPr>
                <w:rFonts w:hint="default" w:ascii="仿宋_GB2312" w:hAnsi="仿宋" w:eastAsia="仿宋_GB2312" w:cs="宋体"/>
                <w:color w:val="auto"/>
                <w:sz w:val="22"/>
                <w:szCs w:val="22"/>
                <w:highlight w:val="none"/>
              </w:rPr>
              <w:t>B</w:t>
            </w:r>
            <w:r>
              <w:rPr>
                <w:rFonts w:hint="eastAsia" w:ascii="仿宋_GB2312" w:hAnsi="仿宋_GB2312" w:eastAsia="仿宋_GB2312" w:cs="仿宋_GB2312"/>
                <w:color w:val="auto"/>
                <w:sz w:val="22"/>
                <w:szCs w:val="22"/>
                <w:highlight w:val="none"/>
              </w:rPr>
              <w:t>.</w:t>
            </w:r>
            <w:r>
              <w:rPr>
                <w:rFonts w:hint="default" w:ascii="仿宋_GB2312" w:hAnsi="仿宋_GB2312" w:eastAsia="仿宋_GB2312" w:cs="仿宋_GB2312"/>
                <w:color w:val="auto"/>
                <w:sz w:val="22"/>
                <w:szCs w:val="22"/>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18"/>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经办人：                     部门负责人</w:t>
            </w:r>
            <w:r>
              <w:rPr>
                <w:rFonts w:hint="eastAsia" w:ascii="仿宋_GB2312" w:hAnsi="仿宋_GB2312" w:eastAsia="仿宋_GB2312" w:cs="仿宋_GB2312"/>
                <w:bCs/>
                <w:color w:val="auto"/>
                <w:sz w:val="22"/>
                <w:szCs w:val="22"/>
                <w:highlight w:val="none"/>
                <w:lang w:eastAsia="zh-CN"/>
              </w:rPr>
              <w:t>：</w:t>
            </w:r>
          </w:p>
          <w:p w14:paraId="6500376D">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bCs/>
                <w:color w:val="auto"/>
                <w:sz w:val="22"/>
                <w:szCs w:val="18"/>
                <w:highlight w:val="none"/>
                <w:lang w:val="en-US"/>
              </w:rPr>
            </w:pPr>
            <w:r>
              <w:rPr>
                <w:rFonts w:hint="eastAsia" w:ascii="仿宋_GB2312" w:hAnsi="仿宋_GB2312" w:eastAsia="仿宋_GB2312" w:cs="仿宋_GB2312"/>
                <w:bCs/>
                <w:color w:val="auto"/>
                <w:sz w:val="22"/>
                <w:szCs w:val="22"/>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经办人：                     部门负责人：</w:t>
            </w:r>
          </w:p>
          <w:p w14:paraId="1F60FE68">
            <w:pPr>
              <w:keepNext w:val="0"/>
              <w:keepLines w:val="0"/>
              <w:suppressLineNumbers w:val="0"/>
              <w:spacing w:before="0" w:beforeAutospacing="0" w:after="0" w:afterAutospacing="0"/>
              <w:ind w:left="0" w:right="0" w:firstLine="660" w:firstLineChars="300"/>
              <w:contextualSpacing/>
              <w:rPr>
                <w:rFonts w:hint="default" w:ascii="仿宋_GB2312" w:hAnsi="仿宋_GB2312" w:eastAsia="仿宋_GB2312" w:cs="仿宋_GB2312"/>
                <w:color w:val="auto"/>
                <w:sz w:val="22"/>
                <w:szCs w:val="22"/>
                <w:highlight w:val="none"/>
                <w:lang w:val="en-US" w:eastAsia="zh-CN"/>
              </w:rPr>
            </w:pPr>
            <w:r>
              <w:rPr>
                <w:rFonts w:hint="eastAsia" w:ascii="仿宋_GB2312" w:hAnsi="仿宋_GB2312" w:eastAsia="仿宋_GB2312" w:cs="仿宋_GB2312"/>
                <w:color w:val="auto"/>
                <w:sz w:val="22"/>
                <w:szCs w:val="22"/>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850" w:right="1800" w:bottom="85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CC051626-7AE1-4292-A25D-E2D278282524}"/>
  </w:font>
  <w:font w:name="仿宋_GB2312">
    <w:altName w:val="仿宋"/>
    <w:panose1 w:val="02010609030101010101"/>
    <w:charset w:val="86"/>
    <w:family w:val="modern"/>
    <w:pitch w:val="default"/>
    <w:sig w:usb0="00000000" w:usb1="00000000" w:usb2="00000010" w:usb3="00000000" w:csb0="00040000" w:csb1="00000000"/>
    <w:embedRegular r:id="rId2" w:fontKey="{73D6E65D-D080-43FB-A814-3E7BA96E3007}"/>
  </w:font>
  <w:font w:name="仿宋">
    <w:panose1 w:val="02010609060101010101"/>
    <w:charset w:val="86"/>
    <w:family w:val="auto"/>
    <w:pitch w:val="default"/>
    <w:sig w:usb0="800002BF" w:usb1="38CF7CFA" w:usb2="00000016" w:usb3="00000000" w:csb0="00040001" w:csb1="00000000"/>
    <w:embedRegular r:id="rId3" w:fontKey="{EA4EA363-C5CF-44F0-AB71-4D0AE1786C7B}"/>
  </w:font>
  <w:font w:name="WPSEMBED5">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2B605761"/>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 w:val="7EC80A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353</Words>
  <Characters>693</Characters>
  <Lines>0</Lines>
  <Paragraphs>0</Paragraphs>
  <TotalTime>1</TotalTime>
  <ScaleCrop>false</ScaleCrop>
  <LinksUpToDate>false</LinksUpToDate>
  <CharactersWithSpaces>829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