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 xml:space="preserve">1023000401专土23-07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2"/>
                <w:szCs w:val="22"/>
                <w:lang w:val="en-US" w:eastAsia="zh-CN" w:bidi="ar-SA"/>
              </w:rPr>
              <w:t xml:space="preserve">广钢新城加压站建设工程总承包蒸汽混凝土砌块采购项目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广钢项目部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 xml:space="preserve">406917.0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 xml:space="preserve">汕头市凯鑫建材有限公司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材料采购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  ]是 [  ]否，但合同已经过法律审核，并有相关证明资料。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]否，原因：/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 xml:space="preserve">[✓]是 [  ]否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广钢新城加压站建设工程总承包根据前期策划，需要采购蒸汽混凝土砌块。经过采购程序后，与汕头市凯鑫建材有限公司签订材料采购合同。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422AED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6980918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622</Characters>
  <Lines>0</Lines>
  <Paragraphs>0</Paragraphs>
  <TotalTime>0</TotalTime>
  <ScaleCrop>false</ScaleCrop>
  <LinksUpToDate>false</LinksUpToDate>
  <CharactersWithSpaces>643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2026-03-11T14:31:51Z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