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 xml:space="preserve">广钢新城加压站建设工程总承包供水设备采购项目意向供应商</w:t>
      </w:r>
      <w:r>
        <w:rPr>
          <w:rFonts w:hint="eastAsia" w:ascii="宋体" w:hAnsi="宋体" w:eastAsia="宋体" w:cs="宋体"/>
        </w:rPr>
        <w:t xml:space="preserve">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广钢新城加压站建设工程总承包供水设备采购项目</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sz w:val="28"/>
          <w:szCs w:val="28"/>
          <w:lang w:val="en-US" w:eastAsia="zh-CN"/>
        </w:rPr>
        <w:t xml:space="preserve">广钢新城加压站建设工程总承包供水设备采购项目</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w:t>
      </w:r>
      <w:bookmarkStart w:id="1" w:name="_GoBack"/>
      <w:bookmarkEnd w:id="1"/>
      <w:r>
        <w:rPr>
          <w:rFonts w:hint="eastAsia" w:ascii="仿宋_GB2312" w:eastAsia="仿宋_GB2312"/>
          <w:sz w:val="28"/>
          <w:szCs w:val="28"/>
        </w:rPr>
        <w:t>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2F1D83F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FF0000"/>
          <w:sz w:val="28"/>
          <w:szCs w:val="28"/>
          <w:lang w:val="en-US" w:eastAsia="zh-CN"/>
        </w:rPr>
      </w:pPr>
      <w:r>
        <w:rPr>
          <w:rFonts w:hint="eastAsia" w:ascii="仿宋_GB2312" w:eastAsia="仿宋_GB2312"/>
          <w:color w:val="FF0000"/>
          <w:sz w:val="28"/>
          <w:szCs w:val="28"/>
          <w:lang w:val="en-US" w:eastAsia="zh-CN"/>
        </w:rPr>
        <w:t>4.凡符合要求的供应商可提交采购意向，不限于《广州市自来水工程有限公司优质供应商诚信清单》内供应商。</w:t>
      </w:r>
    </w:p>
    <w:p w14:paraId="410FCFFC">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sz w:val="28"/>
          <w:szCs w:val="28"/>
          <w:u w:val="single"/>
          <w:lang w:val="en-US" w:eastAsia="zh-CN"/>
        </w:rPr>
        <w:t xml:space="preserve">2025</w:t>
      </w:r>
      <w:r>
        <w:rPr>
          <w:rFonts w:hint="eastAsia" w:ascii="仿宋_GB2312" w:eastAsia="仿宋_GB2312"/>
          <w:sz w:val="28"/>
          <w:szCs w:val="28"/>
        </w:rPr>
        <w:t>年</w:t>
      </w:r>
      <w:r>
        <w:rPr>
          <w:rFonts w:hint="eastAsia" w:ascii="仿宋_GB2312" w:eastAsia="仿宋_GB2312"/>
          <w:sz w:val="28"/>
          <w:szCs w:val="28"/>
          <w:u w:val="single"/>
          <w:lang w:val="en-US" w:eastAsia="zh-CN"/>
        </w:rPr>
        <w:t xml:space="preserve">6</w:t>
      </w:r>
      <w:r>
        <w:rPr>
          <w:rFonts w:hint="eastAsia" w:ascii="仿宋_GB2312" w:eastAsia="仿宋_GB2312"/>
          <w:sz w:val="28"/>
          <w:szCs w:val="28"/>
        </w:rPr>
        <w:t>月</w:t>
      </w:r>
      <w:r>
        <w:rPr>
          <w:rFonts w:hint="eastAsia" w:ascii="仿宋_GB2312" w:eastAsia="仿宋_GB2312"/>
          <w:sz w:val="28"/>
          <w:szCs w:val="28"/>
          <w:u w:val="single"/>
          <w:lang w:val="en-US" w:eastAsia="zh-CN"/>
        </w:rPr>
        <w:t xml:space="preserve">29</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B20379E">
      <w:pPr>
        <w:adjustRightInd w:val="0"/>
        <w:snapToGrid w:val="0"/>
        <w:spacing w:line="600" w:lineRule="exact"/>
        <w:jc w:val="left"/>
        <w:rPr>
          <w:rFonts w:hint="eastAsia" w:asciiTheme="minorEastAsia" w:hAnsiTheme="minorEastAsia"/>
          <w:b/>
          <w:sz w:val="32"/>
          <w:szCs w:val="32"/>
          <w:lang w:val="en-US" w:eastAsia="zh-CN"/>
        </w:rPr>
      </w:pPr>
    </w:p>
    <w:p w14:paraId="290536B2">
      <w:pPr>
        <w:adjustRightInd w:val="0"/>
        <w:snapToGrid w:val="0"/>
        <w:spacing w:line="600" w:lineRule="exact"/>
        <w:jc w:val="left"/>
        <w:rPr>
          <w:rFonts w:hint="eastAsia" w:asciiTheme="minorEastAsia" w:hAnsiTheme="minorEastAsia"/>
          <w:b/>
          <w:sz w:val="32"/>
          <w:szCs w:val="32"/>
          <w:lang w:val="en-US" w:eastAsia="zh-CN"/>
        </w:rPr>
      </w:pPr>
    </w:p>
    <w:p w14:paraId="016C136D">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adjustRightInd w:val="0"/>
        <w:snapToGrid w:val="0"/>
        <w:spacing w:line="600" w:lineRule="exact"/>
        <w:jc w:val="left"/>
        <w:rPr>
          <w:rFonts w:ascii="仿宋_GB2312" w:eastAsia="仿宋_GB2312"/>
          <w:sz w:val="28"/>
          <w:szCs w:val="28"/>
        </w:rPr>
      </w:pPr>
    </w:p>
    <w:p w14:paraId="15BDF0DE">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ind w:firstLine="4200" w:firstLineChars="1500"/>
        <w:rPr>
          <w:rFonts w:hint="eastAsia" w:ascii="仿宋_GB2312" w:eastAsia="仿宋_GB2312"/>
          <w:sz w:val="28"/>
          <w:szCs w:val="28"/>
          <w:u w:val="none"/>
        </w:rPr>
      </w:pPr>
      <w:r>
        <w:rPr>
          <w:rFonts w:hint="eastAsia" w:ascii="仿宋_GB2312" w:eastAsia="仿宋_GB2312"/>
          <w:sz w:val="28"/>
          <w:szCs w:val="28"/>
          <w:u w:val="none"/>
          <w:lang w:val="en-US" w:eastAsia="zh-CN"/>
        </w:rPr>
        <w:t xml:space="preserve">2025</w:t>
      </w:r>
      <w:r>
        <w:rPr>
          <w:rFonts w:hint="eastAsia" w:ascii="仿宋_GB2312" w:eastAsia="仿宋_GB2312"/>
          <w:sz w:val="28"/>
          <w:szCs w:val="28"/>
          <w:u w:val="none"/>
        </w:rPr>
        <w:t>年</w:t>
      </w:r>
      <w:r>
        <w:rPr>
          <w:rFonts w:hint="eastAsia" w:ascii="仿宋_GB2312" w:eastAsia="仿宋_GB2312"/>
          <w:sz w:val="28"/>
          <w:szCs w:val="28"/>
          <w:u w:val="none"/>
          <w:lang w:val="en-US" w:eastAsia="zh-CN"/>
        </w:rPr>
        <w:t xml:space="preserve">6</w:t>
      </w:r>
      <w:r>
        <w:rPr>
          <w:rFonts w:hint="eastAsia" w:ascii="仿宋_GB2312" w:eastAsia="仿宋_GB2312"/>
          <w:sz w:val="28"/>
          <w:szCs w:val="28"/>
          <w:u w:val="none"/>
        </w:rPr>
        <w:t xml:space="preserve">月</w:t>
      </w:r>
      <w:r>
        <w:rPr>
          <w:rFonts w:hint="eastAsia" w:ascii="仿宋_GB2312" w:eastAsia="仿宋_GB2312"/>
          <w:sz w:val="28"/>
          <w:szCs w:val="28"/>
          <w:u w:val="none"/>
          <w:lang w:val="en-US" w:eastAsia="zh-CN"/>
        </w:rPr>
        <w:t xml:space="preserve">29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0E709F3F">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供水设备</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设备采购</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6CB5D782">
      <w:pPr>
        <w:adjustRightInd w:val="0"/>
        <w:snapToGrid w:val="0"/>
        <w:spacing w:line="240" w:lineRule="auto"/>
        <w:jc w:val="center"/>
        <w:rPr>
          <w:rFonts w:hint="eastAsia" w:asciiTheme="minorEastAsia" w:hAnsiTheme="minorEastAsia"/>
          <w:b/>
          <w:sz w:val="32"/>
          <w:szCs w:val="32"/>
          <w:lang w:val="en-US" w:eastAsia="zh-CN"/>
        </w:rPr>
      </w:pPr>
    </w:p>
    <w:p w14:paraId="52745B7C">
      <w:pPr>
        <w:adjustRightInd w:val="0"/>
        <w:snapToGrid w:val="0"/>
        <w:spacing w:line="240" w:lineRule="auto"/>
        <w:jc w:val="center"/>
        <w:rPr>
          <w:rFonts w:hint="eastAsia" w:asciiTheme="minorEastAsia" w:hAnsiTheme="minorEastAsia"/>
          <w:b/>
          <w:sz w:val="32"/>
          <w:szCs w:val="32"/>
          <w:lang w:val="en-US" w:eastAsia="zh-CN"/>
        </w:rPr>
      </w:pPr>
    </w:p>
    <w:p w14:paraId="138F1374">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sz w:val="30"/>
          <w:szCs w:val="30"/>
          <w:u w:val="single"/>
          <w:lang w:val="en-US" w:eastAsia="zh-CN"/>
        </w:rPr>
        <w:t xml:space="preserve">广钢新城加压站建设工程总承包</w:t>
      </w:r>
      <w:r>
        <w:rPr>
          <w:rFonts w:hint="eastAsia" w:ascii="仿宋" w:hAnsi="仿宋" w:eastAsia="仿宋" w:cs="仿宋"/>
          <w:sz w:val="30"/>
          <w:szCs w:val="30"/>
        </w:rPr>
        <w:t>”的意向报名信息，我公司决定参与</w:t>
      </w:r>
      <w:r>
        <w:rPr>
          <w:rFonts w:hint="eastAsia" w:ascii="仿宋" w:hAnsi="仿宋" w:eastAsia="仿宋" w:cs="仿宋"/>
          <w:sz w:val="30"/>
          <w:szCs w:val="30"/>
          <w:u w:val="single"/>
          <w:lang w:val="en-US" w:eastAsia="zh-CN"/>
        </w:rPr>
        <w:t xml:space="preserve"/>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1BC7E8A"/>
    <w:rsid w:val="020C62E0"/>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1475</Words>
  <Characters>1849</Characters>
  <Lines>0</Lines>
  <Paragraphs>0</Paragraphs>
  <TotalTime>0</TotalTime>
  <ScaleCrop>false</ScaleCrop>
  <LinksUpToDate>false</LinksUpToDate>
  <CharactersWithSpaces>1975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2026-03-20T14:26:24Z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