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宋体"/>
          <w:sz w:val="28"/>
        </w:rPr>
        <w:t>专机23-17N惠州至肇庆高速公路白云至三水段项目给排水迁改工程去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流程节点</w:t>
            </w:r>
          </w:p>
        </w:tc>
        <w:tc>
          <w:tcPr>
            <w:tcW w:type="dxa" w:w="4320"/>
          </w:tcPr>
          <w:p>
            <w:r>
              <w:t>日期</w:t>
            </w:r>
          </w:p>
        </w:tc>
      </w:tr>
      <w:tr>
        <w:tc>
          <w:tcPr>
            <w:tcW w:type="dxa" w:w="4320"/>
          </w:tcPr>
          <w:p>
            <w:r>
              <w:t>供应商推荐表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询比\单源\直接采购记录及结果呈批表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合同文件呈批表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用章申请表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合同签订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阳光采购平台公布结果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合同交底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