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sz w:val="28"/>
        </w:rPr>
        <w:t>专土23-07广钢新城加压站建设工程总承包格栅盖板、盲板、通风帽、冲洗快接头、堵头等材料</w:t>
      </w:r>
    </w:p>
    <w:p>
      <w:r>
        <w:t>供应商推荐表: 2025.10.15</w:t>
      </w:r>
    </w:p>
    <w:p>
      <w:r>
        <w:t>询比\单源\直接采购记录及结果呈批表: 2025.10.15</w:t>
      </w:r>
    </w:p>
    <w:p>
      <w:r>
        <w:t>合同文件呈批表: 2025.10.15</w:t>
      </w:r>
    </w:p>
    <w:p>
      <w:r>
        <w:t>用章申请表: 2025.10.15</w:t>
      </w:r>
    </w:p>
    <w:p>
      <w:r>
        <w:t>合同签订: 2025.10.15</w:t>
      </w:r>
    </w:p>
    <w:p>
      <w:r>
        <w:t>阳光采购平台公布结果: 2025.10.15</w:t>
      </w:r>
    </w:p>
    <w:p>
      <w:r>
        <w:t>合同交底: 2025.10.15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