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-387981</wp:posOffset>
                </wp:positionH>
                <wp:positionV relativeFrom="line">
                  <wp:posOffset>-751205</wp:posOffset>
                </wp:positionV>
                <wp:extent cx="636" cy="10346694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4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-620391</wp:posOffset>
                </wp:positionH>
                <wp:positionV relativeFrom="line">
                  <wp:posOffset>-732155</wp:posOffset>
                </wp:positionV>
                <wp:extent cx="636" cy="10346694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学院《组件化开发》周考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3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324" w:hanging="32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1.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5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-2198049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基本语法渲染当前月份的数据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通过合理的事件绑定实现天数选择效果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支持不同模式的天数选择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样式干净整洁</w:t>
      </w: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使用</w:t>
      </w:r>
      <w:r>
        <w:rPr>
          <w:rFonts w:ascii="宋体" w:cs="宋体" w:hAnsi="宋体" w:eastAsia="宋体"/>
          <w:rtl w:val="0"/>
          <w:lang w:val="zh-TW" w:eastAsia="zh-TW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开发一个月的日历，仅需实现当月即可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根据日期对象渲染当前月份数据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实现快捷选择区域的单选功能（不能用原生</w:t>
      </w:r>
      <w:r>
        <w:rPr>
          <w:rFonts w:ascii="宋体" w:cs="宋体" w:hAnsi="宋体" w:eastAsia="宋体"/>
          <w:rtl w:val="0"/>
          <w:lang w:val="zh-TW" w:eastAsia="zh-TW"/>
        </w:rPr>
        <w:t>radio</w:t>
      </w:r>
      <w:r>
        <w:rPr>
          <w:rFonts w:ascii="宋体" w:cs="宋体" w:hAnsi="宋体" w:eastAsia="宋体"/>
          <w:rtl w:val="0"/>
          <w:lang w:val="zh-TW" w:eastAsia="zh-TW"/>
        </w:rPr>
        <w:t>）。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可快速选择今天、昨天、最近一周，最近一月和</w:t>
      </w:r>
      <w:r>
        <w:rPr>
          <w:rFonts w:ascii="宋体" w:cs="宋体" w:hAnsi="宋体" w:eastAsia="宋体"/>
          <w:rtl w:val="0"/>
          <w:lang w:val="zh-TW" w:eastAsia="zh-TW"/>
        </w:rPr>
        <w:t>365</w:t>
      </w:r>
      <w:r>
        <w:rPr>
          <w:rFonts w:ascii="宋体" w:cs="宋体" w:hAnsi="宋体" w:eastAsia="宋体"/>
          <w:rtl w:val="0"/>
          <w:lang w:val="zh-TW" w:eastAsia="zh-TW"/>
        </w:rPr>
        <w:t>天不用实现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支持自定义选择：点击一个日期为起始日期，点击第二个未结束日期，中间所有日期高亮渲染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实现选择日期的高亮效果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</w:t>
      </w:r>
      <w:r>
        <w:rPr>
          <w:rFonts w:ascii="宋体" w:cs="宋体" w:hAnsi="宋体" w:eastAsia="宋体"/>
          <w:rtl w:val="0"/>
          <w:lang w:val="zh-TW" w:eastAsia="zh-TW"/>
        </w:rPr>
        <w:t>reset</w:t>
      </w:r>
      <w:r>
        <w:rPr>
          <w:rFonts w:ascii="宋体" w:cs="宋体" w:hAnsi="宋体" w:eastAsia="宋体"/>
          <w:rtl w:val="0"/>
          <w:lang w:val="zh-TW" w:eastAsia="zh-TW"/>
        </w:rPr>
        <w:t>功能，可以清空选择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支持</w:t>
      </w:r>
      <w:r>
        <w:rPr>
          <w:rFonts w:ascii="宋体" w:cs="宋体" w:hAnsi="宋体" w:eastAsia="宋体"/>
          <w:rtl w:val="0"/>
          <w:lang w:val="zh-TW" w:eastAsia="zh-TW"/>
        </w:rPr>
        <w:t>submit</w:t>
      </w:r>
      <w:r>
        <w:rPr>
          <w:rFonts w:ascii="宋体" w:cs="宋体" w:hAnsi="宋体" w:eastAsia="宋体"/>
          <w:rtl w:val="0"/>
          <w:lang w:val="zh-TW" w:eastAsia="zh-TW"/>
        </w:rPr>
        <w:t>功能，获取选择结果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不可操作</w:t>
      </w:r>
      <w:r>
        <w:rPr>
          <w:rFonts w:ascii="宋体" w:cs="宋体" w:hAnsi="宋体" w:eastAsia="宋体"/>
          <w:rtl w:val="0"/>
          <w:lang w:val="zh-TW" w:eastAsia="zh-TW"/>
        </w:rPr>
        <w:t>DOM</w:t>
      </w:r>
      <w:r>
        <w:rPr>
          <w:rFonts w:ascii="宋体" w:cs="宋体" w:hAnsi="宋体" w:eastAsia="宋体"/>
          <w:rtl w:val="0"/>
          <w:lang w:val="zh-TW" w:eastAsia="zh-TW"/>
        </w:rPr>
        <w:t>，基于</w:t>
      </w:r>
      <w:r>
        <w:rPr>
          <w:rFonts w:ascii="宋体" w:cs="宋体" w:hAnsi="宋体" w:eastAsia="宋体"/>
          <w:rtl w:val="0"/>
          <w:lang w:val="zh-TW" w:eastAsia="zh-TW"/>
        </w:rPr>
        <w:t>MVVM</w:t>
      </w:r>
      <w:r>
        <w:rPr>
          <w:rFonts w:ascii="宋体" w:cs="宋体" w:hAnsi="宋体" w:eastAsia="宋体"/>
          <w:rtl w:val="0"/>
          <w:lang w:val="zh-TW" w:eastAsia="zh-TW"/>
        </w:rPr>
        <w:t>理念通过数据驱动视图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代码规范，逻辑合理</w:t>
      </w:r>
    </w:p>
    <w:p>
      <w:pPr>
        <w:pStyle w:val="正文 A"/>
        <w:ind w:firstLine="420"/>
        <w:outlineLvl w:val="0"/>
      </w:pPr>
      <w:r>
        <w:rPr>
          <w:rFonts w:ascii="宋体" w:cs="宋体" w:hAnsi="宋体" w:eastAsia="宋体"/>
          <w:rtl w:val="0"/>
          <w:lang w:val="zh-TW" w:eastAsia="zh-TW"/>
        </w:rPr>
        <w:t>注：以上要求</w:t>
      </w:r>
      <w:r>
        <w:rPr>
          <w:rtl w:val="0"/>
          <w:lang w:val="en-US"/>
        </w:rPr>
        <w:t>1-10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分，判卷以此为给分标准</w:t>
      </w: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