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4" w:lineRule="auto"/>
      </w:pPr>
      <w:r>
        <w:rPr/>
        <w:t>Used</w:t>
      </w:r>
      <w:r>
        <w:rPr>
          <w:spacing w:val="-6"/>
        </w:rPr>
        <w:t> </w:t>
      </w:r>
      <w:r>
        <w:rPr/>
        <w:t>Car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Market</w:t>
      </w:r>
      <w:r>
        <w:rPr>
          <w:spacing w:val="-6"/>
        </w:rPr>
        <w:t> </w:t>
      </w:r>
      <w:r>
        <w:rPr/>
        <w:t>Segmentation: the Clustering Part</w:t>
      </w:r>
    </w:p>
    <w:p>
      <w:pPr>
        <w:pStyle w:val="BodyText"/>
        <w:spacing w:before="115"/>
        <w:ind w:left="0" w:right="0"/>
        <w:jc w:val="center"/>
      </w:pPr>
      <w:r>
        <w:rPr/>
        <w:t>Borislav Čelar (SV 60/2021) – clustering · Dušan Damjanov (SV 68/2021) – </w:t>
      </w:r>
      <w:r>
        <w:rPr>
          <w:spacing w:val="-2"/>
        </w:rPr>
        <w:t>regression</w:t>
      </w:r>
    </w:p>
    <w:p>
      <w:pPr>
        <w:pStyle w:val="BodyText"/>
        <w:spacing w:before="159"/>
        <w:ind w:left="0" w:right="0"/>
        <w:jc w:val="left"/>
      </w:pP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0" w:after="0"/>
        <w:ind w:left="558" w:right="0" w:hanging="240"/>
        <w:jc w:val="both"/>
      </w:pPr>
      <w:r>
        <w:rPr>
          <w:spacing w:val="-2"/>
        </w:rPr>
        <w:t>Motivation</w:t>
      </w:r>
    </w:p>
    <w:p>
      <w:pPr>
        <w:pStyle w:val="BodyText"/>
        <w:spacing w:line="261" w:lineRule="auto" w:before="83"/>
      </w:pPr>
      <w:r>
        <w:rPr/>
        <w:t>The used car market is large, fragmented and notoriously opaque: two visually similar cars can differ in </w:t>
      </w:r>
      <w:r>
        <w:rPr/>
        <w:t>price by a factor of two because of mileage, ownership history or condition. Our project approaches this market from two complementary sides using the same dataset. The first part (covered in a separate section by the second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member)</w:t>
      </w:r>
      <w:r>
        <w:rPr>
          <w:spacing w:val="-2"/>
        </w:rPr>
        <w:t> </w:t>
      </w:r>
      <w:r>
        <w:rPr/>
        <w:t>predicts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sale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supervised</w:t>
      </w:r>
      <w:r>
        <w:rPr>
          <w:spacing w:val="-2"/>
        </w:rPr>
        <w:t> </w:t>
      </w:r>
      <w:r>
        <w:rPr/>
        <w:t>regression.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report</w:t>
      </w:r>
      <w:r>
        <w:rPr>
          <w:spacing w:val="-2"/>
        </w:rPr>
        <w:t> </w:t>
      </w:r>
      <w:r>
        <w:rPr/>
        <w:t>covers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 part: discovering natural market segments among used cars with unsupervised clustering. A good segmentation is useful on its own – online marketplaces can use it for navigation, recommendations and pricing sanity checks, dealers for inventory planning – and it also serves as a sanity check of the whole pipeline: if segments formed </w:t>
      </w:r>
      <w:r>
        <w:rPr>
          <w:i/>
        </w:rPr>
        <w:t>without any price information </w:t>
      </w:r>
      <w:r>
        <w:rPr/>
        <w:t>end up with clearly different average prices, the discovered structure is likely to be real rather than an artifact of the algorithm.</w:t>
      </w: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209" w:after="0"/>
        <w:ind w:left="558" w:right="0" w:hanging="240"/>
        <w:jc w:val="both"/>
      </w:pPr>
      <w:r>
        <w:rPr/>
        <w:t>Research </w:t>
      </w:r>
      <w:r>
        <w:rPr>
          <w:spacing w:val="-2"/>
        </w:rPr>
        <w:t>questions</w:t>
      </w:r>
    </w:p>
    <w:p>
      <w:pPr>
        <w:pStyle w:val="BodyText"/>
        <w:spacing w:line="261" w:lineRule="auto"/>
      </w:pPr>
      <w:r>
        <w:rPr/>
        <w:t>We wanted to answer three specific questions. </w:t>
      </w:r>
      <w:r>
        <w:rPr>
          <w:b/>
        </w:rPr>
        <w:t>RQ1: </w:t>
      </w:r>
      <w:r>
        <w:rPr/>
        <w:t>Do used cars form meaningful groups when </w:t>
      </w:r>
      <w:r>
        <w:rPr/>
        <w:t>clustered only by their age, usage and vehicle-type attributes, with the target variable excluded from the input? </w:t>
      </w:r>
      <w:r>
        <w:rPr>
          <w:b/>
        </w:rPr>
        <w:t>RQ2: </w:t>
      </w:r>
      <w:r>
        <w:rPr/>
        <w:t>Which clustering algorithm and which number of clusters describe this dataset best according to internal validation measures? </w:t>
      </w:r>
      <w:r>
        <w:rPr>
          <w:b/>
        </w:rPr>
        <w:t>RQ3: </w:t>
      </w:r>
      <w:r>
        <w:rPr/>
        <w:t>Do the discovered clusters differ in average sale price, even though price was never used as an input?</w:t>
      </w:r>
    </w:p>
    <w:p>
      <w:pPr>
        <w:pStyle w:val="BodyText"/>
        <w:spacing w:line="261" w:lineRule="auto" w:before="104"/>
      </w:pPr>
      <w:r>
        <w:rPr/>
        <w:t>We used the </w:t>
      </w:r>
      <w:r>
        <w:rPr>
          <w:i/>
        </w:rPr>
        <w:t>Used Car Price Prediction </w:t>
      </w:r>
      <w:r>
        <w:rPr/>
        <w:t>dataset from Kaggle [10], which contains 7,400 listings of used cars from an Indian marketplace with 29 attributes, including the manufacturing year, kilometres run, fuel type, transmission, body type, number of previous owners, a textual condition rating </w:t>
      </w:r>
      <w:r>
        <w:rPr/>
        <w:t>(</w:t>
      </w:r>
      <w:r>
        <w:rPr>
          <w:i/>
        </w:rPr>
        <w:t>great</w:t>
      </w:r>
      <w:r>
        <w:rPr/>
        <w:t>/</w:t>
      </w:r>
      <w:r>
        <w:rPr>
          <w:i/>
        </w:rPr>
        <w:t>good</w:t>
      </w:r>
      <w:r>
        <w:rPr/>
        <w:t>/</w:t>
      </w:r>
      <w:r>
        <w:rPr>
          <w:i/>
        </w:rPr>
        <w:t>fair</w:t>
      </w:r>
      <w:r>
        <w:rPr/>
        <w:t>/</w:t>
      </w:r>
      <w:r>
        <w:rPr>
          <w:i/>
        </w:rPr>
        <w:t>overpriced</w:t>
      </w:r>
      <w:r>
        <w:rPr/>
        <w:t>), the number of times an ad was viewed, and the target variable </w:t>
      </w:r>
      <w:r>
        <w:rPr>
          <w:i/>
        </w:rPr>
        <w:t>sale_price </w:t>
      </w:r>
      <w:r>
        <w:rPr/>
        <w:t>(in Indian rupees). Following the project specification we work with a subset of 5,000 rows, sampled stratified by price quantiles so that the price</w:t>
      </w:r>
      <w:r>
        <w:rPr>
          <w:spacing w:val="-4"/>
        </w:rPr>
        <w:t> </w:t>
      </w:r>
      <w:r>
        <w:rPr/>
        <w:t>distribution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subset</w:t>
      </w:r>
      <w:r>
        <w:rPr>
          <w:spacing w:val="-4"/>
        </w:rPr>
        <w:t> </w:t>
      </w:r>
      <w:r>
        <w:rPr/>
        <w:t>stays</w:t>
      </w:r>
      <w:r>
        <w:rPr>
          <w:spacing w:val="-4"/>
        </w:rPr>
        <w:t> </w:t>
      </w:r>
      <w:r>
        <w:rPr/>
        <w:t>faithful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original;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removing</w:t>
      </w:r>
      <w:r>
        <w:rPr>
          <w:spacing w:val="-4"/>
        </w:rPr>
        <w:t> </w:t>
      </w:r>
      <w:r>
        <w:rPr/>
        <w:t>duplicates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invalid price, 4,999 listings remain. Columns that are essentially derived from the price itself (</w:t>
      </w:r>
      <w:r>
        <w:rPr>
          <w:i/>
        </w:rPr>
        <w:t>broker_quote</w:t>
      </w:r>
      <w:r>
        <w:rPr/>
        <w:t>, </w:t>
      </w:r>
      <w:r>
        <w:rPr>
          <w:i/>
        </w:rPr>
        <w:t>original_price</w:t>
      </w:r>
      <w:r>
        <w:rPr/>
        <w:t>, EMI instalments) are dropped in the shared preprocessing, since they would leak the target</w:t>
      </w:r>
      <w:r>
        <w:rPr>
          <w:spacing w:val="40"/>
        </w:rPr>
        <w:t> </w:t>
      </w:r>
      <w:r>
        <w:rPr/>
        <w:t>into both parts of the project.</w:t>
      </w: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209" w:after="0"/>
        <w:ind w:left="558" w:right="0" w:hanging="240"/>
        <w:jc w:val="both"/>
      </w:pPr>
      <w:r>
        <w:rPr/>
        <w:t>Related </w:t>
      </w:r>
      <w:r>
        <w:rPr>
          <w:spacing w:val="-4"/>
        </w:rPr>
        <w:t>work</w:t>
      </w:r>
    </w:p>
    <w:p>
      <w:pPr>
        <w:pStyle w:val="BodyText"/>
        <w:spacing w:line="261" w:lineRule="auto"/>
      </w:pPr>
      <w:r>
        <w:rPr/>
        <w:t>Most published work on this dataset family is supervised: used-car price prediction with classical </w:t>
      </w:r>
      <w:r>
        <w:rPr/>
        <w:t>machine learning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studied,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Pudaruth</w:t>
      </w:r>
      <w:r>
        <w:rPr>
          <w:spacing w:val="-5"/>
        </w:rPr>
        <w:t> </w:t>
      </w:r>
      <w:r>
        <w:rPr/>
        <w:t>[7],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compared</w:t>
      </w:r>
      <w:r>
        <w:rPr>
          <w:spacing w:val="-5"/>
        </w:rPr>
        <w:t> </w:t>
      </w:r>
      <w:r>
        <w:rPr/>
        <w:t>linear</w:t>
      </w:r>
      <w:r>
        <w:rPr>
          <w:spacing w:val="-5"/>
        </w:rPr>
        <w:t> </w:t>
      </w:r>
      <w:r>
        <w:rPr/>
        <w:t>regression,</w:t>
      </w:r>
      <w:r>
        <w:rPr>
          <w:spacing w:val="-5"/>
        </w:rPr>
        <w:t> </w:t>
      </w:r>
      <w:r>
        <w:rPr/>
        <w:t>k-nearest</w:t>
      </w:r>
      <w:r>
        <w:rPr>
          <w:spacing w:val="-5"/>
        </w:rPr>
        <w:t> </w:t>
      </w:r>
      <w:r>
        <w:rPr/>
        <w:t>neighbours and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trees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cars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Mauritius,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Gegic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</w:t>
      </w:r>
      <w:r>
        <w:rPr>
          <w:spacing w:val="-4"/>
        </w:rPr>
        <w:t> </w:t>
      </w:r>
      <w:r>
        <w:rPr/>
        <w:t>[8],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combined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classifiers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scraped car listings. The unsupervised side is usually framed as market or customer segmentation, where K-Means [1] is the standard workhorse. Hierarchical agglomerative clustering with Ward’s criterion [2] is a common alternative that additionally exposes the merge structure through a dendrogram, while DBSCAN [3] discovers clusters of arbitrary shape and labels low-density points as noise, which makes it attractive for datasets with </w:t>
      </w:r>
      <w:r>
        <w:rPr>
          <w:spacing w:val="-2"/>
        </w:rPr>
        <w:t>outliers.</w:t>
      </w:r>
    </w:p>
    <w:p>
      <w:pPr>
        <w:pStyle w:val="BodyText"/>
        <w:spacing w:line="261" w:lineRule="auto" w:before="106"/>
      </w:pPr>
      <w:r>
        <w:rPr/>
        <w:t>Since ground-truth segment labels do not exist, clustering quality is typically judged by internal </w:t>
      </w:r>
      <w:r>
        <w:rPr/>
        <w:t>validation indices; we follow the standard trio: the silhouette coefficient [4], the Davies-Bouldin index [5] and the Calinski-Harabasz index [6]. For datasets that mix numerical and categorical attributes, Huang [9] proposed</w:t>
      </w:r>
      <w:r>
        <w:rPr>
          <w:spacing w:val="40"/>
        </w:rPr>
        <w:t> </w:t>
      </w:r>
      <w:r>
        <w:rPr/>
        <w:t>k-prototypes as an extension of k-means; the more common pragmatic approach, which we adopt, is one-hot encoding followed by standardisation and dimensionality reduction.</w:t>
      </w: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206" w:after="0"/>
        <w:ind w:left="558" w:right="0" w:hanging="240"/>
        <w:jc w:val="both"/>
      </w:pPr>
      <w:r>
        <w:rPr>
          <w:spacing w:val="-2"/>
        </w:rPr>
        <w:t>Methodology</w:t>
      </w:r>
    </w:p>
    <w:p>
      <w:pPr>
        <w:pStyle w:val="BodyText"/>
        <w:spacing w:line="261" w:lineRule="auto"/>
      </w:pPr>
      <w:r>
        <w:rPr/>
        <w:t>The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scikit-learn</w:t>
      </w:r>
      <w:r>
        <w:rPr>
          <w:spacing w:val="-1"/>
        </w:rPr>
        <w:t> </w:t>
      </w:r>
      <w:r>
        <w:rPr/>
        <w:t>[11]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fully</w:t>
      </w:r>
      <w:r>
        <w:rPr>
          <w:spacing w:val="-1"/>
        </w:rPr>
        <w:t> </w:t>
      </w:r>
      <w:r>
        <w:rPr/>
        <w:t>reproducible</w:t>
      </w:r>
      <w:r>
        <w:rPr>
          <w:spacing w:val="-1"/>
        </w:rPr>
        <w:t> </w:t>
      </w:r>
      <w:r>
        <w:rPr/>
        <w:t>(fixed</w:t>
      </w:r>
      <w:r>
        <w:rPr>
          <w:spacing w:val="-1"/>
        </w:rPr>
        <w:t> </w:t>
      </w:r>
      <w:r>
        <w:rPr/>
        <w:t>random</w:t>
      </w:r>
      <w:r>
        <w:rPr>
          <w:spacing w:val="-1"/>
        </w:rPr>
        <w:t> </w:t>
      </w:r>
      <w:r>
        <w:rPr/>
        <w:t>seed</w:t>
      </w:r>
      <w:r>
        <w:rPr>
          <w:spacing w:val="-1"/>
        </w:rPr>
        <w:t> </w:t>
      </w:r>
      <w:r>
        <w:rPr/>
        <w:t>42); the regression and clustering parts share one preprocessing module so both work on the same cleaned </w:t>
      </w:r>
      <w:r>
        <w:rPr/>
        <w:t>data. From the cleaned dataset we selected nine attributes that describe a car’s age, usage and type and remain easy to</w:t>
      </w:r>
      <w:r>
        <w:rPr>
          <w:spacing w:val="64"/>
          <w:w w:val="150"/>
        </w:rPr>
        <w:t> </w:t>
      </w:r>
      <w:r>
        <w:rPr/>
        <w:t>interpret:</w:t>
      </w:r>
      <w:r>
        <w:rPr>
          <w:spacing w:val="65"/>
          <w:w w:val="150"/>
        </w:rPr>
        <w:t> </w:t>
      </w:r>
      <w:r>
        <w:rPr/>
        <w:t>five</w:t>
      </w:r>
      <w:r>
        <w:rPr>
          <w:spacing w:val="65"/>
          <w:w w:val="150"/>
        </w:rPr>
        <w:t> </w:t>
      </w:r>
      <w:r>
        <w:rPr/>
        <w:t>numerical</w:t>
      </w:r>
      <w:r>
        <w:rPr>
          <w:spacing w:val="65"/>
          <w:w w:val="150"/>
        </w:rPr>
        <w:t> </w:t>
      </w:r>
      <w:r>
        <w:rPr/>
        <w:t>(</w:t>
      </w:r>
      <w:r>
        <w:rPr>
          <w:i/>
        </w:rPr>
        <w:t>car_age</w:t>
      </w:r>
      <w:r>
        <w:rPr/>
        <w:t>,</w:t>
      </w:r>
      <w:r>
        <w:rPr>
          <w:spacing w:val="64"/>
          <w:w w:val="150"/>
        </w:rPr>
        <w:t> </w:t>
      </w:r>
      <w:r>
        <w:rPr>
          <w:i/>
        </w:rPr>
        <w:t>kms_run</w:t>
      </w:r>
      <w:r>
        <w:rPr/>
        <w:t>,</w:t>
      </w:r>
      <w:r>
        <w:rPr>
          <w:spacing w:val="65"/>
          <w:w w:val="150"/>
        </w:rPr>
        <w:t> </w:t>
      </w:r>
      <w:r>
        <w:rPr>
          <w:i/>
        </w:rPr>
        <w:t>km_per_year</w:t>
      </w:r>
      <w:r>
        <w:rPr/>
        <w:t>,</w:t>
      </w:r>
      <w:r>
        <w:rPr>
          <w:spacing w:val="65"/>
          <w:w w:val="150"/>
        </w:rPr>
        <w:t> </w:t>
      </w:r>
      <w:r>
        <w:rPr>
          <w:i/>
        </w:rPr>
        <w:t>total_owners</w:t>
      </w:r>
      <w:r>
        <w:rPr/>
        <w:t>,</w:t>
      </w:r>
      <w:r>
        <w:rPr>
          <w:spacing w:val="65"/>
          <w:w w:val="150"/>
        </w:rPr>
        <w:t> </w:t>
      </w:r>
      <w:r>
        <w:rPr>
          <w:i/>
        </w:rPr>
        <w:t>times_viewed</w:t>
      </w:r>
      <w:r>
        <w:rPr/>
        <w:t>)</w:t>
      </w:r>
      <w:r>
        <w:rPr>
          <w:spacing w:val="64"/>
          <w:w w:val="150"/>
        </w:rPr>
        <w:t> </w:t>
      </w:r>
      <w:r>
        <w:rPr/>
        <w:t>and</w:t>
      </w:r>
      <w:r>
        <w:rPr>
          <w:spacing w:val="65"/>
          <w:w w:val="150"/>
        </w:rPr>
        <w:t> </w:t>
      </w:r>
      <w:r>
        <w:rPr>
          <w:spacing w:val="-4"/>
        </w:rPr>
        <w:t>four</w:t>
      </w:r>
    </w:p>
    <w:p>
      <w:pPr>
        <w:pStyle w:val="BodyText"/>
        <w:spacing w:after="0" w:line="261" w:lineRule="auto"/>
        <w:sectPr>
          <w:footerReference w:type="default" r:id="rId5"/>
          <w:type w:val="continuous"/>
          <w:pgSz w:w="11910" w:h="16840"/>
          <w:pgMar w:header="0" w:footer="641" w:top="1240" w:bottom="840" w:left="992" w:right="992"/>
          <w:pgNumType w:start="1"/>
        </w:sectPr>
      </w:pPr>
    </w:p>
    <w:p>
      <w:pPr>
        <w:pStyle w:val="BodyText"/>
        <w:spacing w:line="261" w:lineRule="auto" w:before="66"/>
      </w:pPr>
      <w:r>
        <w:rPr/>
        <w:t>categorical (</w:t>
      </w:r>
      <w:r>
        <w:rPr>
          <w:i/>
        </w:rPr>
        <w:t>fuel_type</w:t>
      </w:r>
      <w:r>
        <w:rPr/>
        <w:t>, </w:t>
      </w:r>
      <w:r>
        <w:rPr>
          <w:i/>
        </w:rPr>
        <w:t>transmission</w:t>
      </w:r>
      <w:r>
        <w:rPr/>
        <w:t>, </w:t>
      </w:r>
      <w:r>
        <w:rPr>
          <w:i/>
        </w:rPr>
        <w:t>body_type</w:t>
      </w:r>
      <w:r>
        <w:rPr/>
        <w:t>, </w:t>
      </w:r>
      <w:r>
        <w:rPr>
          <w:i/>
        </w:rPr>
        <w:t>car_rating</w:t>
      </w:r>
      <w:r>
        <w:rPr/>
        <w:t>). High-cardinality attributes such as city, </w:t>
      </w:r>
      <w:r>
        <w:rPr/>
        <w:t>RTO code or model variant were deliberately left out: they would inflate the one-hot space to hundreds of dimensions and make the resulting clusters very hard to describe. The condition rating deserves a note: although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looks</w:t>
      </w:r>
      <w:r>
        <w:rPr>
          <w:spacing w:val="-4"/>
        </w:rPr>
        <w:t> </w:t>
      </w:r>
      <w:r>
        <w:rPr/>
        <w:t>numeric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glance,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textual</w:t>
      </w:r>
      <w:r>
        <w:rPr>
          <w:spacing w:val="-4"/>
        </w:rPr>
        <w:t> </w:t>
      </w:r>
      <w:r>
        <w:rPr/>
        <w:t>grade,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treat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categorical.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>
          <w:i/>
        </w:rPr>
        <w:t>sale_price </w:t>
      </w:r>
      <w:r>
        <w:rPr/>
        <w:t>is kept aside and used only after clustering, for interpretation.</w:t>
      </w:r>
    </w:p>
    <w:p>
      <w:pPr>
        <w:pStyle w:val="BodyText"/>
        <w:spacing w:line="261" w:lineRule="auto" w:before="104"/>
      </w:pPr>
      <w:r>
        <w:rPr/>
        <w:t>Because distance-based algorithms are sensitive to attribute scale, preprocessing does the following: </w:t>
      </w:r>
      <w:r>
        <w:rPr/>
        <w:t>missing numerical values are imputed with the median and extreme values are clipped at the 1st/99th percentile; heavily right-skewed attributes (</w:t>
      </w:r>
      <w:r>
        <w:rPr>
          <w:i/>
        </w:rPr>
        <w:t>kms_run</w:t>
      </w:r>
      <w:r>
        <w:rPr/>
        <w:t>, </w:t>
      </w:r>
      <w:r>
        <w:rPr>
          <w:i/>
        </w:rPr>
        <w:t>km_per_year</w:t>
      </w:r>
      <w:r>
        <w:rPr/>
        <w:t>, </w:t>
      </w:r>
      <w:r>
        <w:rPr>
          <w:i/>
        </w:rPr>
        <w:t>times_viewed</w:t>
      </w:r>
      <w:r>
        <w:rPr/>
        <w:t>) are log1p-transformed; all numerical attributes are standardised; categorical attributes are one-hot encoded with rare categories grouped, giving 24 input dimensions in total. Finally, PCA reduces the space to the number of components that keeps 90% of the variance – seven components (91.2% retained). Clustering runs in that 7-dimensional space; the first two components (53% of the variance) are used for 2D visualisation only.</w:t>
      </w:r>
    </w:p>
    <w:p>
      <w:pPr>
        <w:pStyle w:val="BodyText"/>
        <w:spacing w:line="261" w:lineRule="auto" w:before="106"/>
      </w:pPr>
      <w:r>
        <w:rPr/>
        <w:t>We compared three algorithms: K-Means (n_init = 10) as the baseline, agglomerative hierarchical </w:t>
      </w:r>
      <w:r>
        <w:rPr/>
        <w:t>clustering with Ward linkage, and DBSCAN. The number of clusters for K-Means was chosen by combining the elbow method on inertia with silhouette analysis over k = 2–10; the same k was used for the hierarchical variant so that the comparison is fair. For DBSCAN, </w:t>
      </w:r>
      <w:r>
        <w:rPr>
          <w:i/>
        </w:rPr>
        <w:t>eps </w:t>
      </w:r>
      <w:r>
        <w:rPr/>
        <w:t>was estimated from the k-distance graph (distance to the 10th nearest neighbour, min_samples = 10) and then refined by a small grid search around that estimate.</w:t>
      </w: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206" w:after="0"/>
        <w:ind w:left="558" w:right="0" w:hanging="240"/>
        <w:jc w:val="both"/>
      </w:pPr>
      <w:r>
        <w:rPr>
          <w:spacing w:val="-2"/>
        </w:rPr>
        <w:t>Discussion</w:t>
      </w:r>
    </w:p>
    <w:p>
      <w:pPr>
        <w:pStyle w:val="BodyText"/>
        <w:spacing w:line="261" w:lineRule="auto"/>
      </w:pPr>
      <w:r>
        <w:rPr>
          <w:b/>
        </w:rPr>
        <w:t>Choosing k. </w:t>
      </w:r>
      <w:r>
        <w:rPr/>
        <w:t>Figure 1 shows the model-selection evidence. The elbow curve has no sharp knee, which </w:t>
      </w:r>
      <w:r>
        <w:rPr/>
        <w:t>is common with real data, but the largest drops in inertia happen up to k = 3–4. The silhouette score peaks at k = 3</w:t>
      </w:r>
      <w:r>
        <w:rPr>
          <w:spacing w:val="-3"/>
        </w:rPr>
        <w:t> </w:t>
      </w:r>
      <w:r>
        <w:rPr/>
        <w:t>(0.217</w:t>
      </w:r>
      <w:r>
        <w:rPr>
          <w:spacing w:val="-3"/>
        </w:rPr>
        <w:t> </w:t>
      </w:r>
      <w:r>
        <w:rPr/>
        <w:t>vs.</w:t>
      </w:r>
      <w:r>
        <w:rPr>
          <w:spacing w:val="-3"/>
        </w:rPr>
        <w:t> </w:t>
      </w:r>
      <w:r>
        <w:rPr/>
        <w:t>0.212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0.194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4),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dendrogram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hierarchical</w:t>
      </w:r>
      <w:r>
        <w:rPr>
          <w:spacing w:val="-3"/>
        </w:rPr>
        <w:t> </w:t>
      </w:r>
      <w:r>
        <w:rPr/>
        <w:t>variant also splits naturally into three large branches, which supports the same choice. A three-cluster solution is also the easiest to communicate, which matters for a market-segmentation use case.</w:t>
      </w:r>
    </w:p>
    <w:p>
      <w:pPr>
        <w:pStyle w:val="BodyText"/>
        <w:spacing w:before="29"/>
        <w:ind w:left="0" w:righ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866953</wp:posOffset>
            </wp:positionH>
            <wp:positionV relativeFrom="paragraph">
              <wp:posOffset>179945</wp:posOffset>
            </wp:positionV>
            <wp:extent cx="2816352" cy="170078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3890953</wp:posOffset>
            </wp:positionH>
            <wp:positionV relativeFrom="paragraph">
              <wp:posOffset>179945</wp:posOffset>
            </wp:positionV>
            <wp:extent cx="2816352" cy="17007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1361" w:right="1361" w:firstLine="0"/>
        <w:jc w:val="center"/>
        <w:rPr>
          <w:i/>
          <w:sz w:val="18"/>
        </w:rPr>
      </w:pPr>
      <w:r>
        <w:rPr>
          <w:i/>
          <w:sz w:val="18"/>
        </w:rPr>
        <w:t>Figure 1. Elbow method (left) and silhouette analysis (right) for choosing the number of </w:t>
      </w:r>
      <w:r>
        <w:rPr>
          <w:i/>
          <w:spacing w:val="-2"/>
          <w:sz w:val="18"/>
        </w:rPr>
        <w:t>clusters</w:t>
      </w:r>
    </w:p>
    <w:p>
      <w:pPr>
        <w:pStyle w:val="BodyText"/>
        <w:spacing w:line="261" w:lineRule="auto" w:before="155"/>
      </w:pPr>
      <w:r>
        <w:rPr>
          <w:b/>
        </w:rPr>
        <w:t>Algorithm comparison. </w:t>
      </w:r>
      <w:r>
        <w:rPr/>
        <w:t>Table 1 compares the three algorithms with internal validation measures </w:t>
      </w:r>
      <w:r>
        <w:rPr/>
        <w:t>(silhouette and Calinski-Harabasz: higher is better; Davies-Bouldin: lower is better). K-Means wins on all three and was selected as the final model. The initial k-distance estimate for DBSCAN (eps ≈ 2.6) merged everything into a single cluster; the grid search found a usable eps = 1.56 with three clusters and 28 noise points, but the solution is still the weakest of the three – the data simply has no dense regions separated by empty space for DBSCAN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exploit.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caveat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fairness:</w:t>
      </w:r>
      <w:r>
        <w:rPr>
          <w:spacing w:val="-5"/>
        </w:rPr>
        <w:t> </w:t>
      </w:r>
      <w:r>
        <w:rPr/>
        <w:t>DBSCAN’s</w:t>
      </w:r>
      <w:r>
        <w:rPr>
          <w:spacing w:val="-5"/>
        </w:rPr>
        <w:t> </w:t>
      </w:r>
      <w:r>
        <w:rPr/>
        <w:t>scores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computed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excluding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noise</w:t>
      </w:r>
      <w:r>
        <w:rPr>
          <w:spacing w:val="-5"/>
        </w:rPr>
        <w:t> </w:t>
      </w:r>
      <w:r>
        <w:rPr/>
        <w:t>points, which slightly favours it, so its actual gap is even larger than the table suggests.</w:t>
      </w:r>
    </w:p>
    <w:p>
      <w:pPr>
        <w:spacing w:before="204" w:after="57"/>
        <w:ind w:left="1361" w:right="1362" w:firstLine="0"/>
        <w:jc w:val="center"/>
        <w:rPr>
          <w:i/>
          <w:sz w:val="18"/>
        </w:rPr>
      </w:pPr>
      <w:r>
        <w:rPr>
          <w:i/>
          <w:sz w:val="18"/>
        </w:rPr>
        <w:t>Table 1. Internal validation measures for the three clustering </w:t>
      </w:r>
      <w:r>
        <w:rPr>
          <w:i/>
          <w:spacing w:val="-2"/>
          <w:sz w:val="18"/>
        </w:rPr>
        <w:t>algorithms</w:t>
      </w:r>
    </w:p>
    <w:tbl>
      <w:tblPr>
        <w:tblW w:w="0" w:type="auto"/>
        <w:jc w:val="left"/>
        <w:tblInd w:w="37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077"/>
        <w:gridCol w:w="1304"/>
        <w:gridCol w:w="1191"/>
        <w:gridCol w:w="1531"/>
        <w:gridCol w:w="1814"/>
      </w:tblGrid>
      <w:tr>
        <w:trPr>
          <w:trHeight w:val="310" w:hRule="atLeast"/>
        </w:trPr>
        <w:tc>
          <w:tcPr>
            <w:tcW w:w="2268" w:type="dxa"/>
            <w:shd w:val="clear" w:color="auto" w:fill="E8E8E8"/>
          </w:tcPr>
          <w:p>
            <w:pPr>
              <w:pStyle w:val="TableParagraph"/>
              <w:spacing w:before="46"/>
              <w:ind w:left="755"/>
              <w:jc w:val="lef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Algorithm</w:t>
            </w:r>
          </w:p>
        </w:tc>
        <w:tc>
          <w:tcPr>
            <w:tcW w:w="1077" w:type="dxa"/>
            <w:shd w:val="clear" w:color="auto" w:fill="E8E8E8"/>
          </w:tcPr>
          <w:p>
            <w:pPr>
              <w:pStyle w:val="TableParagraph"/>
              <w:spacing w:before="4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Clusters</w:t>
            </w:r>
          </w:p>
        </w:tc>
        <w:tc>
          <w:tcPr>
            <w:tcW w:w="1304" w:type="dxa"/>
            <w:shd w:val="clear" w:color="auto" w:fill="E8E8E8"/>
          </w:tcPr>
          <w:p>
            <w:pPr>
              <w:pStyle w:val="TableParagraph"/>
              <w:spacing w:before="46"/>
              <w:rPr>
                <w:b/>
                <w:sz w:val="17"/>
              </w:rPr>
            </w:pPr>
            <w:r>
              <w:rPr>
                <w:b/>
                <w:sz w:val="17"/>
              </w:rPr>
              <w:t>Noise </w:t>
            </w:r>
            <w:r>
              <w:rPr>
                <w:b/>
                <w:spacing w:val="-2"/>
                <w:sz w:val="17"/>
              </w:rPr>
              <w:t>points</w:t>
            </w:r>
          </w:p>
        </w:tc>
        <w:tc>
          <w:tcPr>
            <w:tcW w:w="1191" w:type="dxa"/>
            <w:shd w:val="clear" w:color="auto" w:fill="E8E8E8"/>
          </w:tcPr>
          <w:p>
            <w:pPr>
              <w:pStyle w:val="TableParagraph"/>
              <w:spacing w:before="46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Silhouette</w:t>
            </w:r>
          </w:p>
        </w:tc>
        <w:tc>
          <w:tcPr>
            <w:tcW w:w="1531" w:type="dxa"/>
            <w:shd w:val="clear" w:color="auto" w:fill="E8E8E8"/>
          </w:tcPr>
          <w:p>
            <w:pPr>
              <w:pStyle w:val="TableParagraph"/>
              <w:spacing w:before="46"/>
              <w:ind w:left="6"/>
              <w:rPr>
                <w:b/>
                <w:sz w:val="17"/>
              </w:rPr>
            </w:pPr>
            <w:r>
              <w:rPr>
                <w:b/>
                <w:sz w:val="17"/>
              </w:rPr>
              <w:t>Davies-</w:t>
            </w:r>
            <w:r>
              <w:rPr>
                <w:b/>
                <w:spacing w:val="-2"/>
                <w:sz w:val="17"/>
              </w:rPr>
              <w:t>Bouldin</w:t>
            </w:r>
          </w:p>
        </w:tc>
        <w:tc>
          <w:tcPr>
            <w:tcW w:w="1814" w:type="dxa"/>
            <w:shd w:val="clear" w:color="auto" w:fill="E8E8E8"/>
          </w:tcPr>
          <w:p>
            <w:pPr>
              <w:pStyle w:val="TableParagraph"/>
              <w:spacing w:before="46"/>
              <w:ind w:left="6"/>
              <w:rPr>
                <w:b/>
                <w:sz w:val="17"/>
              </w:rPr>
            </w:pPr>
            <w:r>
              <w:rPr>
                <w:b/>
                <w:sz w:val="17"/>
              </w:rPr>
              <w:t>Calinski-</w:t>
            </w:r>
            <w:r>
              <w:rPr>
                <w:b/>
                <w:spacing w:val="-2"/>
                <w:sz w:val="17"/>
              </w:rPr>
              <w:t>Harabasz</w:t>
            </w:r>
          </w:p>
        </w:tc>
      </w:tr>
      <w:tr>
        <w:trPr>
          <w:trHeight w:val="310" w:hRule="atLeast"/>
        </w:trPr>
        <w:tc>
          <w:tcPr>
            <w:tcW w:w="2268" w:type="dxa"/>
          </w:tcPr>
          <w:p>
            <w:pPr>
              <w:pStyle w:val="TableParagraph"/>
              <w:spacing w:before="46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>K-Means (k = </w:t>
            </w:r>
            <w:r>
              <w:rPr>
                <w:spacing w:val="-5"/>
                <w:sz w:val="17"/>
              </w:rPr>
              <w:t>3)</w:t>
            </w:r>
          </w:p>
        </w:tc>
        <w:tc>
          <w:tcPr>
            <w:tcW w:w="1077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304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91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2"/>
                <w:sz w:val="17"/>
              </w:rPr>
              <w:t>0.217</w:t>
            </w:r>
          </w:p>
        </w:tc>
        <w:tc>
          <w:tcPr>
            <w:tcW w:w="1531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4"/>
                <w:sz w:val="17"/>
              </w:rPr>
              <w:t>1.62</w:t>
            </w:r>
          </w:p>
        </w:tc>
        <w:tc>
          <w:tcPr>
            <w:tcW w:w="1814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1,407</w:t>
            </w:r>
          </w:p>
        </w:tc>
      </w:tr>
      <w:tr>
        <w:trPr>
          <w:trHeight w:val="310" w:hRule="atLeast"/>
        </w:trPr>
        <w:tc>
          <w:tcPr>
            <w:tcW w:w="2268" w:type="dxa"/>
          </w:tcPr>
          <w:p>
            <w:pPr>
              <w:pStyle w:val="TableParagraph"/>
              <w:spacing w:before="46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>Agglomerative </w:t>
            </w:r>
            <w:r>
              <w:rPr>
                <w:spacing w:val="-2"/>
                <w:sz w:val="17"/>
              </w:rPr>
              <w:t>(Ward)</w:t>
            </w:r>
          </w:p>
        </w:tc>
        <w:tc>
          <w:tcPr>
            <w:tcW w:w="1077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304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191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2"/>
                <w:sz w:val="17"/>
              </w:rPr>
              <w:t>0.189</w:t>
            </w:r>
          </w:p>
        </w:tc>
        <w:tc>
          <w:tcPr>
            <w:tcW w:w="1531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4"/>
                <w:sz w:val="17"/>
              </w:rPr>
              <w:t>1.72</w:t>
            </w:r>
          </w:p>
        </w:tc>
        <w:tc>
          <w:tcPr>
            <w:tcW w:w="1814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1,193</w:t>
            </w:r>
          </w:p>
        </w:tc>
      </w:tr>
      <w:tr>
        <w:trPr>
          <w:trHeight w:val="310" w:hRule="atLeast"/>
        </w:trPr>
        <w:tc>
          <w:tcPr>
            <w:tcW w:w="2268" w:type="dxa"/>
          </w:tcPr>
          <w:p>
            <w:pPr>
              <w:pStyle w:val="TableParagraph"/>
              <w:spacing w:before="46"/>
              <w:ind w:left="119"/>
              <w:jc w:val="left"/>
              <w:rPr>
                <w:sz w:val="17"/>
              </w:rPr>
            </w:pPr>
            <w:r>
              <w:rPr>
                <w:sz w:val="17"/>
              </w:rPr>
              <w:t>DBSCAN (eps = </w:t>
            </w:r>
            <w:r>
              <w:rPr>
                <w:spacing w:val="-2"/>
                <w:sz w:val="17"/>
              </w:rPr>
              <w:t>1.56)</w:t>
            </w:r>
          </w:p>
        </w:tc>
        <w:tc>
          <w:tcPr>
            <w:tcW w:w="1077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304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191" w:type="dxa"/>
          </w:tcPr>
          <w:p>
            <w:pPr>
              <w:pStyle w:val="TableParagraph"/>
              <w:spacing w:before="46"/>
              <w:rPr>
                <w:sz w:val="17"/>
              </w:rPr>
            </w:pPr>
            <w:r>
              <w:rPr>
                <w:spacing w:val="-2"/>
                <w:sz w:val="17"/>
              </w:rPr>
              <w:t>0.150</w:t>
            </w:r>
          </w:p>
        </w:tc>
        <w:tc>
          <w:tcPr>
            <w:tcW w:w="1531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4"/>
                <w:sz w:val="17"/>
              </w:rPr>
              <w:t>2.05</w:t>
            </w:r>
          </w:p>
        </w:tc>
        <w:tc>
          <w:tcPr>
            <w:tcW w:w="1814" w:type="dxa"/>
          </w:tcPr>
          <w:p>
            <w:pPr>
              <w:pStyle w:val="TableParagraph"/>
              <w:spacing w:before="46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577</w:t>
            </w:r>
          </w:p>
        </w:tc>
      </w:tr>
    </w:tbl>
    <w:p>
      <w:pPr>
        <w:pStyle w:val="BodyText"/>
        <w:spacing w:line="261" w:lineRule="auto" w:before="128"/>
      </w:pPr>
      <w:r>
        <w:rPr>
          <w:b/>
        </w:rPr>
        <w:t>Resulting segments. </w:t>
      </w:r>
      <w:r>
        <w:rPr/>
        <w:t>Figure 2 shows the final K-Means solution projected onto the first two </w:t>
      </w:r>
      <w:r>
        <w:rPr/>
        <w:t>principal components,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Table</w:t>
      </w:r>
      <w:r>
        <w:rPr>
          <w:spacing w:val="31"/>
        </w:rPr>
        <w:t> </w:t>
      </w:r>
      <w:r>
        <w:rPr/>
        <w:t>2</w:t>
      </w:r>
      <w:r>
        <w:rPr>
          <w:spacing w:val="31"/>
        </w:rPr>
        <w:t> </w:t>
      </w:r>
      <w:r>
        <w:rPr/>
        <w:t>summarises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cluster</w:t>
      </w:r>
      <w:r>
        <w:rPr>
          <w:spacing w:val="31"/>
        </w:rPr>
        <w:t> </w:t>
      </w:r>
      <w:r>
        <w:rPr/>
        <w:t>profiles</w:t>
      </w:r>
      <w:r>
        <w:rPr>
          <w:spacing w:val="31"/>
        </w:rPr>
        <w:t> </w:t>
      </w:r>
      <w:r>
        <w:rPr/>
        <w:t>together</w:t>
      </w:r>
      <w:r>
        <w:rPr>
          <w:spacing w:val="31"/>
        </w:rPr>
        <w:t> </w:t>
      </w:r>
      <w:r>
        <w:rPr/>
        <w:t>with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average</w:t>
      </w:r>
      <w:r>
        <w:rPr>
          <w:spacing w:val="31"/>
        </w:rPr>
        <w:t> </w:t>
      </w:r>
      <w:r>
        <w:rPr/>
        <w:t>sale</w:t>
      </w:r>
      <w:r>
        <w:rPr>
          <w:spacing w:val="31"/>
        </w:rPr>
        <w:t> </w:t>
      </w:r>
      <w:r>
        <w:rPr/>
        <w:t>price,</w:t>
      </w:r>
      <w:r>
        <w:rPr>
          <w:spacing w:val="31"/>
        </w:rPr>
        <w:t> </w:t>
      </w:r>
      <w:r>
        <w:rPr/>
        <w:t>which</w:t>
      </w:r>
      <w:r>
        <w:rPr>
          <w:spacing w:val="31"/>
        </w:rPr>
        <w:t> </w:t>
      </w:r>
      <w:r>
        <w:rPr>
          <w:spacing w:val="-5"/>
        </w:rPr>
        <w:t>was</w:t>
      </w:r>
    </w:p>
    <w:p>
      <w:pPr>
        <w:pStyle w:val="BodyText"/>
        <w:spacing w:after="0" w:line="261" w:lineRule="auto"/>
        <w:sectPr>
          <w:pgSz w:w="11910" w:h="16840"/>
          <w:pgMar w:header="0" w:footer="641" w:top="1240" w:bottom="840" w:left="992" w:right="992"/>
        </w:sectPr>
      </w:pPr>
    </w:p>
    <w:p>
      <w:pPr>
        <w:pStyle w:val="BodyText"/>
        <w:spacing w:line="261" w:lineRule="auto" w:before="66"/>
      </w:pPr>
      <w:r>
        <w:rPr/>
        <w:t>computed only after clustering. Since the whole dataset is dominated by petrol cars with manual </w:t>
      </w:r>
      <w:r>
        <w:rPr/>
        <w:t>transmission and hatchback bodies, the per-cluster </w:t>
      </w:r>
      <w:r>
        <w:rPr>
          <w:i/>
        </w:rPr>
        <w:t>mode </w:t>
      </w:r>
      <w:r>
        <w:rPr/>
        <w:t>of each categorical attribute is uninformative; Table 2 therefore lists the categories that are </w:t>
      </w:r>
      <w:r>
        <w:rPr>
          <w:i/>
        </w:rPr>
        <w:t>over-represented </w:t>
      </w:r>
      <w:r>
        <w:rPr/>
        <w:t>in a cluster relative to the whole dataset.</w:t>
      </w:r>
    </w:p>
    <w:p>
      <w:pPr>
        <w:pStyle w:val="BodyText"/>
        <w:spacing w:before="2"/>
        <w:ind w:left="0" w:right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2007750</wp:posOffset>
            </wp:positionH>
            <wp:positionV relativeFrom="paragraph">
              <wp:posOffset>148289</wp:posOffset>
            </wp:positionV>
            <wp:extent cx="3574732" cy="273891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732" cy="273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2"/>
        <w:ind w:left="1361" w:right="1362" w:firstLine="0"/>
        <w:jc w:val="center"/>
        <w:rPr>
          <w:i/>
          <w:sz w:val="18"/>
        </w:rPr>
      </w:pPr>
      <w:r>
        <w:rPr>
          <w:i/>
          <w:sz w:val="18"/>
        </w:rPr>
        <w:t>Figure 2. Final K-Means clustering (k = 3) in the PCA </w:t>
      </w:r>
      <w:r>
        <w:rPr>
          <w:i/>
          <w:spacing w:val="-2"/>
          <w:sz w:val="18"/>
        </w:rPr>
        <w:t>projection</w:t>
      </w:r>
    </w:p>
    <w:p>
      <w:pPr>
        <w:pStyle w:val="BodyText"/>
        <w:spacing w:before="45"/>
        <w:ind w:left="0" w:right="0"/>
        <w:jc w:val="left"/>
        <w:rPr>
          <w:i/>
          <w:sz w:val="18"/>
        </w:rPr>
      </w:pPr>
    </w:p>
    <w:p>
      <w:pPr>
        <w:spacing w:before="1" w:after="57"/>
        <w:ind w:left="1361" w:right="1361" w:firstLine="0"/>
        <w:jc w:val="center"/>
        <w:rPr>
          <w:i/>
          <w:sz w:val="18"/>
        </w:rPr>
      </w:pPr>
      <w:r>
        <w:rPr>
          <w:i/>
          <w:sz w:val="18"/>
        </w:rPr>
        <w:t>Table 2. Cluster profiles (means) and per-cluster sale price, computed after </w:t>
      </w:r>
      <w:r>
        <w:rPr>
          <w:i/>
          <w:spacing w:val="-2"/>
          <w:sz w:val="18"/>
        </w:rPr>
        <w:t>clustering</w:t>
      </w:r>
    </w:p>
    <w:tbl>
      <w:tblPr>
        <w:tblW w:w="0" w:type="auto"/>
        <w:jc w:val="left"/>
        <w:tblInd w:w="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737"/>
        <w:gridCol w:w="624"/>
        <w:gridCol w:w="851"/>
        <w:gridCol w:w="851"/>
        <w:gridCol w:w="794"/>
        <w:gridCol w:w="851"/>
        <w:gridCol w:w="2608"/>
        <w:gridCol w:w="964"/>
        <w:gridCol w:w="964"/>
      </w:tblGrid>
      <w:tr>
        <w:trPr>
          <w:trHeight w:val="550" w:hRule="atLeast"/>
        </w:trPr>
        <w:tc>
          <w:tcPr>
            <w:tcW w:w="510" w:type="dxa"/>
            <w:shd w:val="clear" w:color="auto" w:fill="E8E8E8"/>
          </w:tcPr>
          <w:p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  <w:tc>
          <w:tcPr>
            <w:tcW w:w="737" w:type="dxa"/>
            <w:shd w:val="clear" w:color="auto" w:fill="E8E8E8"/>
          </w:tcPr>
          <w:p>
            <w:pPr>
              <w:pStyle w:val="TableParagraph"/>
              <w:spacing w:before="165"/>
              <w:ind w:left="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Size</w:t>
            </w:r>
          </w:p>
        </w:tc>
        <w:tc>
          <w:tcPr>
            <w:tcW w:w="624" w:type="dxa"/>
            <w:shd w:val="clear" w:color="auto" w:fill="E8E8E8"/>
          </w:tcPr>
          <w:p>
            <w:pPr>
              <w:pStyle w:val="TableParagraph"/>
              <w:spacing w:line="312" w:lineRule="auto"/>
              <w:ind w:left="151" w:right="133" w:firstLine="26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Age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(yrs)</w:t>
            </w:r>
          </w:p>
        </w:tc>
        <w:tc>
          <w:tcPr>
            <w:tcW w:w="851" w:type="dxa"/>
            <w:shd w:val="clear" w:color="auto" w:fill="E8E8E8"/>
          </w:tcPr>
          <w:p>
            <w:pPr>
              <w:pStyle w:val="TableParagraph"/>
              <w:spacing w:before="165"/>
              <w:rPr>
                <w:b/>
                <w:sz w:val="16"/>
              </w:rPr>
            </w:pPr>
            <w:r>
              <w:rPr>
                <w:b/>
                <w:sz w:val="16"/>
              </w:rPr>
              <w:t>Kms </w:t>
            </w:r>
            <w:r>
              <w:rPr>
                <w:b/>
                <w:spacing w:val="-5"/>
                <w:sz w:val="16"/>
              </w:rPr>
              <w:t>run</w:t>
            </w:r>
          </w:p>
        </w:tc>
        <w:tc>
          <w:tcPr>
            <w:tcW w:w="851" w:type="dxa"/>
            <w:shd w:val="clear" w:color="auto" w:fill="E8E8E8"/>
          </w:tcPr>
          <w:p>
            <w:pPr>
              <w:pStyle w:val="TableParagraph"/>
              <w:spacing w:before="165"/>
              <w:ind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Km/year</w:t>
            </w:r>
          </w:p>
        </w:tc>
        <w:tc>
          <w:tcPr>
            <w:tcW w:w="794" w:type="dxa"/>
            <w:shd w:val="clear" w:color="auto" w:fill="E8E8E8"/>
          </w:tcPr>
          <w:p>
            <w:pPr>
              <w:pStyle w:val="TableParagraph"/>
              <w:spacing w:before="165"/>
              <w:ind w:left="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Owners</w:t>
            </w:r>
          </w:p>
        </w:tc>
        <w:tc>
          <w:tcPr>
            <w:tcW w:w="851" w:type="dxa"/>
            <w:shd w:val="clear" w:color="auto" w:fill="E8E8E8"/>
          </w:tcPr>
          <w:p>
            <w:pPr>
              <w:pStyle w:val="TableParagraph"/>
              <w:spacing w:before="165"/>
              <w:ind w:right="3"/>
              <w:rPr>
                <w:b/>
                <w:sz w:val="16"/>
              </w:rPr>
            </w:pPr>
            <w:r>
              <w:rPr>
                <w:b/>
                <w:sz w:val="16"/>
              </w:rPr>
              <w:t>Ad </w:t>
            </w:r>
            <w:r>
              <w:rPr>
                <w:b/>
                <w:spacing w:val="-2"/>
                <w:sz w:val="16"/>
              </w:rPr>
              <w:t>views</w:t>
            </w:r>
          </w:p>
        </w:tc>
        <w:tc>
          <w:tcPr>
            <w:tcW w:w="2608" w:type="dxa"/>
            <w:shd w:val="clear" w:color="auto" w:fill="E8E8E8"/>
          </w:tcPr>
          <w:p>
            <w:pPr>
              <w:pStyle w:val="TableParagraph"/>
              <w:spacing w:line="312" w:lineRule="auto"/>
              <w:ind w:left="958" w:right="82" w:hanging="26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Over-</w:t>
            </w:r>
            <w:r>
              <w:rPr>
                <w:b/>
                <w:spacing w:val="-2"/>
                <w:sz w:val="16"/>
              </w:rPr>
              <w:t>represented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categories</w:t>
            </w:r>
          </w:p>
        </w:tc>
        <w:tc>
          <w:tcPr>
            <w:tcW w:w="964" w:type="dxa"/>
            <w:shd w:val="clear" w:color="auto" w:fill="E8E8E8"/>
          </w:tcPr>
          <w:p>
            <w:pPr>
              <w:pStyle w:val="TableParagraph"/>
              <w:spacing w:line="312" w:lineRule="auto"/>
              <w:ind w:left="278" w:right="122" w:hanging="15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Avg.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price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(INR)</w:t>
            </w:r>
          </w:p>
        </w:tc>
        <w:tc>
          <w:tcPr>
            <w:tcW w:w="964" w:type="dxa"/>
            <w:shd w:val="clear" w:color="auto" w:fill="E8E8E8"/>
          </w:tcPr>
          <w:p>
            <w:pPr>
              <w:pStyle w:val="TableParagraph"/>
              <w:spacing w:line="312" w:lineRule="auto"/>
              <w:ind w:left="278" w:right="11" w:hanging="25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Median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price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(INR)</w:t>
            </w:r>
          </w:p>
        </w:tc>
      </w:tr>
      <w:tr>
        <w:trPr>
          <w:trHeight w:val="310" w:hRule="atLeast"/>
        </w:trPr>
        <w:tc>
          <w:tcPr>
            <w:tcW w:w="510" w:type="dxa"/>
          </w:tcPr>
          <w:p>
            <w:pPr>
              <w:pStyle w:val="TableParagraph"/>
              <w:ind w:left="0" w:right="73"/>
              <w:rPr>
                <w:sz w:val="16"/>
              </w:rPr>
            </w:pPr>
            <w:r>
              <w:rPr>
                <w:spacing w:val="-5"/>
                <w:sz w:val="16"/>
              </w:rPr>
              <w:t>C0</w:t>
            </w:r>
          </w:p>
        </w:tc>
        <w:tc>
          <w:tcPr>
            <w:tcW w:w="737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2,316</w:t>
            </w:r>
          </w:p>
        </w:tc>
        <w:tc>
          <w:tcPr>
            <w:tcW w:w="624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7.4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79,488</w:t>
            </w:r>
          </w:p>
        </w:tc>
        <w:tc>
          <w:tcPr>
            <w:tcW w:w="851" w:type="dxa"/>
          </w:tcPr>
          <w:p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10,146</w:t>
            </w:r>
          </w:p>
        </w:tc>
        <w:tc>
          <w:tcPr>
            <w:tcW w:w="794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sz w:val="16"/>
              </w:rPr>
              <w:t>1.00</w:t>
            </w:r>
          </w:p>
        </w:tc>
        <w:tc>
          <w:tcPr>
            <w:tcW w:w="851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1,220</w:t>
            </w:r>
          </w:p>
        </w:tc>
        <w:tc>
          <w:tcPr>
            <w:tcW w:w="2608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diesel (42%), sedan </w:t>
            </w:r>
            <w:r>
              <w:rPr>
                <w:spacing w:val="-2"/>
                <w:sz w:val="16"/>
              </w:rPr>
              <w:t>(24%)</w:t>
            </w:r>
          </w:p>
        </w:tc>
        <w:tc>
          <w:tcPr>
            <w:tcW w:w="96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455,096</w:t>
            </w:r>
          </w:p>
        </w:tc>
        <w:tc>
          <w:tcPr>
            <w:tcW w:w="964" w:type="dxa"/>
          </w:tcPr>
          <w:p>
            <w:pPr>
              <w:pStyle w:val="TableParagraph"/>
              <w:ind w:left="3" w:right="1"/>
              <w:rPr>
                <w:sz w:val="16"/>
              </w:rPr>
            </w:pPr>
            <w:r>
              <w:rPr>
                <w:spacing w:val="-2"/>
                <w:sz w:val="16"/>
              </w:rPr>
              <w:t>388,449</w:t>
            </w:r>
          </w:p>
        </w:tc>
      </w:tr>
      <w:tr>
        <w:trPr>
          <w:trHeight w:val="550" w:hRule="atLeast"/>
        </w:trPr>
        <w:tc>
          <w:tcPr>
            <w:tcW w:w="510" w:type="dxa"/>
          </w:tcPr>
          <w:p>
            <w:pPr>
              <w:pStyle w:val="TableParagraph"/>
              <w:spacing w:before="165"/>
              <w:ind w:left="0" w:right="73"/>
              <w:rPr>
                <w:sz w:val="16"/>
              </w:rPr>
            </w:pPr>
            <w:r>
              <w:rPr>
                <w:spacing w:val="-5"/>
                <w:sz w:val="16"/>
              </w:rPr>
              <w:t>C1</w:t>
            </w:r>
          </w:p>
        </w:tc>
        <w:tc>
          <w:tcPr>
            <w:tcW w:w="737" w:type="dxa"/>
          </w:tcPr>
          <w:p>
            <w:pPr>
              <w:pStyle w:val="TableParagraph"/>
              <w:spacing w:before="165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1,409</w:t>
            </w:r>
          </w:p>
        </w:tc>
        <w:tc>
          <w:tcPr>
            <w:tcW w:w="624" w:type="dxa"/>
          </w:tcPr>
          <w:p>
            <w:pPr>
              <w:pStyle w:val="TableParagraph"/>
              <w:spacing w:before="165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5.0</w:t>
            </w:r>
          </w:p>
        </w:tc>
        <w:tc>
          <w:tcPr>
            <w:tcW w:w="851" w:type="dxa"/>
          </w:tcPr>
          <w:p>
            <w:pPr>
              <w:pStyle w:val="TableParagraph"/>
              <w:spacing w:before="165"/>
              <w:rPr>
                <w:sz w:val="16"/>
              </w:rPr>
            </w:pPr>
            <w:r>
              <w:rPr>
                <w:spacing w:val="-2"/>
                <w:sz w:val="16"/>
              </w:rPr>
              <w:t>21,561</w:t>
            </w:r>
          </w:p>
        </w:tc>
        <w:tc>
          <w:tcPr>
            <w:tcW w:w="851" w:type="dxa"/>
          </w:tcPr>
          <w:p>
            <w:pPr>
              <w:pStyle w:val="TableParagraph"/>
              <w:spacing w:before="165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3,885</w:t>
            </w:r>
          </w:p>
        </w:tc>
        <w:tc>
          <w:tcPr>
            <w:tcW w:w="794" w:type="dxa"/>
          </w:tcPr>
          <w:p>
            <w:pPr>
              <w:pStyle w:val="TableParagraph"/>
              <w:spacing w:before="165"/>
              <w:ind w:left="5"/>
              <w:rPr>
                <w:sz w:val="16"/>
              </w:rPr>
            </w:pPr>
            <w:r>
              <w:rPr>
                <w:spacing w:val="-4"/>
                <w:sz w:val="16"/>
              </w:rPr>
              <w:t>1.07</w:t>
            </w:r>
          </w:p>
        </w:tc>
        <w:tc>
          <w:tcPr>
            <w:tcW w:w="851" w:type="dxa"/>
          </w:tcPr>
          <w:p>
            <w:pPr>
              <w:pStyle w:val="TableParagraph"/>
              <w:spacing w:before="165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1,953</w:t>
            </w:r>
          </w:p>
        </w:tc>
        <w:tc>
          <w:tcPr>
            <w:tcW w:w="2608" w:type="dxa"/>
          </w:tcPr>
          <w:p>
            <w:pPr>
              <w:pStyle w:val="TableParagraph"/>
              <w:spacing w:line="312" w:lineRule="auto"/>
              <w:ind w:left="707" w:right="284" w:hanging="418"/>
              <w:jc w:val="left"/>
              <w:rPr>
                <w:sz w:val="16"/>
              </w:rPr>
            </w:pPr>
            <w:r>
              <w:rPr>
                <w:sz w:val="16"/>
              </w:rPr>
              <w:t>petrol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(86%),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hatchback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(69%),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automatic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gearbox</w:t>
            </w:r>
          </w:p>
        </w:tc>
        <w:tc>
          <w:tcPr>
            <w:tcW w:w="964" w:type="dxa"/>
          </w:tcPr>
          <w:p>
            <w:pPr>
              <w:pStyle w:val="TableParagraph"/>
              <w:spacing w:before="165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516,005</w:t>
            </w:r>
          </w:p>
        </w:tc>
        <w:tc>
          <w:tcPr>
            <w:tcW w:w="964" w:type="dxa"/>
          </w:tcPr>
          <w:p>
            <w:pPr>
              <w:pStyle w:val="TableParagraph"/>
              <w:spacing w:before="165"/>
              <w:ind w:left="3" w:right="1"/>
              <w:rPr>
                <w:sz w:val="16"/>
              </w:rPr>
            </w:pPr>
            <w:r>
              <w:rPr>
                <w:spacing w:val="-2"/>
                <w:sz w:val="16"/>
              </w:rPr>
              <w:t>441,899</w:t>
            </w:r>
          </w:p>
        </w:tc>
      </w:tr>
      <w:tr>
        <w:trPr>
          <w:trHeight w:val="310" w:hRule="atLeast"/>
        </w:trPr>
        <w:tc>
          <w:tcPr>
            <w:tcW w:w="510" w:type="dxa"/>
          </w:tcPr>
          <w:p>
            <w:pPr>
              <w:pStyle w:val="TableParagraph"/>
              <w:ind w:left="0" w:right="73"/>
              <w:rPr>
                <w:sz w:val="16"/>
              </w:rPr>
            </w:pPr>
            <w:r>
              <w:rPr>
                <w:spacing w:val="-5"/>
                <w:sz w:val="16"/>
              </w:rPr>
              <w:t>C2</w:t>
            </w:r>
          </w:p>
        </w:tc>
        <w:tc>
          <w:tcPr>
            <w:tcW w:w="737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1,274</w:t>
            </w:r>
          </w:p>
        </w:tc>
        <w:tc>
          <w:tcPr>
            <w:tcW w:w="624" w:type="dxa"/>
          </w:tcPr>
          <w:p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8.8</w:t>
            </w:r>
          </w:p>
        </w:tc>
        <w:tc>
          <w:tcPr>
            <w:tcW w:w="85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75,351</w:t>
            </w:r>
          </w:p>
        </w:tc>
        <w:tc>
          <w:tcPr>
            <w:tcW w:w="851" w:type="dxa"/>
          </w:tcPr>
          <w:p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8,035</w:t>
            </w:r>
          </w:p>
        </w:tc>
        <w:tc>
          <w:tcPr>
            <w:tcW w:w="794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4"/>
                <w:sz w:val="16"/>
              </w:rPr>
              <w:t>2.17</w:t>
            </w:r>
          </w:p>
        </w:tc>
        <w:tc>
          <w:tcPr>
            <w:tcW w:w="851" w:type="dxa"/>
          </w:tcPr>
          <w:p>
            <w:pPr>
              <w:pStyle w:val="TableParagraph"/>
              <w:ind w:right="3"/>
              <w:rPr>
                <w:sz w:val="16"/>
              </w:rPr>
            </w:pPr>
            <w:r>
              <w:rPr>
                <w:spacing w:val="-2"/>
                <w:sz w:val="16"/>
              </w:rPr>
              <w:t>1,433</w:t>
            </w:r>
          </w:p>
        </w:tc>
        <w:tc>
          <w:tcPr>
            <w:tcW w:w="2608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z w:val="16"/>
              </w:rPr>
              <w:t>rating good or worse </w:t>
            </w:r>
            <w:r>
              <w:rPr>
                <w:spacing w:val="-2"/>
                <w:sz w:val="16"/>
              </w:rPr>
              <w:t>(×1.5)</w:t>
            </w:r>
          </w:p>
        </w:tc>
        <w:tc>
          <w:tcPr>
            <w:tcW w:w="964" w:type="dxa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387,235</w:t>
            </w:r>
          </w:p>
        </w:tc>
        <w:tc>
          <w:tcPr>
            <w:tcW w:w="964" w:type="dxa"/>
          </w:tcPr>
          <w:p>
            <w:pPr>
              <w:pStyle w:val="TableParagraph"/>
              <w:ind w:left="3" w:right="1"/>
              <w:rPr>
                <w:sz w:val="16"/>
              </w:rPr>
            </w:pPr>
            <w:r>
              <w:rPr>
                <w:spacing w:val="-2"/>
                <w:sz w:val="16"/>
              </w:rPr>
              <w:t>319,699</w:t>
            </w:r>
          </w:p>
        </w:tc>
      </w:tr>
    </w:tbl>
    <w:p>
      <w:pPr>
        <w:pStyle w:val="BodyText"/>
        <w:spacing w:line="261" w:lineRule="auto" w:before="128"/>
      </w:pPr>
      <w:r>
        <w:rPr/>
        <w:t>The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segments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real-world</w:t>
      </w:r>
      <w:r>
        <w:rPr>
          <w:spacing w:val="-1"/>
        </w:rPr>
        <w:t> </w:t>
      </w:r>
      <w:r>
        <w:rPr/>
        <w:t>reading.</w:t>
      </w:r>
      <w:r>
        <w:rPr>
          <w:spacing w:val="-1"/>
        </w:rPr>
        <w:t> </w:t>
      </w:r>
      <w:r>
        <w:rPr>
          <w:b/>
        </w:rPr>
        <w:t>C1</w:t>
      </w:r>
      <w:r>
        <w:rPr>
          <w:b/>
          <w:spacing w:val="-1"/>
        </w:rPr>
        <w:t> </w:t>
      </w:r>
      <w:r>
        <w:rPr>
          <w:b/>
        </w:rPr>
        <w:t>–</w:t>
      </w:r>
      <w:r>
        <w:rPr>
          <w:b/>
          <w:spacing w:val="-1"/>
        </w:rPr>
        <w:t> </w:t>
      </w:r>
      <w:r>
        <w:rPr>
          <w:b/>
        </w:rPr>
        <w:t>younger,</w:t>
      </w:r>
      <w:r>
        <w:rPr>
          <w:b/>
          <w:spacing w:val="-1"/>
        </w:rPr>
        <w:t> </w:t>
      </w:r>
      <w:r>
        <w:rPr>
          <w:b/>
        </w:rPr>
        <w:t>well-preserved</w:t>
      </w:r>
      <w:r>
        <w:rPr>
          <w:b/>
          <w:spacing w:val="-1"/>
        </w:rPr>
        <w:t> </w:t>
      </w:r>
      <w:r>
        <w:rPr>
          <w:b/>
        </w:rPr>
        <w:t>cars</w:t>
      </w:r>
      <w:r>
        <w:rPr>
          <w:b/>
          <w:spacing w:val="-1"/>
        </w:rPr>
        <w:t> </w:t>
      </w:r>
      <w:r>
        <w:rPr>
          <w:b/>
        </w:rPr>
        <w:t>(28%):</w:t>
      </w:r>
      <w:r>
        <w:rPr>
          <w:b/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youngest cars (5 years on average) with by far the lowest mileage, almost always first-owner, mostly petrol city hatchbacks with an above-average share of automatic gearboxes; they attract the most ad views and have the highest prices. </w:t>
      </w:r>
      <w:r>
        <w:rPr>
          <w:b/>
        </w:rPr>
        <w:t>C0 – heavily used first-owner cars (46%): </w:t>
      </w:r>
      <w:r>
        <w:rPr/>
        <w:t>mid-age cars with the highest mileage (over 10,000 km/year), almost exclusively one owner, with diesel engines and sedans over-represented – consistent with regular long-distance use; mid-range prices. </w:t>
      </w:r>
      <w:r>
        <w:rPr>
          <w:b/>
        </w:rPr>
        <w:t>C2 – older multi-owner cars (25%): </w:t>
      </w:r>
      <w:r>
        <w:rPr/>
        <w:t>the oldest cars, more than two owners on average, and the only segment where condition ratings below </w:t>
      </w:r>
      <w:r>
        <w:rPr>
          <w:i/>
        </w:rPr>
        <w:t>great </w:t>
      </w:r>
      <w:r>
        <w:rPr/>
        <w:t>are over-represented; accordingly the cheapest segment. Figure 3 visualises the profiles and the price ordering.</w:t>
      </w:r>
    </w:p>
    <w:p>
      <w:pPr>
        <w:pStyle w:val="BodyText"/>
        <w:spacing w:before="31"/>
        <w:ind w:left="0" w:righ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864675</wp:posOffset>
            </wp:positionH>
            <wp:positionV relativeFrom="paragraph">
              <wp:posOffset>181341</wp:posOffset>
            </wp:positionV>
            <wp:extent cx="2706624" cy="15933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624" cy="1593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3880574</wp:posOffset>
            </wp:positionH>
            <wp:positionV relativeFrom="paragraph">
              <wp:posOffset>221334</wp:posOffset>
            </wp:positionV>
            <wp:extent cx="2788347" cy="14841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347" cy="148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/>
        <w:ind w:left="1361" w:right="1361" w:firstLine="0"/>
        <w:jc w:val="center"/>
        <w:rPr>
          <w:i/>
          <w:sz w:val="18"/>
        </w:rPr>
      </w:pPr>
      <w:r>
        <w:rPr>
          <w:i/>
          <w:sz w:val="18"/>
        </w:rPr>
        <w:t>Figure 3. Standardised numeric cluster profiles (left) and average sale price per cluster </w:t>
      </w:r>
      <w:r>
        <w:rPr>
          <w:i/>
          <w:spacing w:val="-2"/>
          <w:sz w:val="18"/>
        </w:rPr>
        <w:t>(right)</w:t>
      </w:r>
    </w:p>
    <w:p>
      <w:pPr>
        <w:pStyle w:val="BodyText"/>
        <w:spacing w:line="261" w:lineRule="auto" w:before="155"/>
      </w:pPr>
      <w:r>
        <w:rPr>
          <w:b/>
        </w:rPr>
        <w:t>Error analysis and limitations. </w:t>
      </w:r>
      <w:r>
        <w:rPr/>
        <w:t>The silhouette of 0.217 is moderate: the segments overlap and the market is better described as a continuum with three recognisable poles than as three sharply separated islands. This </w:t>
      </w:r>
      <w:r>
        <w:rPr/>
        <w:t>is expected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mixed</w:t>
      </w:r>
      <w:r>
        <w:rPr>
          <w:spacing w:val="24"/>
        </w:rPr>
        <w:t> </w:t>
      </w:r>
      <w:r>
        <w:rPr/>
        <w:t>numerical/one-hot</w:t>
      </w:r>
      <w:r>
        <w:rPr>
          <w:spacing w:val="24"/>
        </w:rPr>
        <w:t> </w:t>
      </w:r>
      <w:r>
        <w:rPr/>
        <w:t>data,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2D</w:t>
      </w:r>
      <w:r>
        <w:rPr>
          <w:spacing w:val="24"/>
        </w:rPr>
        <w:t> </w:t>
      </w:r>
      <w:r>
        <w:rPr/>
        <w:t>scatter</w:t>
      </w:r>
      <w:r>
        <w:rPr>
          <w:spacing w:val="24"/>
        </w:rPr>
        <w:t> </w:t>
      </w:r>
      <w:r>
        <w:rPr/>
        <w:t>must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read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care</w:t>
      </w:r>
      <w:r>
        <w:rPr>
          <w:spacing w:val="24"/>
        </w:rPr>
        <w:t> </w:t>
      </w:r>
      <w:r>
        <w:rPr/>
        <w:t>since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>
          <w:spacing w:val="-2"/>
        </w:rPr>
        <w:t>projection</w:t>
      </w:r>
    </w:p>
    <w:p>
      <w:pPr>
        <w:pStyle w:val="BodyText"/>
        <w:spacing w:after="0" w:line="261" w:lineRule="auto"/>
        <w:sectPr>
          <w:pgSz w:w="11910" w:h="16840"/>
          <w:pgMar w:header="0" w:footer="641" w:top="1240" w:bottom="840" w:left="992" w:right="992"/>
        </w:sectPr>
      </w:pPr>
    </w:p>
    <w:p>
      <w:pPr>
        <w:pStyle w:val="BodyText"/>
        <w:spacing w:line="261" w:lineRule="auto" w:before="66"/>
      </w:pPr>
      <w:r>
        <w:rPr/>
        <w:t>keeps only 53% of the variance. The answer to RQ3 is nevertheless clearly positive: mean prices differ </w:t>
      </w:r>
      <w:r>
        <w:rPr/>
        <w:t>by about 33% between the cheapest and the most expensive segment (387k vs. 516k INR, medians 320k vs. 442k)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consistent</w:t>
      </w:r>
      <w:r>
        <w:rPr>
          <w:spacing w:val="80"/>
        </w:rPr>
        <w:t> </w:t>
      </w:r>
      <w:r>
        <w:rPr/>
        <w:t>ordering,</w:t>
      </w:r>
      <w:r>
        <w:rPr>
          <w:spacing w:val="80"/>
        </w:rPr>
        <w:t> </w:t>
      </w:r>
      <w:r>
        <w:rPr/>
        <w:t>although</w:t>
      </w:r>
      <w:r>
        <w:rPr>
          <w:spacing w:val="80"/>
        </w:rPr>
        <w:t> </w:t>
      </w:r>
      <w:r>
        <w:rPr/>
        <w:t>price</w:t>
      </w:r>
      <w:r>
        <w:rPr>
          <w:spacing w:val="80"/>
        </w:rPr>
        <w:t> </w:t>
      </w:r>
      <w:r>
        <w:rPr/>
        <w:t>never</w:t>
      </w:r>
      <w:r>
        <w:rPr>
          <w:spacing w:val="80"/>
        </w:rPr>
        <w:t> </w:t>
      </w:r>
      <w:r>
        <w:rPr/>
        <w:t>entered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model.</w:t>
      </w:r>
      <w:r>
        <w:rPr>
          <w:spacing w:val="80"/>
        </w:rPr>
        <w:t> </w:t>
      </w:r>
      <w:r>
        <w:rPr/>
        <w:t>Known</w:t>
      </w:r>
      <w:r>
        <w:rPr>
          <w:spacing w:val="80"/>
        </w:rPr>
        <w:t> </w:t>
      </w:r>
      <w:r>
        <w:rPr/>
        <w:t>limitations:</w:t>
      </w:r>
      <w:r>
        <w:rPr>
          <w:spacing w:val="80"/>
        </w:rPr>
        <w:t> </w:t>
      </w:r>
      <w:r>
        <w:rPr/>
        <w:t>the one-hot/Euclidean treatment of categorical attributes is a pragmatic compromise (k-prototypes or Gower distance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principled</w:t>
      </w:r>
      <w:r>
        <w:rPr>
          <w:spacing w:val="-5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[9]);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rating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uninformative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part of listings; and a single erroneous listing with a price of 35 INR survives cleaning, which is why we report medians alongside means.</w:t>
      </w:r>
    </w:p>
    <w:p>
      <w:pPr>
        <w:pStyle w:val="Heading2"/>
        <w:numPr>
          <w:ilvl w:val="0"/>
          <w:numId w:val="1"/>
        </w:numPr>
        <w:tabs>
          <w:tab w:pos="558" w:val="left" w:leader="none"/>
        </w:tabs>
        <w:spacing w:line="240" w:lineRule="auto" w:before="208" w:after="0"/>
        <w:ind w:left="558" w:right="0" w:hanging="240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15" w:val="left" w:leader="none"/>
        </w:tabs>
        <w:spacing w:line="264" w:lineRule="auto" w:before="81" w:after="0"/>
        <w:ind w:left="598" w:right="316" w:hanging="280"/>
        <w:jc w:val="left"/>
        <w:rPr>
          <w:sz w:val="19"/>
        </w:rPr>
      </w:pPr>
      <w:r>
        <w:rPr>
          <w:sz w:val="19"/>
        </w:rPr>
        <w:t>J.</w:t>
      </w:r>
      <w:r>
        <w:rPr>
          <w:spacing w:val="40"/>
          <w:sz w:val="19"/>
        </w:rPr>
        <w:t> </w:t>
      </w:r>
      <w:r>
        <w:rPr>
          <w:sz w:val="19"/>
        </w:rPr>
        <w:t>MacQueen,</w:t>
      </w:r>
      <w:r>
        <w:rPr>
          <w:spacing w:val="26"/>
          <w:sz w:val="19"/>
        </w:rPr>
        <w:t> </w:t>
      </w:r>
      <w:r>
        <w:rPr>
          <w:sz w:val="19"/>
        </w:rPr>
        <w:t>“Some</w:t>
      </w:r>
      <w:r>
        <w:rPr>
          <w:spacing w:val="26"/>
          <w:sz w:val="19"/>
        </w:rPr>
        <w:t> </w:t>
      </w:r>
      <w:r>
        <w:rPr>
          <w:sz w:val="19"/>
        </w:rPr>
        <w:t>methods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26"/>
          <w:sz w:val="19"/>
        </w:rPr>
        <w:t> </w:t>
      </w:r>
      <w:r>
        <w:rPr>
          <w:sz w:val="19"/>
        </w:rPr>
        <w:t>classification</w:t>
      </w:r>
      <w:r>
        <w:rPr>
          <w:spacing w:val="26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analysis</w:t>
      </w:r>
      <w:r>
        <w:rPr>
          <w:spacing w:val="26"/>
          <w:sz w:val="19"/>
        </w:rPr>
        <w:t> </w:t>
      </w:r>
      <w:r>
        <w:rPr>
          <w:sz w:val="19"/>
        </w:rPr>
        <w:t>of</w:t>
      </w:r>
      <w:r>
        <w:rPr>
          <w:spacing w:val="26"/>
          <w:sz w:val="19"/>
        </w:rPr>
        <w:t> </w:t>
      </w:r>
      <w:r>
        <w:rPr>
          <w:sz w:val="19"/>
        </w:rPr>
        <w:t>multivariate</w:t>
      </w:r>
      <w:r>
        <w:rPr>
          <w:spacing w:val="26"/>
          <w:sz w:val="19"/>
        </w:rPr>
        <w:t> </w:t>
      </w:r>
      <w:r>
        <w:rPr>
          <w:sz w:val="19"/>
        </w:rPr>
        <w:t>observations,”</w:t>
      </w:r>
      <w:r>
        <w:rPr>
          <w:spacing w:val="26"/>
          <w:sz w:val="19"/>
        </w:rPr>
        <w:t> </w:t>
      </w:r>
      <w:r>
        <w:rPr>
          <w:sz w:val="19"/>
        </w:rPr>
        <w:t>in</w:t>
      </w:r>
      <w:r>
        <w:rPr>
          <w:spacing w:val="26"/>
          <w:sz w:val="19"/>
        </w:rPr>
        <w:t> </w:t>
      </w:r>
      <w:r>
        <w:rPr>
          <w:i/>
          <w:sz w:val="19"/>
        </w:rPr>
        <w:t>Proc.</w:t>
      </w:r>
      <w:r>
        <w:rPr>
          <w:i/>
          <w:spacing w:val="26"/>
          <w:sz w:val="19"/>
        </w:rPr>
        <w:t> </w:t>
      </w:r>
      <w:r>
        <w:rPr>
          <w:i/>
          <w:sz w:val="19"/>
        </w:rPr>
        <w:t>5th</w:t>
      </w:r>
      <w:r>
        <w:rPr>
          <w:i/>
          <w:spacing w:val="26"/>
          <w:sz w:val="19"/>
        </w:rPr>
        <w:t> </w:t>
      </w:r>
      <w:r>
        <w:rPr>
          <w:i/>
          <w:sz w:val="19"/>
        </w:rPr>
        <w:t>Berkeley Symp. on Mathematical Statistics and Probability</w:t>
      </w:r>
      <w:r>
        <w:rPr>
          <w:sz w:val="19"/>
        </w:rPr>
        <w:t>, 1967, pp. 281–297.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49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J.</w:t>
      </w:r>
      <w:r>
        <w:rPr>
          <w:spacing w:val="80"/>
          <w:w w:val="150"/>
          <w:sz w:val="19"/>
        </w:rPr>
        <w:t> </w:t>
      </w:r>
      <w:r>
        <w:rPr>
          <w:sz w:val="19"/>
        </w:rPr>
        <w:t>H.</w:t>
      </w:r>
      <w:r>
        <w:rPr>
          <w:spacing w:val="60"/>
          <w:sz w:val="19"/>
        </w:rPr>
        <w:t> </w:t>
      </w:r>
      <w:r>
        <w:rPr>
          <w:sz w:val="19"/>
        </w:rPr>
        <w:t>Ward,</w:t>
      </w:r>
      <w:r>
        <w:rPr>
          <w:spacing w:val="60"/>
          <w:sz w:val="19"/>
        </w:rPr>
        <w:t> </w:t>
      </w:r>
      <w:r>
        <w:rPr>
          <w:sz w:val="19"/>
        </w:rPr>
        <w:t>“Hierarchical</w:t>
      </w:r>
      <w:r>
        <w:rPr>
          <w:spacing w:val="60"/>
          <w:sz w:val="19"/>
        </w:rPr>
        <w:t> </w:t>
      </w:r>
      <w:r>
        <w:rPr>
          <w:sz w:val="19"/>
        </w:rPr>
        <w:t>grouping</w:t>
      </w:r>
      <w:r>
        <w:rPr>
          <w:spacing w:val="60"/>
          <w:sz w:val="19"/>
        </w:rPr>
        <w:t> </w:t>
      </w:r>
      <w:r>
        <w:rPr>
          <w:sz w:val="19"/>
        </w:rPr>
        <w:t>to</w:t>
      </w:r>
      <w:r>
        <w:rPr>
          <w:spacing w:val="60"/>
          <w:sz w:val="19"/>
        </w:rPr>
        <w:t> </w:t>
      </w:r>
      <w:r>
        <w:rPr>
          <w:sz w:val="19"/>
        </w:rPr>
        <w:t>optimize</w:t>
      </w:r>
      <w:r>
        <w:rPr>
          <w:spacing w:val="60"/>
          <w:sz w:val="19"/>
        </w:rPr>
        <w:t> </w:t>
      </w:r>
      <w:r>
        <w:rPr>
          <w:sz w:val="19"/>
        </w:rPr>
        <w:t>an</w:t>
      </w:r>
      <w:r>
        <w:rPr>
          <w:spacing w:val="60"/>
          <w:sz w:val="19"/>
        </w:rPr>
        <w:t> </w:t>
      </w:r>
      <w:r>
        <w:rPr>
          <w:sz w:val="19"/>
        </w:rPr>
        <w:t>objective</w:t>
      </w:r>
      <w:r>
        <w:rPr>
          <w:spacing w:val="60"/>
          <w:sz w:val="19"/>
        </w:rPr>
        <w:t> </w:t>
      </w:r>
      <w:r>
        <w:rPr>
          <w:sz w:val="19"/>
        </w:rPr>
        <w:t>function,”</w:t>
      </w:r>
      <w:r>
        <w:rPr>
          <w:spacing w:val="60"/>
          <w:sz w:val="19"/>
        </w:rPr>
        <w:t> </w:t>
      </w:r>
      <w:r>
        <w:rPr>
          <w:i/>
          <w:sz w:val="19"/>
        </w:rPr>
        <w:t>Journal</w:t>
      </w:r>
      <w:r>
        <w:rPr>
          <w:i/>
          <w:spacing w:val="60"/>
          <w:sz w:val="19"/>
        </w:rPr>
        <w:t> </w:t>
      </w:r>
      <w:r>
        <w:rPr>
          <w:i/>
          <w:sz w:val="19"/>
        </w:rPr>
        <w:t>of</w:t>
      </w:r>
      <w:r>
        <w:rPr>
          <w:i/>
          <w:spacing w:val="60"/>
          <w:sz w:val="19"/>
        </w:rPr>
        <w:t> </w:t>
      </w:r>
      <w:r>
        <w:rPr>
          <w:i/>
          <w:sz w:val="19"/>
        </w:rPr>
        <w:t>the</w:t>
      </w:r>
      <w:r>
        <w:rPr>
          <w:i/>
          <w:spacing w:val="60"/>
          <w:sz w:val="19"/>
        </w:rPr>
        <w:t> </w:t>
      </w:r>
      <w:r>
        <w:rPr>
          <w:i/>
          <w:sz w:val="19"/>
        </w:rPr>
        <w:t>American</w:t>
      </w:r>
      <w:r>
        <w:rPr>
          <w:i/>
          <w:spacing w:val="60"/>
          <w:sz w:val="19"/>
        </w:rPr>
        <w:t> </w:t>
      </w:r>
      <w:r>
        <w:rPr>
          <w:i/>
          <w:sz w:val="19"/>
        </w:rPr>
        <w:t>Statistical Association</w:t>
      </w:r>
      <w:r>
        <w:rPr>
          <w:sz w:val="19"/>
        </w:rPr>
        <w:t>, vol. 58, no. 301, pp. 236–244, 1963.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08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M.</w:t>
      </w:r>
      <w:r>
        <w:rPr>
          <w:spacing w:val="28"/>
          <w:sz w:val="19"/>
        </w:rPr>
        <w:t> </w:t>
      </w:r>
      <w:r>
        <w:rPr>
          <w:sz w:val="19"/>
        </w:rPr>
        <w:t>Ester,</w:t>
      </w:r>
      <w:r>
        <w:rPr>
          <w:spacing w:val="19"/>
          <w:sz w:val="19"/>
        </w:rPr>
        <w:t> </w:t>
      </w:r>
      <w:r>
        <w:rPr>
          <w:sz w:val="19"/>
        </w:rPr>
        <w:t>H.-P.</w:t>
      </w:r>
      <w:r>
        <w:rPr>
          <w:spacing w:val="19"/>
          <w:sz w:val="19"/>
        </w:rPr>
        <w:t> </w:t>
      </w:r>
      <w:r>
        <w:rPr>
          <w:sz w:val="19"/>
        </w:rPr>
        <w:t>Kriegel,</w:t>
      </w:r>
      <w:r>
        <w:rPr>
          <w:spacing w:val="19"/>
          <w:sz w:val="19"/>
        </w:rPr>
        <w:t> </w:t>
      </w:r>
      <w:r>
        <w:rPr>
          <w:sz w:val="19"/>
        </w:rPr>
        <w:t>J.</w:t>
      </w:r>
      <w:r>
        <w:rPr>
          <w:spacing w:val="19"/>
          <w:sz w:val="19"/>
        </w:rPr>
        <w:t> </w:t>
      </w:r>
      <w:r>
        <w:rPr>
          <w:sz w:val="19"/>
        </w:rPr>
        <w:t>Sander,</w:t>
      </w:r>
      <w:r>
        <w:rPr>
          <w:spacing w:val="19"/>
          <w:sz w:val="19"/>
        </w:rPr>
        <w:t> </w:t>
      </w:r>
      <w:r>
        <w:rPr>
          <w:sz w:val="19"/>
        </w:rPr>
        <w:t>and</w:t>
      </w:r>
      <w:r>
        <w:rPr>
          <w:spacing w:val="19"/>
          <w:sz w:val="19"/>
        </w:rPr>
        <w:t> </w:t>
      </w:r>
      <w:r>
        <w:rPr>
          <w:sz w:val="19"/>
        </w:rPr>
        <w:t>X.</w:t>
      </w:r>
      <w:r>
        <w:rPr>
          <w:spacing w:val="19"/>
          <w:sz w:val="19"/>
        </w:rPr>
        <w:t> </w:t>
      </w:r>
      <w:r>
        <w:rPr>
          <w:sz w:val="19"/>
        </w:rPr>
        <w:t>Xu,</w:t>
      </w:r>
      <w:r>
        <w:rPr>
          <w:spacing w:val="19"/>
          <w:sz w:val="19"/>
        </w:rPr>
        <w:t> </w:t>
      </w:r>
      <w:r>
        <w:rPr>
          <w:sz w:val="19"/>
        </w:rPr>
        <w:t>“A</w:t>
      </w:r>
      <w:r>
        <w:rPr>
          <w:spacing w:val="19"/>
          <w:sz w:val="19"/>
        </w:rPr>
        <w:t> </w:t>
      </w:r>
      <w:r>
        <w:rPr>
          <w:sz w:val="19"/>
        </w:rPr>
        <w:t>density-based</w:t>
      </w:r>
      <w:r>
        <w:rPr>
          <w:spacing w:val="19"/>
          <w:sz w:val="19"/>
        </w:rPr>
        <w:t> </w:t>
      </w:r>
      <w:r>
        <w:rPr>
          <w:sz w:val="19"/>
        </w:rPr>
        <w:t>algorithm</w:t>
      </w:r>
      <w:r>
        <w:rPr>
          <w:spacing w:val="19"/>
          <w:sz w:val="19"/>
        </w:rPr>
        <w:t> </w:t>
      </w:r>
      <w:r>
        <w:rPr>
          <w:sz w:val="19"/>
        </w:rPr>
        <w:t>for</w:t>
      </w:r>
      <w:r>
        <w:rPr>
          <w:spacing w:val="19"/>
          <w:sz w:val="19"/>
        </w:rPr>
        <w:t> </w:t>
      </w:r>
      <w:r>
        <w:rPr>
          <w:sz w:val="19"/>
        </w:rPr>
        <w:t>discovering</w:t>
      </w:r>
      <w:r>
        <w:rPr>
          <w:spacing w:val="19"/>
          <w:sz w:val="19"/>
        </w:rPr>
        <w:t> </w:t>
      </w:r>
      <w:r>
        <w:rPr>
          <w:sz w:val="19"/>
        </w:rPr>
        <w:t>clusters</w:t>
      </w:r>
      <w:r>
        <w:rPr>
          <w:spacing w:val="19"/>
          <w:sz w:val="19"/>
        </w:rPr>
        <w:t> </w:t>
      </w:r>
      <w:r>
        <w:rPr>
          <w:sz w:val="19"/>
        </w:rPr>
        <w:t>in</w:t>
      </w:r>
      <w:r>
        <w:rPr>
          <w:spacing w:val="19"/>
          <w:sz w:val="19"/>
        </w:rPr>
        <w:t> </w:t>
      </w:r>
      <w:r>
        <w:rPr>
          <w:sz w:val="19"/>
        </w:rPr>
        <w:t>large</w:t>
      </w:r>
      <w:r>
        <w:rPr>
          <w:spacing w:val="19"/>
          <w:sz w:val="19"/>
        </w:rPr>
        <w:t> </w:t>
      </w:r>
      <w:r>
        <w:rPr>
          <w:sz w:val="19"/>
        </w:rPr>
        <w:t>spatial databases with noise,” in </w:t>
      </w:r>
      <w:r>
        <w:rPr>
          <w:i/>
          <w:sz w:val="19"/>
        </w:rPr>
        <w:t>Proc. KDD-96</w:t>
      </w:r>
      <w:r>
        <w:rPr>
          <w:sz w:val="19"/>
        </w:rPr>
        <w:t>, 1996, pp. 226–231.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14" w:val="left" w:leader="none"/>
        </w:tabs>
        <w:spacing w:line="264" w:lineRule="auto" w:before="40" w:after="0"/>
        <w:ind w:left="598" w:right="316" w:hanging="280"/>
        <w:jc w:val="left"/>
        <w:rPr>
          <w:sz w:val="19"/>
        </w:rPr>
      </w:pPr>
      <w:r>
        <w:rPr>
          <w:sz w:val="19"/>
        </w:rPr>
        <w:t>P.</w:t>
      </w:r>
      <w:r>
        <w:rPr>
          <w:spacing w:val="40"/>
          <w:sz w:val="19"/>
        </w:rPr>
        <w:t> </w:t>
      </w:r>
      <w:r>
        <w:rPr>
          <w:sz w:val="19"/>
        </w:rPr>
        <w:t>J.</w:t>
      </w:r>
      <w:r>
        <w:rPr>
          <w:spacing w:val="26"/>
          <w:sz w:val="19"/>
        </w:rPr>
        <w:t> </w:t>
      </w:r>
      <w:r>
        <w:rPr>
          <w:sz w:val="19"/>
        </w:rPr>
        <w:t>Rousseeuw,</w:t>
      </w:r>
      <w:r>
        <w:rPr>
          <w:spacing w:val="26"/>
          <w:sz w:val="19"/>
        </w:rPr>
        <w:t> </w:t>
      </w:r>
      <w:r>
        <w:rPr>
          <w:sz w:val="19"/>
        </w:rPr>
        <w:t>“Silhouettes: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graphical</w:t>
      </w:r>
      <w:r>
        <w:rPr>
          <w:spacing w:val="26"/>
          <w:sz w:val="19"/>
        </w:rPr>
        <w:t> </w:t>
      </w:r>
      <w:r>
        <w:rPr>
          <w:sz w:val="19"/>
        </w:rPr>
        <w:t>aid</w:t>
      </w:r>
      <w:r>
        <w:rPr>
          <w:spacing w:val="26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interpretation</w:t>
      </w:r>
      <w:r>
        <w:rPr>
          <w:spacing w:val="26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validation</w:t>
      </w:r>
      <w:r>
        <w:rPr>
          <w:spacing w:val="26"/>
          <w:sz w:val="19"/>
        </w:rPr>
        <w:t> </w:t>
      </w:r>
      <w:r>
        <w:rPr>
          <w:sz w:val="19"/>
        </w:rPr>
        <w:t>of</w:t>
      </w:r>
      <w:r>
        <w:rPr>
          <w:spacing w:val="26"/>
          <w:sz w:val="19"/>
        </w:rPr>
        <w:t> </w:t>
      </w:r>
      <w:r>
        <w:rPr>
          <w:sz w:val="19"/>
        </w:rPr>
        <w:t>cluster</w:t>
      </w:r>
      <w:r>
        <w:rPr>
          <w:spacing w:val="26"/>
          <w:sz w:val="19"/>
        </w:rPr>
        <w:t> </w:t>
      </w:r>
      <w:r>
        <w:rPr>
          <w:sz w:val="19"/>
        </w:rPr>
        <w:t>analysis,”</w:t>
      </w:r>
      <w:r>
        <w:rPr>
          <w:spacing w:val="26"/>
          <w:sz w:val="19"/>
        </w:rPr>
        <w:t> </w:t>
      </w:r>
      <w:r>
        <w:rPr>
          <w:i/>
          <w:sz w:val="19"/>
        </w:rPr>
        <w:t>Journal</w:t>
      </w:r>
      <w:r>
        <w:rPr>
          <w:i/>
          <w:spacing w:val="26"/>
          <w:sz w:val="19"/>
        </w:rPr>
        <w:t> </w:t>
      </w:r>
      <w:r>
        <w:rPr>
          <w:i/>
          <w:sz w:val="19"/>
        </w:rPr>
        <w:t>of Computational and Applied Mathematics</w:t>
      </w:r>
      <w:r>
        <w:rPr>
          <w:sz w:val="19"/>
        </w:rPr>
        <w:t>, vol. 20, pp. 53–65, 1987.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25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D.</w:t>
      </w:r>
      <w:r>
        <w:rPr>
          <w:spacing w:val="63"/>
          <w:sz w:val="19"/>
        </w:rPr>
        <w:t> </w:t>
      </w:r>
      <w:r>
        <w:rPr>
          <w:sz w:val="19"/>
        </w:rPr>
        <w:t>L.</w:t>
      </w:r>
      <w:r>
        <w:rPr>
          <w:spacing w:val="37"/>
          <w:sz w:val="19"/>
        </w:rPr>
        <w:t> </w:t>
      </w:r>
      <w:r>
        <w:rPr>
          <w:sz w:val="19"/>
        </w:rPr>
        <w:t>Davies</w:t>
      </w:r>
      <w:r>
        <w:rPr>
          <w:spacing w:val="37"/>
          <w:sz w:val="19"/>
        </w:rPr>
        <w:t> </w:t>
      </w:r>
      <w:r>
        <w:rPr>
          <w:sz w:val="19"/>
        </w:rPr>
        <w:t>and</w:t>
      </w:r>
      <w:r>
        <w:rPr>
          <w:spacing w:val="37"/>
          <w:sz w:val="19"/>
        </w:rPr>
        <w:t> </w:t>
      </w:r>
      <w:r>
        <w:rPr>
          <w:sz w:val="19"/>
        </w:rPr>
        <w:t>D.</w:t>
      </w:r>
      <w:r>
        <w:rPr>
          <w:spacing w:val="37"/>
          <w:sz w:val="19"/>
        </w:rPr>
        <w:t> </w:t>
      </w:r>
      <w:r>
        <w:rPr>
          <w:sz w:val="19"/>
        </w:rPr>
        <w:t>W.</w:t>
      </w:r>
      <w:r>
        <w:rPr>
          <w:spacing w:val="37"/>
          <w:sz w:val="19"/>
        </w:rPr>
        <w:t> </w:t>
      </w:r>
      <w:r>
        <w:rPr>
          <w:sz w:val="19"/>
        </w:rPr>
        <w:t>Bouldin,</w:t>
      </w:r>
      <w:r>
        <w:rPr>
          <w:spacing w:val="37"/>
          <w:sz w:val="19"/>
        </w:rPr>
        <w:t> </w:t>
      </w:r>
      <w:r>
        <w:rPr>
          <w:sz w:val="19"/>
        </w:rPr>
        <w:t>“A</w:t>
      </w:r>
      <w:r>
        <w:rPr>
          <w:spacing w:val="37"/>
          <w:sz w:val="19"/>
        </w:rPr>
        <w:t> </w:t>
      </w:r>
      <w:r>
        <w:rPr>
          <w:sz w:val="19"/>
        </w:rPr>
        <w:t>cluster</w:t>
      </w:r>
      <w:r>
        <w:rPr>
          <w:spacing w:val="37"/>
          <w:sz w:val="19"/>
        </w:rPr>
        <w:t> </w:t>
      </w:r>
      <w:r>
        <w:rPr>
          <w:sz w:val="19"/>
        </w:rPr>
        <w:t>separation</w:t>
      </w:r>
      <w:r>
        <w:rPr>
          <w:spacing w:val="37"/>
          <w:sz w:val="19"/>
        </w:rPr>
        <w:t> </w:t>
      </w:r>
      <w:r>
        <w:rPr>
          <w:sz w:val="19"/>
        </w:rPr>
        <w:t>measure,”</w:t>
      </w:r>
      <w:r>
        <w:rPr>
          <w:spacing w:val="37"/>
          <w:sz w:val="19"/>
        </w:rPr>
        <w:t> </w:t>
      </w:r>
      <w:r>
        <w:rPr>
          <w:i/>
          <w:sz w:val="19"/>
        </w:rPr>
        <w:t>IEEE</w:t>
      </w:r>
      <w:r>
        <w:rPr>
          <w:i/>
          <w:spacing w:val="37"/>
          <w:sz w:val="19"/>
        </w:rPr>
        <w:t> </w:t>
      </w:r>
      <w:r>
        <w:rPr>
          <w:i/>
          <w:sz w:val="19"/>
        </w:rPr>
        <w:t>Transactions</w:t>
      </w:r>
      <w:r>
        <w:rPr>
          <w:i/>
          <w:spacing w:val="37"/>
          <w:sz w:val="19"/>
        </w:rPr>
        <w:t> </w:t>
      </w:r>
      <w:r>
        <w:rPr>
          <w:i/>
          <w:sz w:val="19"/>
        </w:rPr>
        <w:t>on</w:t>
      </w:r>
      <w:r>
        <w:rPr>
          <w:i/>
          <w:spacing w:val="37"/>
          <w:sz w:val="19"/>
        </w:rPr>
        <w:t> </w:t>
      </w:r>
      <w:r>
        <w:rPr>
          <w:i/>
          <w:sz w:val="19"/>
        </w:rPr>
        <w:t>Pattern</w:t>
      </w:r>
      <w:r>
        <w:rPr>
          <w:i/>
          <w:spacing w:val="37"/>
          <w:sz w:val="19"/>
        </w:rPr>
        <w:t> </w:t>
      </w:r>
      <w:r>
        <w:rPr>
          <w:i/>
          <w:sz w:val="19"/>
        </w:rPr>
        <w:t>Analysis</w:t>
      </w:r>
      <w:r>
        <w:rPr>
          <w:i/>
          <w:spacing w:val="37"/>
          <w:sz w:val="19"/>
        </w:rPr>
        <w:t> </w:t>
      </w:r>
      <w:r>
        <w:rPr>
          <w:i/>
          <w:sz w:val="19"/>
        </w:rPr>
        <w:t>and Machine Intelligence</w:t>
      </w:r>
      <w:r>
        <w:rPr>
          <w:sz w:val="19"/>
        </w:rPr>
        <w:t>, vol. PAMI-1, no. 2, pp. 224–227, 1979.</w:t>
      </w:r>
    </w:p>
    <w:p>
      <w:pPr>
        <w:pStyle w:val="ListParagraph"/>
        <w:numPr>
          <w:ilvl w:val="0"/>
          <w:numId w:val="2"/>
        </w:numPr>
        <w:tabs>
          <w:tab w:pos="592" w:val="left" w:leader="none"/>
          <w:tab w:pos="598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T. Caliński and J. Harabasz, “A dendrite method for cluster analysis,” </w:t>
      </w:r>
      <w:r>
        <w:rPr>
          <w:i/>
          <w:sz w:val="19"/>
        </w:rPr>
        <w:t>Communications in Statistics</w:t>
      </w:r>
      <w:r>
        <w:rPr>
          <w:sz w:val="19"/>
        </w:rPr>
        <w:t>, vol. 3, no. 1, pp. 1–27, 1974.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640" w:val="left" w:leader="none"/>
        </w:tabs>
        <w:spacing w:line="264" w:lineRule="auto" w:before="40" w:after="0"/>
        <w:ind w:left="598" w:right="316" w:hanging="280"/>
        <w:jc w:val="left"/>
        <w:rPr>
          <w:sz w:val="19"/>
        </w:rPr>
      </w:pPr>
      <w:r>
        <w:rPr>
          <w:sz w:val="19"/>
        </w:rPr>
        <w:t>S.</w:t>
      </w:r>
      <w:r>
        <w:rPr>
          <w:spacing w:val="80"/>
          <w:sz w:val="19"/>
        </w:rPr>
        <w:t> </w:t>
      </w:r>
      <w:r>
        <w:rPr>
          <w:sz w:val="19"/>
        </w:rPr>
        <w:t>Pudaruth,</w:t>
      </w:r>
      <w:r>
        <w:rPr>
          <w:spacing w:val="40"/>
          <w:sz w:val="19"/>
        </w:rPr>
        <w:t> </w:t>
      </w:r>
      <w:r>
        <w:rPr>
          <w:sz w:val="19"/>
        </w:rPr>
        <w:t>“Predicting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price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used</w:t>
      </w:r>
      <w:r>
        <w:rPr>
          <w:spacing w:val="40"/>
          <w:sz w:val="19"/>
        </w:rPr>
        <w:t> </w:t>
      </w:r>
      <w:r>
        <w:rPr>
          <w:sz w:val="19"/>
        </w:rPr>
        <w:t>cars</w:t>
      </w:r>
      <w:r>
        <w:rPr>
          <w:spacing w:val="40"/>
          <w:sz w:val="19"/>
        </w:rPr>
        <w:t> </w:t>
      </w:r>
      <w:r>
        <w:rPr>
          <w:sz w:val="19"/>
        </w:rPr>
        <w:t>using</w:t>
      </w:r>
      <w:r>
        <w:rPr>
          <w:spacing w:val="40"/>
          <w:sz w:val="19"/>
        </w:rPr>
        <w:t> </w:t>
      </w:r>
      <w:r>
        <w:rPr>
          <w:sz w:val="19"/>
        </w:rPr>
        <w:t>machine</w:t>
      </w:r>
      <w:r>
        <w:rPr>
          <w:spacing w:val="40"/>
          <w:sz w:val="19"/>
        </w:rPr>
        <w:t> </w:t>
      </w:r>
      <w:r>
        <w:rPr>
          <w:sz w:val="19"/>
        </w:rPr>
        <w:t>learning</w:t>
      </w:r>
      <w:r>
        <w:rPr>
          <w:spacing w:val="40"/>
          <w:sz w:val="19"/>
        </w:rPr>
        <w:t> </w:t>
      </w:r>
      <w:r>
        <w:rPr>
          <w:sz w:val="19"/>
        </w:rPr>
        <w:t>techniques,”</w:t>
      </w:r>
      <w:r>
        <w:rPr>
          <w:spacing w:val="40"/>
          <w:sz w:val="19"/>
        </w:rPr>
        <w:t> </w:t>
      </w:r>
      <w:r>
        <w:rPr>
          <w:i/>
          <w:sz w:val="19"/>
        </w:rPr>
        <w:t>International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Journal</w:t>
      </w:r>
      <w:r>
        <w:rPr>
          <w:i/>
          <w:spacing w:val="40"/>
          <w:sz w:val="19"/>
        </w:rPr>
        <w:t> </w:t>
      </w:r>
      <w:r>
        <w:rPr>
          <w:i/>
          <w:sz w:val="19"/>
        </w:rPr>
        <w:t>of Information &amp; Computation Technology</w:t>
      </w:r>
      <w:r>
        <w:rPr>
          <w:sz w:val="19"/>
        </w:rPr>
        <w:t>, vol. 4, no. 7, pp. 753–764, 2014.</w:t>
      </w:r>
    </w:p>
    <w:p>
      <w:pPr>
        <w:pStyle w:val="ListParagraph"/>
        <w:numPr>
          <w:ilvl w:val="0"/>
          <w:numId w:val="2"/>
        </w:numPr>
        <w:tabs>
          <w:tab w:pos="594" w:val="left" w:leader="none"/>
          <w:tab w:pos="598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E. Gegic, B. Isakovic, D. Keco, Z. Masetic, and J. Kevric, “Car price prediction using machine learning techniques,” </w:t>
      </w:r>
      <w:r>
        <w:rPr>
          <w:i/>
          <w:sz w:val="19"/>
        </w:rPr>
        <w:t>TEM Journal</w:t>
      </w:r>
      <w:r>
        <w:rPr>
          <w:sz w:val="19"/>
        </w:rPr>
        <w:t>, vol. 8, no. 1, pp. 113–118, 2019.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Z. Huang, “Extensions to the k-means algorithm for clustering large data sets with categorical values,” </w:t>
      </w:r>
      <w:r>
        <w:rPr>
          <w:i/>
          <w:sz w:val="19"/>
        </w:rPr>
        <w:t>Data </w:t>
      </w:r>
      <w:r>
        <w:rPr>
          <w:i/>
          <w:sz w:val="19"/>
        </w:rPr>
        <w:t>Mining and Knowledge Discovery</w:t>
      </w:r>
      <w:r>
        <w:rPr>
          <w:sz w:val="19"/>
        </w:rPr>
        <w:t>, vol. 2, no. 3, pp. 283–304, 1998.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  <w:tab w:pos="984" w:val="left" w:leader="none"/>
          <w:tab w:pos="1519" w:val="left" w:leader="none"/>
          <w:tab w:pos="2496" w:val="left" w:leader="none"/>
          <w:tab w:pos="3321" w:val="left" w:leader="none"/>
          <w:tab w:pos="3945" w:val="left" w:leader="none"/>
          <w:tab w:pos="4685" w:val="left" w:leader="none"/>
          <w:tab w:pos="5900" w:val="left" w:leader="none"/>
          <w:tab w:pos="6824" w:val="left" w:leader="none"/>
          <w:tab w:pos="7770" w:val="left" w:leader="none"/>
          <w:tab w:pos="8811" w:val="left" w:leader="none"/>
        </w:tabs>
        <w:spacing w:line="264" w:lineRule="auto" w:before="40" w:after="0"/>
        <w:ind w:left="598" w:right="316" w:hanging="280"/>
        <w:jc w:val="left"/>
        <w:rPr>
          <w:sz w:val="19"/>
        </w:rPr>
      </w:pPr>
      <w:r>
        <w:rPr>
          <w:spacing w:val="-6"/>
          <w:sz w:val="19"/>
        </w:rPr>
        <w:t>V.</w:t>
      </w:r>
      <w:r>
        <w:rPr>
          <w:sz w:val="19"/>
        </w:rPr>
        <w:tab/>
      </w:r>
      <w:r>
        <w:rPr>
          <w:spacing w:val="-2"/>
          <w:sz w:val="19"/>
        </w:rPr>
        <w:t>Sharma,</w:t>
      </w:r>
      <w:r>
        <w:rPr>
          <w:sz w:val="19"/>
        </w:rPr>
        <w:tab/>
      </w:r>
      <w:r>
        <w:rPr>
          <w:spacing w:val="-2"/>
          <w:sz w:val="19"/>
        </w:rPr>
        <w:t>“Used</w:t>
      </w:r>
      <w:r>
        <w:rPr>
          <w:sz w:val="19"/>
        </w:rPr>
        <w:tab/>
      </w:r>
      <w:r>
        <w:rPr>
          <w:spacing w:val="-4"/>
          <w:sz w:val="19"/>
        </w:rPr>
        <w:t>Car</w:t>
      </w:r>
      <w:r>
        <w:rPr>
          <w:sz w:val="19"/>
        </w:rPr>
        <w:tab/>
      </w:r>
      <w:r>
        <w:rPr>
          <w:spacing w:val="-2"/>
          <w:sz w:val="19"/>
        </w:rPr>
        <w:t>Price</w:t>
      </w:r>
      <w:r>
        <w:rPr>
          <w:sz w:val="19"/>
        </w:rPr>
        <w:tab/>
      </w:r>
      <w:r>
        <w:rPr>
          <w:spacing w:val="-2"/>
          <w:sz w:val="19"/>
        </w:rPr>
        <w:t>Prediction”</w:t>
      </w:r>
      <w:r>
        <w:rPr>
          <w:sz w:val="19"/>
        </w:rPr>
        <w:tab/>
      </w:r>
      <w:r>
        <w:rPr>
          <w:spacing w:val="-2"/>
          <w:sz w:val="19"/>
        </w:rPr>
        <w:t>dataset,</w:t>
      </w:r>
      <w:r>
        <w:rPr>
          <w:sz w:val="19"/>
        </w:rPr>
        <w:tab/>
      </w:r>
      <w:r>
        <w:rPr>
          <w:spacing w:val="-2"/>
          <w:sz w:val="19"/>
        </w:rPr>
        <w:t>Kaggle.</w:t>
      </w:r>
      <w:r>
        <w:rPr>
          <w:sz w:val="19"/>
        </w:rPr>
        <w:tab/>
      </w:r>
      <w:r>
        <w:rPr>
          <w:spacing w:val="-2"/>
          <w:sz w:val="19"/>
        </w:rPr>
        <w:t>[Online].</w:t>
      </w:r>
      <w:r>
        <w:rPr>
          <w:sz w:val="19"/>
        </w:rPr>
        <w:tab/>
      </w:r>
      <w:r>
        <w:rPr>
          <w:spacing w:val="-2"/>
          <w:sz w:val="19"/>
        </w:rPr>
        <w:t>Available: </w:t>
      </w:r>
      <w:hyperlink r:id="rId11">
        <w:r>
          <w:rPr>
            <w:spacing w:val="-2"/>
            <w:sz w:val="19"/>
          </w:rPr>
          <w:t>https://www.kaggle.com/datasets/vrajesh0sharma7/used-car-price-prediction</w:t>
        </w:r>
      </w:hyperlink>
    </w:p>
    <w:p>
      <w:pPr>
        <w:pStyle w:val="ListParagraph"/>
        <w:numPr>
          <w:ilvl w:val="0"/>
          <w:numId w:val="2"/>
        </w:numPr>
        <w:tabs>
          <w:tab w:pos="598" w:val="left" w:leader="none"/>
          <w:tab w:pos="689" w:val="left" w:leader="none"/>
        </w:tabs>
        <w:spacing w:line="264" w:lineRule="auto" w:before="39" w:after="0"/>
        <w:ind w:left="598" w:right="316" w:hanging="280"/>
        <w:jc w:val="left"/>
        <w:rPr>
          <w:sz w:val="19"/>
        </w:rPr>
      </w:pPr>
      <w:r>
        <w:rPr>
          <w:sz w:val="19"/>
        </w:rPr>
        <w:t>F. Pedregosa et al., “Scikit-learn: machine learning in Python,” </w:t>
      </w:r>
      <w:r>
        <w:rPr>
          <w:i/>
          <w:sz w:val="19"/>
        </w:rPr>
        <w:t>Journal of Machine Learning Research</w:t>
      </w:r>
      <w:r>
        <w:rPr>
          <w:sz w:val="19"/>
        </w:rPr>
        <w:t>, vol. 12, pp. 2825–2830, 2011.</w:t>
      </w:r>
    </w:p>
    <w:sectPr>
      <w:pgSz w:w="11910" w:h="16840"/>
      <w:pgMar w:header="0" w:footer="641" w:top="1240" w:bottom="84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3713324</wp:posOffset>
              </wp:positionH>
              <wp:positionV relativeFrom="page">
                <wp:posOffset>10145445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387787pt;margin-top:798.854004pt;width:11.5pt;height:12pt;mso-position-horizontal-relative:page;mso-position-vertical-relative:page;z-index:-1587865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98" w:hanging="2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6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8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7" w:hanging="2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2"/>
      <w:ind w:left="318" w:right="316"/>
      <w:jc w:val="both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1361" w:right="1359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6"/>
      <w:ind w:left="558" w:hanging="240"/>
      <w:jc w:val="both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598" w:right="316" w:hanging="2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www.kaggle.com/datasets/vrajesh0sharma7/used-car-price-prediction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Borislav Čelar, Dušan Damjanov</dc:creator>
  <dc:subject>(unspecified)</dc:subject>
  <dc:title>Used Car Market Segmentation via Clustering</dc:title>
  <dcterms:created xsi:type="dcterms:W3CDTF">2026-07-10T15:17:09Z</dcterms:created>
  <dcterms:modified xsi:type="dcterms:W3CDTF">2026-07-10T15:17:09Z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