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A94F79">
      <w:pPr>
        <w:spacing w:after="320" w:line="360" w:lineRule="auto"/>
        <w:jc w:val="center"/>
        <w:rPr>
          <w:rFonts w:hint="default" w:ascii="Times New Roman" w:hAnsi="Times New Roman" w:eastAsia="宋体" w:cs="Times New Roman"/>
          <w:b/>
          <w:color w:val="1F4E79"/>
          <w:sz w:val="44"/>
          <w:szCs w:val="44"/>
        </w:rPr>
      </w:pPr>
    </w:p>
    <w:p w14:paraId="5D5F01EE">
      <w:pPr>
        <w:spacing w:after="320" w:line="360" w:lineRule="auto"/>
        <w:jc w:val="center"/>
        <w:rPr>
          <w:rFonts w:hint="default" w:ascii="Times New Roman" w:hAnsi="Times New Roman" w:eastAsia="宋体" w:cs="Times New Roman"/>
          <w:b/>
          <w:color w:val="1F4E79"/>
          <w:sz w:val="44"/>
          <w:szCs w:val="44"/>
        </w:rPr>
      </w:pPr>
    </w:p>
    <w:p w14:paraId="5910C9F3">
      <w:pPr>
        <w:spacing w:after="320" w:line="360" w:lineRule="auto"/>
        <w:jc w:val="center"/>
        <w:rPr>
          <w:rFonts w:hint="default" w:ascii="Times New Roman" w:hAnsi="Times New Roman" w:eastAsia="宋体" w:cs="Times New Roman"/>
          <w:b/>
          <w:color w:val="1F4E79"/>
          <w:sz w:val="44"/>
          <w:szCs w:val="44"/>
        </w:rPr>
      </w:pPr>
      <w:r>
        <w:rPr>
          <w:rFonts w:hint="default" w:ascii="Times New Roman" w:hAnsi="Times New Roman" w:eastAsia="宋体" w:cs="Times New Roman"/>
          <w:b/>
          <w:color w:val="1F4E79"/>
          <w:sz w:val="44"/>
          <w:szCs w:val="44"/>
        </w:rPr>
        <w:t>《AI 情境听力教学系统设计与开发》VR 虚拟场景开发手册</w:t>
      </w:r>
    </w:p>
    <w:p w14:paraId="7A22F22C">
      <w:pPr>
        <w:spacing w:after="320" w:line="360" w:lineRule="auto"/>
        <w:jc w:val="center"/>
        <w:rPr>
          <w:rFonts w:hint="default" w:ascii="Times New Roman" w:hAnsi="Times New Roman" w:eastAsia="宋体" w:cs="Times New Roman"/>
          <w:b/>
          <w:color w:val="1F4E79"/>
          <w:sz w:val="44"/>
          <w:szCs w:val="44"/>
        </w:rPr>
      </w:pPr>
    </w:p>
    <w:p w14:paraId="7AF04762">
      <w:pPr>
        <w:spacing w:after="320" w:line="360" w:lineRule="auto"/>
        <w:jc w:val="center"/>
        <w:rPr>
          <w:rFonts w:hint="default" w:ascii="Times New Roman" w:hAnsi="Times New Roman" w:eastAsia="宋体" w:cs="Times New Roman"/>
          <w:b/>
          <w:color w:val="1F4E79"/>
          <w:sz w:val="44"/>
          <w:szCs w:val="44"/>
        </w:rPr>
      </w:pPr>
      <w:bookmarkStart w:id="14" w:name="_GoBack"/>
      <w:bookmarkEnd w:id="14"/>
    </w:p>
    <w:p w14:paraId="5979A1CD">
      <w:pPr>
        <w:spacing w:after="320" w:line="360" w:lineRule="auto"/>
        <w:jc w:val="center"/>
        <w:rPr>
          <w:rFonts w:hint="default" w:ascii="Times New Roman" w:hAnsi="Times New Roman" w:eastAsia="宋体" w:cs="Times New Roman"/>
          <w:b/>
          <w:color w:val="1F4E79"/>
          <w:sz w:val="44"/>
          <w:szCs w:val="44"/>
        </w:rPr>
      </w:pP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800"/>
        <w:gridCol w:w="3000"/>
        <w:gridCol w:w="1500"/>
        <w:gridCol w:w="2700"/>
      </w:tblGrid>
      <w:tr w14:paraId="283E0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800" w:type="dxa"/>
            <w:vAlign w:val="center"/>
          </w:tcPr>
          <w:p w14:paraId="45A84668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文档编号</w:t>
            </w:r>
          </w:p>
        </w:tc>
        <w:tc>
          <w:tcPr>
            <w:tcW w:w="3000" w:type="dxa"/>
            <w:vAlign w:val="center"/>
          </w:tcPr>
          <w:p w14:paraId="60B876C4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Aural-SE-VR-001</w:t>
            </w:r>
          </w:p>
        </w:tc>
        <w:tc>
          <w:tcPr>
            <w:tcW w:w="1500" w:type="dxa"/>
            <w:vAlign w:val="center"/>
          </w:tcPr>
          <w:p w14:paraId="0DCFC15B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版本</w:t>
            </w:r>
          </w:p>
        </w:tc>
        <w:tc>
          <w:tcPr>
            <w:tcW w:w="2700" w:type="dxa"/>
            <w:vAlign w:val="center"/>
          </w:tcPr>
          <w:p w14:paraId="31B7DAEB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V1.0</w:t>
            </w:r>
          </w:p>
        </w:tc>
      </w:tr>
      <w:tr w14:paraId="4A4352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800" w:type="dxa"/>
            <w:vAlign w:val="center"/>
          </w:tcPr>
          <w:p w14:paraId="35210992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文档状态</w:t>
            </w:r>
          </w:p>
        </w:tc>
        <w:tc>
          <w:tcPr>
            <w:tcW w:w="3000" w:type="dxa"/>
            <w:vAlign w:val="center"/>
          </w:tcPr>
          <w:p w14:paraId="49F6E306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正式稿</w:t>
            </w:r>
          </w:p>
        </w:tc>
        <w:tc>
          <w:tcPr>
            <w:tcW w:w="1500" w:type="dxa"/>
            <w:vAlign w:val="center"/>
          </w:tcPr>
          <w:p w14:paraId="0676705E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密级</w:t>
            </w:r>
          </w:p>
        </w:tc>
        <w:tc>
          <w:tcPr>
            <w:tcW w:w="2700" w:type="dxa"/>
            <w:vAlign w:val="center"/>
          </w:tcPr>
          <w:p w14:paraId="28340F5F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内部资料</w:t>
            </w:r>
          </w:p>
        </w:tc>
      </w:tr>
      <w:tr w14:paraId="78AE0D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800" w:type="dxa"/>
            <w:vAlign w:val="center"/>
          </w:tcPr>
          <w:p w14:paraId="4803795B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编制日期</w:t>
            </w:r>
          </w:p>
        </w:tc>
        <w:tc>
          <w:tcPr>
            <w:tcW w:w="3000" w:type="dxa"/>
            <w:vAlign w:val="center"/>
          </w:tcPr>
          <w:p w14:paraId="77FE2316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2026年04月27日</w:t>
            </w:r>
          </w:p>
        </w:tc>
        <w:tc>
          <w:tcPr>
            <w:tcW w:w="1500" w:type="dxa"/>
            <w:vAlign w:val="center"/>
          </w:tcPr>
          <w:p w14:paraId="57372E0C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适用阶段</w:t>
            </w:r>
          </w:p>
        </w:tc>
        <w:tc>
          <w:tcPr>
            <w:tcW w:w="2700" w:type="dxa"/>
            <w:vAlign w:val="center"/>
          </w:tcPr>
          <w:p w14:paraId="1EA572CA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设计与开发阶段</w:t>
            </w:r>
          </w:p>
        </w:tc>
      </w:tr>
      <w:tr w14:paraId="30AD07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800" w:type="dxa"/>
            <w:vAlign w:val="center"/>
          </w:tcPr>
          <w:p w14:paraId="4DFFFE7A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编制单位</w:t>
            </w:r>
          </w:p>
        </w:tc>
        <w:tc>
          <w:tcPr>
            <w:tcW w:w="3000" w:type="dxa"/>
            <w:vAlign w:val="center"/>
          </w:tcPr>
          <w:p w14:paraId="2119168B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项目组</w:t>
            </w:r>
          </w:p>
        </w:tc>
        <w:tc>
          <w:tcPr>
            <w:tcW w:w="1500" w:type="dxa"/>
            <w:vAlign w:val="center"/>
          </w:tcPr>
          <w:p w14:paraId="66F960F4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适用项目</w:t>
            </w:r>
          </w:p>
        </w:tc>
        <w:tc>
          <w:tcPr>
            <w:tcW w:w="2700" w:type="dxa"/>
            <w:vAlign w:val="center"/>
          </w:tcPr>
          <w:p w14:paraId="2AA704B5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AI 情境听力教学系统设计与开发</w:t>
            </w:r>
          </w:p>
        </w:tc>
      </w:tr>
    </w:tbl>
    <w:p w14:paraId="550BDD8C">
      <w:pPr>
        <w:spacing w:after="160" w:line="360" w:lineRule="auto"/>
        <w:rPr>
          <w:rFonts w:hint="default" w:ascii="Times New Roman" w:hAnsi="Times New Roman" w:cs="Times New Roman"/>
        </w:rPr>
      </w:pPr>
    </w:p>
    <w:p w14:paraId="2220AB2B">
      <w:pPr>
        <w:spacing w:after="8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sdt>
      <w:sdtPr>
        <w:rPr>
          <w:rFonts w:ascii="宋体" w:hAnsi="宋体" w:eastAsia="宋体"/>
          <w:sz w:val="21"/>
          <w:szCs w:val="22"/>
        </w:rPr>
        <w:id w:val="147472220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宋体" w:cs="Times New Roman"/>
          <w:sz w:val="21"/>
          <w:szCs w:val="22"/>
        </w:rPr>
      </w:sdtEndPr>
      <w:sdtContent>
        <w:p w14:paraId="427FBF22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b/>
              <w:bCs/>
              <w:sz w:val="21"/>
            </w:rPr>
            <w:t>目录</w:t>
          </w:r>
        </w:p>
        <w:p w14:paraId="5116FA66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TOC \o "1-2" \h \u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_Toc9141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1. 文档目的</w:t>
          </w:r>
          <w:r>
            <w:tab/>
          </w:r>
          <w:r>
            <w:fldChar w:fldCharType="begin"/>
          </w:r>
          <w:r>
            <w:instrText xml:space="preserve"> PAGEREF _Toc9141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562B444A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_Toc13691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2. 场景资源库定位</w:t>
          </w:r>
          <w:r>
            <w:tab/>
          </w:r>
          <w:r>
            <w:fldChar w:fldCharType="begin"/>
          </w:r>
          <w:r>
            <w:instrText xml:space="preserve"> PAGEREF _Toc13691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7E68785D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_Toc4486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3. VR 虚拟场景设计原则</w:t>
          </w:r>
          <w:r>
            <w:tab/>
          </w:r>
          <w:r>
            <w:fldChar w:fldCharType="begin"/>
          </w:r>
          <w:r>
            <w:instrText xml:space="preserve"> PAGEREF _Toc4486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428A61CF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_Toc24705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4. 场景分类设计</w:t>
          </w:r>
          <w:r>
            <w:tab/>
          </w:r>
          <w:r>
            <w:fldChar w:fldCharType="begin"/>
          </w:r>
          <w:r>
            <w:instrText xml:space="preserve"> PAGEREF _Toc24705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345CFF76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_Toc17581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4.1 学术讲座场景</w:t>
          </w:r>
          <w:r>
            <w:tab/>
          </w:r>
          <w:r>
            <w:fldChar w:fldCharType="begin"/>
          </w:r>
          <w:r>
            <w:instrText xml:space="preserve"> PAGEREF _Toc17581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758CCD3B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_Toc30084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4.2 商务谈判场景</w:t>
          </w:r>
          <w:r>
            <w:tab/>
          </w:r>
          <w:r>
            <w:fldChar w:fldCharType="begin"/>
          </w:r>
          <w:r>
            <w:instrText xml:space="preserve"> PAGEREF _Toc30084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2193ECD5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_Toc6365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5. VR 场景资源结构</w:t>
          </w:r>
          <w:r>
            <w:rPr>
              <w:rFonts w:hint="default" w:ascii="Times New Roman" w:hAnsi="Times New Roman" w:eastAsia="宋体" w:cs="Times New Roman"/>
              <w:lang w:val="en-US" w:eastAsia="zh-CN"/>
            </w:rPr>
            <w:t>和开发流程</w:t>
          </w:r>
          <w:r>
            <w:tab/>
          </w:r>
          <w:r>
            <w:fldChar w:fldCharType="begin"/>
          </w:r>
          <w:r>
            <w:instrText xml:space="preserve"> PAGEREF _Toc6365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3ADD62F6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_Toc25442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6.1 场景策划</w:t>
          </w:r>
          <w:r>
            <w:tab/>
          </w:r>
          <w:r>
            <w:fldChar w:fldCharType="begin"/>
          </w:r>
          <w:r>
            <w:instrText xml:space="preserve"> PAGEREF _Toc25442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41447FD0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_Toc9106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6.2 文本设计</w:t>
          </w:r>
          <w:r>
            <w:tab/>
          </w:r>
          <w:r>
            <w:fldChar w:fldCharType="begin"/>
          </w:r>
          <w:r>
            <w:instrText xml:space="preserve"> PAGEREF _Toc9106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2B5F162D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_Toc2935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6.3 音频制作</w:t>
          </w:r>
          <w:r>
            <w:tab/>
          </w:r>
          <w:r>
            <w:fldChar w:fldCharType="begin"/>
          </w:r>
          <w:r>
            <w:instrText xml:space="preserve"> PAGEREF _Toc2935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5A9042C5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_Toc857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6.4 题目设计</w:t>
          </w:r>
          <w:r>
            <w:tab/>
          </w:r>
          <w:r>
            <w:fldChar w:fldCharType="begin"/>
          </w:r>
          <w:r>
            <w:instrText xml:space="preserve"> PAGEREF _Toc857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50FD8050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_Toc21045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6.5 材料入库</w:t>
          </w:r>
          <w:r>
            <w:tab/>
          </w:r>
          <w:r>
            <w:fldChar w:fldCharType="begin"/>
          </w:r>
          <w:r>
            <w:instrText xml:space="preserve"> PAGEREF _Toc21045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0E784FE8">
          <w:pPr>
            <w:pStyle w:val="5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_Toc12939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cs="Times New Roman"/>
            </w:rPr>
            <w:t>6.6 学习与反馈</w:t>
          </w:r>
          <w:r>
            <w:tab/>
          </w:r>
          <w:r>
            <w:fldChar w:fldCharType="begin"/>
          </w:r>
          <w:r>
            <w:instrText xml:space="preserve"> PAGEREF _Toc12939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49CDE940">
          <w:pPr>
            <w:pStyle w:val="4"/>
            <w:keepNext w:val="0"/>
            <w:keepLines w:val="0"/>
            <w:pageBreakBefore w:val="0"/>
            <w:widowControl w:val="0"/>
            <w:tabs>
              <w:tab w:val="right" w:leader="dot" w:pos="938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default" w:ascii="Times New Roman" w:hAnsi="Times New Roman" w:cs="Times New Roman"/>
            </w:rPr>
            <w:fldChar w:fldCharType="begin"/>
          </w:r>
          <w:r>
            <w:rPr>
              <w:rFonts w:hint="default" w:ascii="Times New Roman" w:hAnsi="Times New Roman" w:cs="Times New Roman"/>
            </w:rPr>
            <w:instrText xml:space="preserve"> HYPERLINK \l _Toc6517 </w:instrText>
          </w:r>
          <w:r>
            <w:rPr>
              <w:rFonts w:hint="default" w:ascii="Times New Roman" w:hAnsi="Times New Roman" w:cs="Times New Roman"/>
            </w:rPr>
            <w:fldChar w:fldCharType="separate"/>
          </w:r>
          <w:r>
            <w:rPr>
              <w:rFonts w:hint="default" w:ascii="Times New Roman" w:hAnsi="Times New Roman" w:eastAsia="宋体" w:cs="Times New Roman"/>
            </w:rPr>
            <w:t>7. 与后端接口的对应关系</w:t>
          </w:r>
          <w:r>
            <w:tab/>
          </w:r>
          <w:r>
            <w:fldChar w:fldCharType="begin"/>
          </w:r>
          <w:r>
            <w:instrText xml:space="preserve"> PAGEREF _Toc6517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default" w:ascii="Times New Roman" w:hAnsi="Times New Roman" w:cs="Times New Roman"/>
            </w:rPr>
            <w:fldChar w:fldCharType="end"/>
          </w:r>
        </w:p>
        <w:p w14:paraId="6EF5B038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after="80" w:line="360" w:lineRule="auto"/>
            <w:ind w:left="420"/>
            <w:textAlignment w:val="auto"/>
            <w:rPr>
              <w:rFonts w:hint="default" w:ascii="Times New Roman" w:hAnsi="Times New Roman" w:cs="Times New Roman"/>
              <w:sz w:val="21"/>
              <w:szCs w:val="22"/>
            </w:rPr>
          </w:pPr>
          <w:r>
            <w:rPr>
              <w:rFonts w:hint="default" w:ascii="Times New Roman" w:hAnsi="Times New Roman" w:cs="Times New Roman"/>
            </w:rPr>
            <w:fldChar w:fldCharType="end"/>
          </w:r>
        </w:p>
      </w:sdtContent>
    </w:sdt>
    <w:p w14:paraId="29E9E5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FD3AF46">
      <w:pPr>
        <w:pStyle w:val="2"/>
        <w:bidi w:val="0"/>
        <w:jc w:val="center"/>
        <w:rPr>
          <w:rFonts w:hint="default" w:ascii="Times New Roman" w:hAnsi="Times New Roman" w:cs="Times New Roman"/>
        </w:rPr>
      </w:pPr>
      <w:bookmarkStart w:id="0" w:name="_Toc9141"/>
      <w:r>
        <w:rPr>
          <w:rFonts w:hint="default" w:ascii="Times New Roman" w:hAnsi="Times New Roman" w:cs="Times New Roman"/>
        </w:rPr>
        <w:t>1. 文档目的</w:t>
      </w:r>
      <w:bookmarkEnd w:id="0"/>
    </w:p>
    <w:p w14:paraId="405A0F59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本文档用于说明《AI 情境听力教学系统设计与开发》中“智能情境资源库”的场景化建设方案，以及其与 VR 虚拟场景、听力材料、音频资源、题库和学生练习流程之间的关系。</w:t>
      </w:r>
    </w:p>
    <w:p w14:paraId="6C2DE61C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智能情境资源库在系统中主要落地为听力材料库，即后端 materials、audio_assets、questions、question_options 等数据模型承载的资源集合。每一份听力材料可视为一个情境任务单元，包含场景类型、听力文本、音频、难度、题目、选项和标准答案。</w:t>
      </w:r>
    </w:p>
    <w:p w14:paraId="1322A3BA">
      <w:pPr>
        <w:spacing w:after="120" w:line="360" w:lineRule="auto"/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本项目当前未直接集成 WaveNet 语音合成服务，而是通过音频资源登记接口接入已给定或外部生成的听力音频。该设计保留了后续接入 WaveNet、神经 TTS 或其他语音生成服务的扩展空间。</w:t>
      </w:r>
    </w:p>
    <w:p w14:paraId="069F2FF6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</w:p>
    <w:p w14:paraId="311FD2C8">
      <w:pPr>
        <w:pStyle w:val="2"/>
        <w:bidi w:val="0"/>
        <w:jc w:val="center"/>
        <w:rPr>
          <w:rFonts w:hint="default" w:ascii="Times New Roman" w:hAnsi="Times New Roman" w:cs="Times New Roman"/>
        </w:rPr>
      </w:pPr>
      <w:bookmarkStart w:id="1" w:name="_Toc13691"/>
      <w:r>
        <w:rPr>
          <w:rFonts w:hint="default" w:ascii="Times New Roman" w:hAnsi="Times New Roman" w:cs="Times New Roman"/>
        </w:rPr>
        <w:t>2. 场景资源库定位</w:t>
      </w:r>
      <w:bookmarkEnd w:id="1"/>
    </w:p>
    <w:p w14:paraId="42DFCF43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智能情境资源库不是单纯的音频文件集合，而是由“场景背景 + 听力材料 + 音频资源 + 练习任务 + 难度标签 + 学习反馈”组成的教学资源库。它面向学生提供沉浸式听力练习，面向教师提供可维护、可统计、可推荐的教学材料。</w:t>
      </w:r>
    </w:p>
    <w:p w14:paraId="0D830AF4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在当前系统中，资源库对应关系如下：</w:t>
      </w:r>
    </w:p>
    <w:p w14:paraId="0467E3F1">
      <w:pPr>
        <w:spacing w:after="8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</w:rPr>
        <w:t>表 1  数据表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00"/>
        <w:gridCol w:w="3200"/>
        <w:gridCol w:w="3600"/>
      </w:tblGrid>
      <w:tr w14:paraId="150E80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blHeader/>
        </w:trPr>
        <w:tc>
          <w:tcPr>
            <w:tcW w:w="2200" w:type="dxa"/>
            <w:shd w:val="clear" w:color="auto" w:fill="D9EAF7"/>
            <w:vAlign w:val="center"/>
          </w:tcPr>
          <w:p w14:paraId="577217B4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资源库概念</w:t>
            </w:r>
          </w:p>
        </w:tc>
        <w:tc>
          <w:tcPr>
            <w:tcW w:w="3200" w:type="dxa"/>
            <w:shd w:val="clear" w:color="auto" w:fill="D9EAF7"/>
            <w:vAlign w:val="center"/>
          </w:tcPr>
          <w:p w14:paraId="1EABDFAD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当前项目落地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4BED6D35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说明</w:t>
            </w:r>
          </w:p>
        </w:tc>
      </w:tr>
      <w:tr w14:paraId="3CC7AD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3C52CC3A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情境主题</w:t>
            </w:r>
          </w:p>
        </w:tc>
        <w:tc>
          <w:tcPr>
            <w:tcW w:w="3200" w:type="dxa"/>
            <w:vAlign w:val="center"/>
          </w:tcPr>
          <w:p w14:paraId="763B3E5B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materials.title</w:t>
            </w:r>
          </w:p>
        </w:tc>
        <w:tc>
          <w:tcPr>
            <w:tcW w:w="3600" w:type="dxa"/>
            <w:vAlign w:val="center"/>
          </w:tcPr>
          <w:p w14:paraId="56400C14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如学术讲座、商务谈判、会议交流、课程讨论</w:t>
            </w:r>
          </w:p>
        </w:tc>
      </w:tr>
      <w:tr w14:paraId="6778EF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0A3E79C2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情境文本</w:t>
            </w:r>
          </w:p>
        </w:tc>
        <w:tc>
          <w:tcPr>
            <w:tcW w:w="3200" w:type="dxa"/>
            <w:vAlign w:val="center"/>
          </w:tcPr>
          <w:p w14:paraId="2780D5C2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materials.transcript</w:t>
            </w:r>
          </w:p>
        </w:tc>
        <w:tc>
          <w:tcPr>
            <w:tcW w:w="3600" w:type="dxa"/>
            <w:vAlign w:val="center"/>
          </w:tcPr>
          <w:p w14:paraId="12D3B9A5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听力原文或脚本</w:t>
            </w:r>
          </w:p>
        </w:tc>
      </w:tr>
      <w:tr w14:paraId="4AE8B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57F1DDDA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情境音频</w:t>
            </w:r>
          </w:p>
        </w:tc>
        <w:tc>
          <w:tcPr>
            <w:tcW w:w="3200" w:type="dxa"/>
            <w:vAlign w:val="center"/>
          </w:tcPr>
          <w:p w14:paraId="5A5374B1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audio_assets + materials.audioId</w:t>
            </w:r>
          </w:p>
        </w:tc>
        <w:tc>
          <w:tcPr>
            <w:tcW w:w="3600" w:type="dxa"/>
            <w:vAlign w:val="center"/>
          </w:tcPr>
          <w:p w14:paraId="72042303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已上传或外部生成的音频资源</w:t>
            </w:r>
          </w:p>
        </w:tc>
      </w:tr>
      <w:tr w14:paraId="1643EE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5D07D6A3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情境难度</w:t>
            </w:r>
          </w:p>
        </w:tc>
        <w:tc>
          <w:tcPr>
            <w:tcW w:w="3200" w:type="dxa"/>
            <w:vAlign w:val="center"/>
          </w:tcPr>
          <w:p w14:paraId="3599F9AE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materials.level、questions.difficulty</w:t>
            </w:r>
          </w:p>
        </w:tc>
        <w:tc>
          <w:tcPr>
            <w:tcW w:w="3600" w:type="dxa"/>
            <w:vAlign w:val="center"/>
          </w:tcPr>
          <w:p w14:paraId="42D95EF5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用于推荐和能力评估</w:t>
            </w:r>
          </w:p>
        </w:tc>
      </w:tr>
      <w:tr w14:paraId="7F5396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4D03213F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任务题目</w:t>
            </w:r>
          </w:p>
        </w:tc>
        <w:tc>
          <w:tcPr>
            <w:tcW w:w="3200" w:type="dxa"/>
            <w:vAlign w:val="center"/>
          </w:tcPr>
          <w:p w14:paraId="6E272B14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questions</w:t>
            </w:r>
          </w:p>
        </w:tc>
        <w:tc>
          <w:tcPr>
            <w:tcW w:w="3600" w:type="dxa"/>
            <w:vAlign w:val="center"/>
          </w:tcPr>
          <w:p w14:paraId="1BBDAFFD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听后理解题、细节题、推理题等</w:t>
            </w:r>
          </w:p>
        </w:tc>
      </w:tr>
      <w:tr w14:paraId="71D44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3E86DDE5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选项与答案</w:t>
            </w:r>
          </w:p>
        </w:tc>
        <w:tc>
          <w:tcPr>
            <w:tcW w:w="3200" w:type="dxa"/>
            <w:vAlign w:val="center"/>
          </w:tcPr>
          <w:p w14:paraId="4E70252B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question_options、questions.correctKey</w:t>
            </w:r>
          </w:p>
        </w:tc>
        <w:tc>
          <w:tcPr>
            <w:tcW w:w="3600" w:type="dxa"/>
            <w:vAlign w:val="center"/>
          </w:tcPr>
          <w:p w14:paraId="68C12EFA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选择题结构</w:t>
            </w:r>
          </w:p>
        </w:tc>
      </w:tr>
      <w:tr w14:paraId="7E89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35B3079C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学习行为</w:t>
            </w:r>
          </w:p>
        </w:tc>
        <w:tc>
          <w:tcPr>
            <w:tcW w:w="3200" w:type="dxa"/>
            <w:vAlign w:val="center"/>
          </w:tcPr>
          <w:p w14:paraId="1DE370DB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attempts、attempt_answers</w:t>
            </w:r>
          </w:p>
        </w:tc>
        <w:tc>
          <w:tcPr>
            <w:tcW w:w="3600" w:type="dxa"/>
            <w:vAlign w:val="center"/>
          </w:tcPr>
          <w:p w14:paraId="6DEFE292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学生练习记录与答题明细</w:t>
            </w:r>
          </w:p>
        </w:tc>
      </w:tr>
      <w:tr w14:paraId="0C494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1C0D1A8B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能力状态</w:t>
            </w:r>
          </w:p>
        </w:tc>
        <w:tc>
          <w:tcPr>
            <w:tcW w:w="3200" w:type="dxa"/>
            <w:vAlign w:val="center"/>
          </w:tcPr>
          <w:p w14:paraId="60AC9A94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students.theta、student_ability_state</w:t>
            </w:r>
          </w:p>
        </w:tc>
        <w:tc>
          <w:tcPr>
            <w:tcW w:w="3600" w:type="dxa"/>
            <w:vAlign w:val="center"/>
          </w:tcPr>
          <w:p w14:paraId="5A8CDF18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个性化推荐和学习画像</w:t>
            </w:r>
          </w:p>
        </w:tc>
      </w:tr>
    </w:tbl>
    <w:p w14:paraId="6743AE2A">
      <w:pPr>
        <w:spacing w:after="160" w:line="360" w:lineRule="auto"/>
        <w:rPr>
          <w:rFonts w:hint="default" w:ascii="Times New Roman" w:hAnsi="Times New Roman" w:cs="Times New Roman"/>
        </w:rPr>
      </w:pPr>
    </w:p>
    <w:p w14:paraId="67033A59">
      <w:pPr>
        <w:pStyle w:val="2"/>
        <w:bidi w:val="0"/>
        <w:jc w:val="center"/>
        <w:rPr>
          <w:rFonts w:hint="default" w:ascii="Times New Roman" w:hAnsi="Times New Roman" w:cs="Times New Roman"/>
        </w:rPr>
      </w:pPr>
      <w:bookmarkStart w:id="2" w:name="_Toc4486"/>
      <w:r>
        <w:rPr>
          <w:rFonts w:hint="default" w:ascii="Times New Roman" w:hAnsi="Times New Roman" w:cs="Times New Roman"/>
        </w:rPr>
        <w:t>3. VR 虚拟场景设计原则</w:t>
      </w:r>
      <w:bookmarkEnd w:id="2"/>
    </w:p>
    <w:p w14:paraId="32DB4E7A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本项目后端不直接渲染 VR 画面，但需要为前端、小程序或后续 VR 客户端提供清晰的场景资源组织方式。VR 场景开发应遵循以下原则：</w:t>
      </w:r>
    </w:p>
    <w:p w14:paraId="23BEFADC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教学目标优先：场景不是装饰，而是为了帮助学生理解听力语境、角色关系和交际目的。</w:t>
      </w:r>
    </w:p>
    <w:p w14:paraId="0B4705D9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轻量化接入：后端以结构化材料、音频和题目为核心，VR 前端可根据场景标签和材料内容进行渲染。</w:t>
      </w:r>
    </w:p>
    <w:p w14:paraId="0F71092E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可复用资源：同一类场景可复用背景、角色、道具和交互模板，只替换文本、音频和任务。</w:t>
      </w:r>
    </w:p>
    <w:p w14:paraId="7B13206A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难度可控：场景材料必须绑定难度等级，便于系统根据学生能力值推荐。</w:t>
      </w:r>
    </w:p>
    <w:p w14:paraId="02F05C6A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可统计闭环：学生在 VR 或普通听力界面中的练习结果都应回写到统一练习记录中。</w:t>
      </w:r>
    </w:p>
    <w:p w14:paraId="33AEF9D6">
      <w:pPr>
        <w:pStyle w:val="2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  <w:bookmarkStart w:id="3" w:name="_Toc24705"/>
      <w:r>
        <w:rPr>
          <w:rFonts w:hint="default" w:ascii="Times New Roman" w:hAnsi="Times New Roman" w:eastAsia="宋体" w:cs="Times New Roman"/>
        </w:rPr>
        <w:t>4. 场景分类设计</w:t>
      </w:r>
      <w:bookmarkEnd w:id="3"/>
    </w:p>
    <w:p w14:paraId="550CBF54">
      <w:pPr>
        <w:pStyle w:val="3"/>
        <w:bidi w:val="0"/>
        <w:rPr>
          <w:rFonts w:hint="default" w:ascii="Times New Roman" w:hAnsi="Times New Roman" w:cs="Times New Roman"/>
        </w:rPr>
      </w:pPr>
      <w:bookmarkStart w:id="4" w:name="_Toc17581"/>
      <w:r>
        <w:rPr>
          <w:rFonts w:hint="default" w:ascii="Times New Roman" w:hAnsi="Times New Roman" w:cs="Times New Roman"/>
        </w:rPr>
        <w:t>4.1 学术讲座场景</w:t>
      </w:r>
      <w:bookmarkEnd w:id="4"/>
    </w:p>
    <w:p w14:paraId="6050181F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学术讲座场景面向高校课堂、专题讲座、学术报告和课程说明等听力任务。该类场景通常语速相对稳定，信息密度较高，强调主旨理解、细节捕捉、逻辑关系和观点判断。</w:t>
      </w:r>
    </w:p>
    <w:p w14:paraId="64ED5B32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典型场景包括：</w:t>
      </w:r>
    </w:p>
    <w:p w14:paraId="4E249503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大学课堂导入讲座。</w:t>
      </w:r>
    </w:p>
    <w:p w14:paraId="0BDE8AD6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教授专题报告。</w:t>
      </w:r>
    </w:p>
    <w:p w14:paraId="4993AAD8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学术会议短报告。</w:t>
      </w:r>
    </w:p>
    <w:p w14:paraId="087BBF6C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课程安排与作业说明。</w:t>
      </w:r>
    </w:p>
    <w:p w14:paraId="7BF7A23A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实验流程或研究方法介绍。</w:t>
      </w:r>
    </w:p>
    <w:p w14:paraId="071E30BB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推荐 VR 场景元素：</w:t>
      </w:r>
    </w:p>
    <w:p w14:paraId="5483CBF7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场景背景：阶梯教室、报告厅、研讨室、实验室。</w:t>
      </w:r>
    </w:p>
    <w:p w14:paraId="53953BE5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角色对象：主讲教师、学生听众、主持人。</w:t>
      </w:r>
    </w:p>
    <w:p w14:paraId="7692D446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关键道具：投影屏幕、白板、讲台、笔记本、图表。</w:t>
      </w:r>
    </w:p>
    <w:p w14:paraId="5AFF4F0D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交互节点：开始播放、暂停回听、查看题目、提交答案、查看解析。</w:t>
      </w:r>
    </w:p>
    <w:p w14:paraId="180FC521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材料设计要点：</w:t>
      </w:r>
    </w:p>
    <w:p w14:paraId="5ADBEF7C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文本结构应具有明确开头、主体和结论。</w:t>
      </w:r>
    </w:p>
    <w:p w14:paraId="3A4D3CF1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题目覆盖主旨题、细节题、推理题和态度题。</w:t>
      </w:r>
    </w:p>
    <w:p w14:paraId="3CC3CF03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难度可通过专业词汇、句子长度、信息密度和语速进行控制。</w:t>
      </w:r>
    </w:p>
    <w:p w14:paraId="0ED0BB28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适合与 materials.level 和 questions.difficulty 建立 1 到 10 的难度映射。</w:t>
      </w:r>
    </w:p>
    <w:p w14:paraId="5A3771D9">
      <w:pPr>
        <w:pStyle w:val="3"/>
        <w:bidi w:val="0"/>
        <w:rPr>
          <w:rFonts w:hint="default" w:ascii="Times New Roman" w:hAnsi="Times New Roman" w:cs="Times New Roman"/>
        </w:rPr>
      </w:pPr>
      <w:bookmarkStart w:id="5" w:name="_Toc30084"/>
      <w:r>
        <w:rPr>
          <w:rFonts w:hint="default" w:ascii="Times New Roman" w:hAnsi="Times New Roman" w:cs="Times New Roman"/>
        </w:rPr>
        <w:t>4.2 商务谈判场景</w:t>
      </w:r>
      <w:bookmarkEnd w:id="5"/>
    </w:p>
    <w:p w14:paraId="4A02DB3A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商务谈判场景面向商务会议、客户沟通、价格协商、项目推进和跨文化交流等听力任务。该类场景更强调角色关系、意图识别、礼貌表达、让步策略和关键信息提取。</w:t>
      </w:r>
    </w:p>
    <w:p w14:paraId="77BD53E6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典型场景包括：</w:t>
      </w:r>
    </w:p>
    <w:p w14:paraId="0CA9C379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客户需求沟通。</w:t>
      </w:r>
    </w:p>
    <w:p w14:paraId="6B325786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产品报价谈判。</w:t>
      </w:r>
    </w:p>
    <w:p w14:paraId="7A39A4D6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合同条款讨论。</w:t>
      </w:r>
    </w:p>
    <w:p w14:paraId="29D78548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项目进度会议。</w:t>
      </w:r>
    </w:p>
    <w:p w14:paraId="0B4E8B76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售后问题协商。</w:t>
      </w:r>
    </w:p>
    <w:p w14:paraId="2BADF53C">
      <w:pPr>
        <w:spacing w:after="120" w:line="360" w:lineRule="auto"/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推荐 VR 场景元素：</w:t>
      </w:r>
    </w:p>
    <w:p w14:paraId="26EA7FD0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场景背景：会议室、办公室、展会洽谈区、线上会议界面。</w:t>
      </w:r>
    </w:p>
    <w:p w14:paraId="72501C72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角色对象：销售经理、客户代表、项目负责人、翻译或助理。</w:t>
      </w:r>
    </w:p>
    <w:p w14:paraId="567D1232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关键道具：合同、报价单、产品样机、会议屏幕。</w:t>
      </w:r>
    </w:p>
    <w:p w14:paraId="118E7F5B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交互节点：选择谈判意图、识别关键信息、判断说话人态度、完成听后任务。</w:t>
      </w:r>
    </w:p>
    <w:p w14:paraId="77DD280E">
      <w:pPr>
        <w:spacing w:after="120" w:line="360" w:lineRule="auto"/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材料设计要点：</w:t>
      </w:r>
    </w:p>
    <w:p w14:paraId="408F9034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对话应体现多轮交流和信息推进。</w:t>
      </w:r>
    </w:p>
    <w:p w14:paraId="1EB32F0A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题目应关注价格、时间、条件、让步、异议和最终结论。</w:t>
      </w:r>
    </w:p>
    <w:p w14:paraId="55E81776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可通过口音、语速、隐含表达、商务术语提升难度。</w:t>
      </w:r>
    </w:p>
    <w:p w14:paraId="0DD0C774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可结合错题复练功能帮助学生反复理解语用意图。</w:t>
      </w:r>
    </w:p>
    <w:p w14:paraId="5C3DDECB">
      <w:pPr>
        <w:pStyle w:val="2"/>
        <w:bidi w:val="0"/>
        <w:jc w:val="center"/>
        <w:rPr>
          <w:rFonts w:hint="default" w:ascii="Times New Roman" w:hAnsi="Times New Roman" w:eastAsia="宋体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br w:type="page"/>
      </w:r>
      <w:bookmarkStart w:id="6" w:name="_Toc6365"/>
      <w:r>
        <w:rPr>
          <w:rFonts w:hint="default" w:ascii="Times New Roman" w:hAnsi="Times New Roman" w:eastAsia="宋体" w:cs="Times New Roman"/>
        </w:rPr>
        <w:t>5. VR 场景资源结构</w:t>
      </w:r>
      <w:r>
        <w:rPr>
          <w:rFonts w:hint="default" w:ascii="Times New Roman" w:hAnsi="Times New Roman" w:eastAsia="宋体" w:cs="Times New Roman"/>
          <w:lang w:val="en-US" w:eastAsia="zh-CN"/>
        </w:rPr>
        <w:t>和开发流程</w:t>
      </w:r>
      <w:bookmarkEnd w:id="6"/>
    </w:p>
    <w:p w14:paraId="0344D940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建议每个 VR 场景以一个材料为最小教学单元，前端或 VR 客户端可在现有材料结构外扩展场景配置。</w:t>
      </w:r>
    </w:p>
    <w:p w14:paraId="5B91B19C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当前后端已有材料、音频、题目和练习记录能力；如需支持上述 VR 元数据，可后续新增 scene_type、scene_code、scene_config、learning_goals 等字段，或建立独立的 scene_resources 表与 materials 表关联。</w:t>
      </w:r>
    </w:p>
    <w:p w14:paraId="584E5573">
      <w:pPr>
        <w:pStyle w:val="3"/>
        <w:bidi w:val="0"/>
        <w:rPr>
          <w:rFonts w:hint="default" w:ascii="Times New Roman" w:hAnsi="Times New Roman" w:cs="Times New Roman"/>
        </w:rPr>
      </w:pPr>
      <w:bookmarkStart w:id="7" w:name="_Toc25442"/>
      <w:r>
        <w:rPr>
          <w:rFonts w:hint="default" w:ascii="Times New Roman" w:hAnsi="Times New Roman" w:cs="Times New Roman"/>
        </w:rPr>
        <w:t>6.1 场景策划</w:t>
      </w:r>
      <w:bookmarkEnd w:id="7"/>
    </w:p>
    <w:p w14:paraId="4CEBCACB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教师或内容设计人员先确定场景类型、教学目标、难度等级和学生能力层级。例如，面向中高阶学生设计“商务报价谈判”，目标是训练学生识别报价、交付时间和让步条件。</w:t>
      </w:r>
    </w:p>
    <w:p w14:paraId="53C42B70">
      <w:pPr>
        <w:pStyle w:val="3"/>
        <w:bidi w:val="0"/>
        <w:rPr>
          <w:rFonts w:hint="default" w:ascii="Times New Roman" w:hAnsi="Times New Roman" w:cs="Times New Roman"/>
        </w:rPr>
      </w:pPr>
      <w:bookmarkStart w:id="8" w:name="_Toc9106"/>
      <w:r>
        <w:rPr>
          <w:rFonts w:hint="default" w:ascii="Times New Roman" w:hAnsi="Times New Roman" w:cs="Times New Roman"/>
        </w:rPr>
        <w:t>6.2 文本设计</w:t>
      </w:r>
      <w:bookmarkEnd w:id="8"/>
    </w:p>
    <w:p w14:paraId="68613D19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文本可由教师人工编写，也可由 Seq2Seq 或大语言模型辅助生成。生成后必须经过人工审核，确保语言自然、难度适中、信息点清晰，并符合课程目标。</w:t>
      </w:r>
    </w:p>
    <w:p w14:paraId="619D0291">
      <w:pPr>
        <w:pStyle w:val="3"/>
        <w:bidi w:val="0"/>
        <w:rPr>
          <w:rFonts w:hint="default" w:ascii="Times New Roman" w:hAnsi="Times New Roman" w:cs="Times New Roman"/>
        </w:rPr>
      </w:pPr>
      <w:bookmarkStart w:id="9" w:name="_Toc2935"/>
      <w:r>
        <w:rPr>
          <w:rFonts w:hint="default" w:ascii="Times New Roman" w:hAnsi="Times New Roman" w:cs="Times New Roman"/>
        </w:rPr>
        <w:t>6.3 音频制作</w:t>
      </w:r>
      <w:bookmarkEnd w:id="9"/>
    </w:p>
    <w:p w14:paraId="464D3E8D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本项目当前采用直接给定音频的方式，即由教师或资源制作人员上传已有音频，后端通过 /api/audio/register 登记音频元数据，再通过 /api/audio/bindMaterial 绑定到材料。</w:t>
      </w:r>
    </w:p>
    <w:p w14:paraId="2B04DE5C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该方式与 WaveNet 的关系可以理解为：</w:t>
      </w:r>
    </w:p>
    <w:p w14:paraId="6B8AE8F6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WaveNet 是可选的音频生产技术。</w:t>
      </w:r>
    </w:p>
    <w:p w14:paraId="55FBFA8F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本系统的 audio_assets 是音频接入层。</w:t>
      </w:r>
    </w:p>
    <w:p w14:paraId="3B40EA58">
      <w:pPr>
        <w:numPr>
          <w:ilvl w:val="0"/>
          <w:numId w:val="1"/>
        </w:numPr>
        <w:spacing w:after="120" w:line="360" w:lineRule="auto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 xml:space="preserve"> 无论音频来自真人录制、WaveNet 合成、第三方 TTS，还是教师上传，都可以通过统一音频登记流程进入系统。</w:t>
      </w:r>
    </w:p>
    <w:p w14:paraId="26BF6346">
      <w:pPr>
        <w:pStyle w:val="3"/>
        <w:bidi w:val="0"/>
        <w:rPr>
          <w:rFonts w:hint="default" w:ascii="Times New Roman" w:hAnsi="Times New Roman" w:cs="Times New Roman"/>
        </w:rPr>
      </w:pPr>
      <w:bookmarkStart w:id="10" w:name="_Toc857"/>
      <w:r>
        <w:rPr>
          <w:rFonts w:hint="default" w:ascii="Times New Roman" w:hAnsi="Times New Roman" w:cs="Times New Roman"/>
        </w:rPr>
        <w:t>6.4 题目设计</w:t>
      </w:r>
      <w:bookmarkEnd w:id="10"/>
    </w:p>
    <w:p w14:paraId="5D7E32AC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每个材料需设计若干题目，题型以选择题为主，题目难度应与材料难度协调。题目数据最终写入 questions 和 question_options，并通过 correctKey 标记标准答案。</w:t>
      </w:r>
    </w:p>
    <w:p w14:paraId="7F6AC3FB">
      <w:pPr>
        <w:pStyle w:val="3"/>
        <w:bidi w:val="0"/>
        <w:rPr>
          <w:rFonts w:hint="default" w:ascii="Times New Roman" w:hAnsi="Times New Roman" w:cs="Times New Roman"/>
        </w:rPr>
      </w:pPr>
      <w:bookmarkStart w:id="11" w:name="_Toc21045"/>
      <w:r>
        <w:rPr>
          <w:rFonts w:hint="default" w:ascii="Times New Roman" w:hAnsi="Times New Roman" w:cs="Times New Roman"/>
        </w:rPr>
        <w:t>6.5 材料入库</w:t>
      </w:r>
      <w:bookmarkEnd w:id="11"/>
    </w:p>
    <w:p w14:paraId="17FD97FA">
      <w:pPr>
        <w:spacing w:after="120" w:line="360" w:lineRule="auto"/>
        <w:ind w:firstLine="420" w:firstLineChars="20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t>通过 POST /api/material/upload 创建材料及题目，通过 POST /api/audio/register 和 POST /api/audio/bindMaterial 接入音频资源。材料启用后，学生端即可通过获取练习、推荐练习或指定材料练习接口访问。</w:t>
      </w:r>
    </w:p>
    <w:p w14:paraId="3FEB966D">
      <w:pPr>
        <w:pStyle w:val="3"/>
        <w:bidi w:val="0"/>
        <w:rPr>
          <w:rFonts w:hint="default" w:ascii="Times New Roman" w:hAnsi="Times New Roman" w:cs="Times New Roman"/>
        </w:rPr>
      </w:pPr>
      <w:bookmarkStart w:id="12" w:name="_Toc12939"/>
      <w:r>
        <w:rPr>
          <w:rFonts w:hint="default" w:ascii="Times New Roman" w:hAnsi="Times New Roman" w:cs="Times New Roman"/>
        </w:rPr>
        <w:t>6.6 学习与反馈</w:t>
      </w:r>
      <w:bookmarkEnd w:id="12"/>
    </w:p>
    <w:p w14:paraId="16FC7604">
      <w:pPr>
        <w:spacing w:after="120" w:line="360" w:lineRule="auto"/>
        <w:ind w:firstLine="420" w:firstLineChars="200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</w:rPr>
        <w:t>学生完成听力练习后，系统通过 /practice/submit 记录练习行为，并调用能力评估模块更新能力值。教师可在管理端通过统计接口查看学习表现。</w:t>
      </w:r>
    </w:p>
    <w:p w14:paraId="231E9A2F">
      <w:pPr>
        <w:pStyle w:val="2"/>
        <w:bidi w:val="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</w:rPr>
        <w:br w:type="page"/>
      </w:r>
      <w:bookmarkStart w:id="13" w:name="_Toc6517"/>
      <w:r>
        <w:rPr>
          <w:rFonts w:hint="default" w:ascii="Times New Roman" w:hAnsi="Times New Roman" w:eastAsia="宋体" w:cs="Times New Roman"/>
        </w:rPr>
        <w:t>7. 与后端接口的对应关系</w:t>
      </w:r>
      <w:bookmarkEnd w:id="13"/>
    </w:p>
    <w:p w14:paraId="0EBFB91A">
      <w:pPr>
        <w:spacing w:after="80" w:line="360" w:lineRule="auto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宋体" w:cs="Times New Roman"/>
          <w:b/>
          <w:color w:val="1F4E79"/>
        </w:rPr>
        <w:t xml:space="preserve">表 </w:t>
      </w:r>
      <w:r>
        <w:rPr>
          <w:rFonts w:hint="default" w:ascii="Times New Roman" w:hAnsi="Times New Roman" w:eastAsia="宋体" w:cs="Times New Roman"/>
          <w:b/>
          <w:color w:val="1F4E79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/>
          <w:color w:val="1F4E79"/>
        </w:rPr>
        <w:t xml:space="preserve">  </w:t>
      </w:r>
      <w:r>
        <w:rPr>
          <w:rFonts w:hint="default" w:ascii="Times New Roman" w:hAnsi="Times New Roman" w:eastAsia="宋体" w:cs="Times New Roman"/>
          <w:b/>
          <w:color w:val="1F4E79"/>
          <w:lang w:val="en-US" w:eastAsia="zh-CN"/>
        </w:rPr>
        <w:t>接口对应关系</w:t>
      </w:r>
      <w:r>
        <w:rPr>
          <w:rFonts w:hint="default" w:ascii="Times New Roman" w:hAnsi="Times New Roman" w:eastAsia="宋体" w:cs="Times New Roman"/>
          <w:b/>
          <w:color w:val="1F4E79"/>
        </w:rPr>
        <w:t>表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200"/>
        <w:gridCol w:w="3200"/>
        <w:gridCol w:w="3600"/>
      </w:tblGrid>
      <w:tr w14:paraId="54D7F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blHeader/>
        </w:trPr>
        <w:tc>
          <w:tcPr>
            <w:tcW w:w="2200" w:type="dxa"/>
            <w:shd w:val="clear" w:color="auto" w:fill="D9EAF7"/>
            <w:vAlign w:val="center"/>
          </w:tcPr>
          <w:p w14:paraId="619515E0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开发步骤</w:t>
            </w:r>
          </w:p>
        </w:tc>
        <w:tc>
          <w:tcPr>
            <w:tcW w:w="3200" w:type="dxa"/>
            <w:shd w:val="clear" w:color="auto" w:fill="D9EAF7"/>
            <w:vAlign w:val="center"/>
          </w:tcPr>
          <w:p w14:paraId="63A260D5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后端接口</w:t>
            </w:r>
          </w:p>
        </w:tc>
        <w:tc>
          <w:tcPr>
            <w:tcW w:w="3600" w:type="dxa"/>
            <w:shd w:val="clear" w:color="auto" w:fill="D9EAF7"/>
            <w:vAlign w:val="center"/>
          </w:tcPr>
          <w:p w14:paraId="68DC78F7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  <w:b/>
              </w:rPr>
              <w:t>说明</w:t>
            </w:r>
          </w:p>
        </w:tc>
      </w:tr>
      <w:tr w14:paraId="2E2EE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637986CD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登记音频</w:t>
            </w:r>
          </w:p>
        </w:tc>
        <w:tc>
          <w:tcPr>
            <w:tcW w:w="3200" w:type="dxa"/>
            <w:vAlign w:val="center"/>
          </w:tcPr>
          <w:p w14:paraId="571E8EA2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POST /api/audio/register</w:t>
            </w:r>
          </w:p>
        </w:tc>
        <w:tc>
          <w:tcPr>
            <w:tcW w:w="3600" w:type="dxa"/>
            <w:vAlign w:val="center"/>
          </w:tcPr>
          <w:p w14:paraId="51029315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保存音频路径、类型、大小、时长等元数据</w:t>
            </w:r>
          </w:p>
        </w:tc>
      </w:tr>
      <w:tr w14:paraId="6D840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37F79402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创建材料</w:t>
            </w:r>
          </w:p>
        </w:tc>
        <w:tc>
          <w:tcPr>
            <w:tcW w:w="3200" w:type="dxa"/>
            <w:vAlign w:val="center"/>
          </w:tcPr>
          <w:p w14:paraId="549A89CE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POST /api/material/upload</w:t>
            </w:r>
          </w:p>
        </w:tc>
        <w:tc>
          <w:tcPr>
            <w:tcW w:w="3600" w:type="dxa"/>
            <w:vAlign w:val="center"/>
          </w:tcPr>
          <w:p w14:paraId="6861EB36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写入材料、题目和选项</w:t>
            </w:r>
          </w:p>
        </w:tc>
      </w:tr>
      <w:tr w14:paraId="14634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79890894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绑定音频</w:t>
            </w:r>
          </w:p>
        </w:tc>
        <w:tc>
          <w:tcPr>
            <w:tcW w:w="3200" w:type="dxa"/>
            <w:vAlign w:val="center"/>
          </w:tcPr>
          <w:p w14:paraId="0AE902DA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POST /api/audio/bindMaterial</w:t>
            </w:r>
          </w:p>
        </w:tc>
        <w:tc>
          <w:tcPr>
            <w:tcW w:w="3600" w:type="dxa"/>
            <w:vAlign w:val="center"/>
          </w:tcPr>
          <w:p w14:paraId="09019380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将音频资源绑定到材料</w:t>
            </w:r>
          </w:p>
        </w:tc>
      </w:tr>
      <w:tr w14:paraId="0997B0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7D8565CF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启用材料</w:t>
            </w:r>
          </w:p>
        </w:tc>
        <w:tc>
          <w:tcPr>
            <w:tcW w:w="3200" w:type="dxa"/>
            <w:vAlign w:val="center"/>
          </w:tcPr>
          <w:p w14:paraId="07142C1A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PUT /api/material/activate/{id}</w:t>
            </w:r>
          </w:p>
        </w:tc>
        <w:tc>
          <w:tcPr>
            <w:tcW w:w="3600" w:type="dxa"/>
            <w:vAlign w:val="center"/>
          </w:tcPr>
          <w:p w14:paraId="610D9635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将材料设为可练习</w:t>
            </w:r>
          </w:p>
        </w:tc>
      </w:tr>
      <w:tr w14:paraId="2ED9C3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44185739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获取练习</w:t>
            </w:r>
          </w:p>
        </w:tc>
        <w:tc>
          <w:tcPr>
            <w:tcW w:w="3200" w:type="dxa"/>
            <w:vAlign w:val="center"/>
          </w:tcPr>
          <w:p w14:paraId="3048E1C9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GET /api/material/get-practice</w:t>
            </w:r>
          </w:p>
        </w:tc>
        <w:tc>
          <w:tcPr>
            <w:tcW w:w="3600" w:type="dxa"/>
            <w:vAlign w:val="center"/>
          </w:tcPr>
          <w:p w14:paraId="3EB308C6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学生获取练习材料</w:t>
            </w:r>
          </w:p>
        </w:tc>
      </w:tr>
      <w:tr w14:paraId="74DD36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27666659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获取推荐</w:t>
            </w:r>
          </w:p>
        </w:tc>
        <w:tc>
          <w:tcPr>
            <w:tcW w:w="3200" w:type="dxa"/>
            <w:vAlign w:val="center"/>
          </w:tcPr>
          <w:p w14:paraId="48F7F946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GET /practice/get-recommend</w:t>
            </w:r>
          </w:p>
        </w:tc>
        <w:tc>
          <w:tcPr>
            <w:tcW w:w="3600" w:type="dxa"/>
            <w:vAlign w:val="center"/>
          </w:tcPr>
          <w:p w14:paraId="207D5100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根据能力值推荐材料</w:t>
            </w:r>
          </w:p>
        </w:tc>
      </w:tr>
      <w:tr w14:paraId="4A859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381C40DB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提交答案</w:t>
            </w:r>
          </w:p>
        </w:tc>
        <w:tc>
          <w:tcPr>
            <w:tcW w:w="3200" w:type="dxa"/>
            <w:vAlign w:val="center"/>
          </w:tcPr>
          <w:p w14:paraId="4823B970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POST /practice/submit</w:t>
            </w:r>
          </w:p>
        </w:tc>
        <w:tc>
          <w:tcPr>
            <w:tcW w:w="3600" w:type="dxa"/>
            <w:vAlign w:val="center"/>
          </w:tcPr>
          <w:p w14:paraId="5BE1209C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记录练习并更新能力</w:t>
            </w:r>
          </w:p>
        </w:tc>
      </w:tr>
      <w:tr w14:paraId="37818D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00" w:type="dxa"/>
            <w:vAlign w:val="center"/>
          </w:tcPr>
          <w:p w14:paraId="7D1EE3F3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查看统计</w:t>
            </w:r>
          </w:p>
        </w:tc>
        <w:tc>
          <w:tcPr>
            <w:tcW w:w="3200" w:type="dxa"/>
            <w:vAlign w:val="center"/>
          </w:tcPr>
          <w:p w14:paraId="58C8AA30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GET /api/admin/leaderboard 等</w:t>
            </w:r>
          </w:p>
        </w:tc>
        <w:tc>
          <w:tcPr>
            <w:tcW w:w="3600" w:type="dxa"/>
            <w:vAlign w:val="center"/>
          </w:tcPr>
          <w:p w14:paraId="22CE18FD">
            <w:pPr>
              <w:spacing w:after="4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宋体" w:cs="Times New Roman"/>
              </w:rPr>
              <w:t>教师查看练习效果</w:t>
            </w:r>
          </w:p>
        </w:tc>
      </w:tr>
    </w:tbl>
    <w:p w14:paraId="2DCC990C">
      <w:pPr>
        <w:spacing w:after="160" w:line="360" w:lineRule="auto"/>
        <w:rPr>
          <w:rFonts w:hint="default" w:ascii="Times New Roman" w:hAnsi="Times New Roman" w:cs="Times New Roman"/>
        </w:rPr>
      </w:pPr>
    </w:p>
    <w:sectPr>
      <w:pgSz w:w="11906" w:h="16838"/>
      <w:pgMar w:top="1440" w:right="1260" w:bottom="1440" w:left="126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9F58DA"/>
    <w:multiLevelType w:val="singleLevel"/>
    <w:tmpl w:val="A49F58DA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04165679"/>
    <w:rsid w:val="0A0A27F5"/>
    <w:rsid w:val="18CA02C0"/>
    <w:rsid w:val="197A2E23"/>
    <w:rsid w:val="29037B8D"/>
    <w:rsid w:val="4C25234A"/>
    <w:rsid w:val="543959C7"/>
    <w:rsid w:val="67EF02AB"/>
    <w:rsid w:val="78E76576"/>
    <w:rsid w:val="7CEB66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toc 1"/>
    <w:basedOn w:val="1"/>
    <w:next w:val="1"/>
    <w:uiPriority w:val="0"/>
  </w:style>
  <w:style w:type="paragraph" w:styleId="5">
    <w:name w:val="toc 2"/>
    <w:basedOn w:val="1"/>
    <w:next w:val="1"/>
    <w:uiPriority w:val="0"/>
    <w:pPr>
      <w:ind w:left="420" w:left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2430</Words>
  <Characters>3239</Characters>
  <TotalTime>0</TotalTime>
  <ScaleCrop>false</ScaleCrop>
  <LinksUpToDate>false</LinksUpToDate>
  <CharactersWithSpaces>3415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2026-04-27T08:29:00Z</dcterms:created>
  <dc:creator>项目组</dc:creator>
  <cp:lastModifiedBy>孟云蔚</cp:lastModifiedBy>
  <dcterms:modified xsi:type="dcterms:W3CDTF">2026-04-28T09:50:16Z</dcterms:modified>
  <dc:title>《AI 情境听力教学系统设计与开发》VR 虚拟场景开发手册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eyJoZGlkIjoiNzIxOTM4NGIxOWE1NDgwMDU5NTFiMWZiNThjZDI5ZTQiLCJ1c2VySWQiOiIxNzE0MzgyOTU0In0=</vt:lpwstr>
  </property>
  <property fmtid="{D5CDD505-2E9C-101B-9397-08002B2CF9AE}" pid="3" name="KSOProductBuildVer">
    <vt:lpwstr>2052-12.1.0.24034</vt:lpwstr>
  </property>
  <property fmtid="{D5CDD505-2E9C-101B-9397-08002B2CF9AE}" pid="4" name="ICV">
    <vt:lpwstr>052CC753D1104617823B4F6A0AAAA76C_12</vt:lpwstr>
  </property>
</Properties>
</file>