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Arial" w:hAnsi="Arial"/>
          <w:b/>
          <w:color w:val="787882"/>
          <w:sz w:val="22"/>
        </w:rPr>
        <w:t>ХАКАТОН «ЛИДЕРЫ ЦИФРОВОЙ ТРАНСФОРМАЦИИ» 2026</w:t>
        <w:br/>
        <w:t>КЕЙС №8: ДЕПАРТАМЕНТ ЖКХ ГОРОДА МОСКВЫ / АО «МОСКОЛЛЕКТОР»</w:t>
      </w:r>
    </w:p>
    <w:p>
      <w:pPr>
        <w:spacing w:before="480" w:after="240"/>
        <w:jc w:val="center"/>
      </w:pPr>
      <w:r>
        <w:rPr>
          <w:rFonts w:ascii="Arial" w:hAnsi="Arial"/>
          <w:b/>
          <w:color w:val="1C1D22"/>
          <w:sz w:val="44"/>
        </w:rPr>
        <w:t>ПОЯСНИТЕЛЬНАЯ ЗАПИСКА К РЕШЕНИЮ</w:t>
        <w:br/>
        <w:t>«МОСКОЛЛЕКТОР.НЕЙРОКОНТУР»</w:t>
      </w:r>
    </w:p>
    <w:p>
      <w:pPr>
        <w:spacing w:after="560"/>
        <w:jc w:val="center"/>
      </w:pPr>
      <w:r>
        <w:rPr>
          <w:rFonts w:ascii="Arial" w:hAnsi="Arial"/>
          <w:i/>
          <w:color w:val="50505A"/>
          <w:sz w:val="22"/>
        </w:rPr>
        <w:t>Интеллектуальный программный комплекс предиктивного мониторинга деградации датчиков СМВУ, фильтрации ложных тревог и автоматизации наряд-заказов на ТО/ППР подземных коллекторов Москвы</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4658"/>
        <w:gridCol w:w="4658"/>
      </w:tblGrid>
      <w:tr>
        <w:tc>
          <w:tcPr>
            <w:tcW w:type="dxa" w:w="3168"/>
            <w:shd w:fill="F8F9FA"/>
            <w:tcMar>
              <w:top w:w="80" w:type="dxa"/>
              <w:bottom w:w="80" w:type="dxa"/>
              <w:left w:w="100" w:type="dxa"/>
              <w:right w:w="100" w:type="dxa"/>
            </w:tcMar>
          </w:tcPr>
          <w:p>
            <w:pPr>
              <w:spacing w:after="0"/>
            </w:pPr>
            <w:r>
              <w:rPr>
                <w:rFonts w:ascii="Arial" w:hAnsi="Arial"/>
                <w:b/>
                <w:sz w:val="18"/>
              </w:rPr>
              <w:t>Заказчик решения</w:t>
            </w:r>
          </w:p>
        </w:tc>
        <w:tc>
          <w:tcPr>
            <w:tcW w:type="dxa" w:w="6192"/>
            <w:tcMar>
              <w:top w:w="80" w:type="dxa"/>
              <w:bottom w:w="80" w:type="dxa"/>
              <w:left w:w="100" w:type="dxa"/>
              <w:right w:w="100" w:type="dxa"/>
            </w:tcMar>
          </w:tcPr>
          <w:p>
            <w:pPr>
              <w:spacing w:after="0"/>
            </w:pPr>
            <w:r>
              <w:rPr>
                <w:rFonts w:ascii="Arial" w:hAnsi="Arial"/>
                <w:sz w:val="18"/>
              </w:rPr>
              <w:t>АО «Москоллектор», Департамент жилищно-коммунального хозяйства города Москвы</w:t>
            </w:r>
          </w:p>
        </w:tc>
      </w:tr>
      <w:tr>
        <w:tc>
          <w:tcPr>
            <w:tcW w:type="dxa" w:w="3168"/>
            <w:shd w:fill="F8F9FA"/>
            <w:tcMar>
              <w:top w:w="80" w:type="dxa"/>
              <w:bottom w:w="80" w:type="dxa"/>
              <w:left w:w="100" w:type="dxa"/>
              <w:right w:w="100" w:type="dxa"/>
            </w:tcMar>
          </w:tcPr>
          <w:p>
            <w:pPr>
              <w:spacing w:after="0"/>
            </w:pPr>
            <w:r>
              <w:rPr>
                <w:rFonts w:ascii="Arial" w:hAnsi="Arial"/>
                <w:b/>
                <w:sz w:val="18"/>
              </w:rPr>
              <w:t>Команда разработки</w:t>
            </w:r>
          </w:p>
        </w:tc>
        <w:tc>
          <w:tcPr>
            <w:tcW w:type="dxa" w:w="6192"/>
            <w:tcMar>
              <w:top w:w="80" w:type="dxa"/>
              <w:bottom w:w="80" w:type="dxa"/>
              <w:left w:w="100" w:type="dxa"/>
              <w:right w:w="100" w:type="dxa"/>
            </w:tcMar>
          </w:tcPr>
          <w:p>
            <w:pPr>
              <w:spacing w:after="0"/>
            </w:pPr>
            <w:r>
              <w:rPr>
                <w:rFonts w:ascii="Arial" w:hAnsi="Arial"/>
                <w:sz w:val="18"/>
              </w:rPr>
              <w:t>Vector (Капитан, ML/Backend Lead, Data Engineer, GIS Architect, DevOps)</w:t>
            </w:r>
          </w:p>
        </w:tc>
      </w:tr>
      <w:tr>
        <w:tc>
          <w:tcPr>
            <w:tcW w:type="dxa" w:w="3168"/>
            <w:shd w:fill="F8F9FA"/>
            <w:tcMar>
              <w:top w:w="80" w:type="dxa"/>
              <w:bottom w:w="80" w:type="dxa"/>
              <w:left w:w="100" w:type="dxa"/>
              <w:right w:w="100" w:type="dxa"/>
            </w:tcMar>
          </w:tcPr>
          <w:p>
            <w:pPr>
              <w:spacing w:after="0"/>
            </w:pPr>
            <w:r>
              <w:rPr>
                <w:rFonts w:ascii="Arial" w:hAnsi="Arial"/>
                <w:b/>
                <w:sz w:val="18"/>
              </w:rPr>
              <w:t>Объект автоматизации</w:t>
            </w:r>
          </w:p>
        </w:tc>
        <w:tc>
          <w:tcPr>
            <w:tcW w:type="dxa" w:w="6192"/>
            <w:tcMar>
              <w:top w:w="80" w:type="dxa"/>
              <w:bottom w:w="80" w:type="dxa"/>
              <w:left w:w="100" w:type="dxa"/>
              <w:right w:w="100" w:type="dxa"/>
            </w:tcMar>
          </w:tcPr>
          <w:p>
            <w:pPr>
              <w:spacing w:after="0"/>
            </w:pPr>
            <w:r>
              <w:rPr>
                <w:rFonts w:ascii="Arial" w:hAnsi="Arial"/>
                <w:sz w:val="18"/>
              </w:rPr>
              <w:t>Комплекс коммуникационных коллекторов г. Москвы (825 км, 11 500+ датчиков СМВУ)</w:t>
            </w:r>
          </w:p>
        </w:tc>
      </w:tr>
      <w:tr>
        <w:tc>
          <w:tcPr>
            <w:tcW w:type="dxa" w:w="3168"/>
            <w:shd w:fill="F8F9FA"/>
            <w:tcMar>
              <w:top w:w="80" w:type="dxa"/>
              <w:bottom w:w="80" w:type="dxa"/>
              <w:left w:w="100" w:type="dxa"/>
              <w:right w:w="100" w:type="dxa"/>
            </w:tcMar>
          </w:tcPr>
          <w:p>
            <w:pPr>
              <w:spacing w:after="0"/>
            </w:pPr>
            <w:r>
              <w:rPr>
                <w:rFonts w:ascii="Arial" w:hAnsi="Arial"/>
                <w:b/>
                <w:sz w:val="18"/>
              </w:rPr>
              <w:t>Нормативная база</w:t>
            </w:r>
          </w:p>
        </w:tc>
        <w:tc>
          <w:tcPr>
            <w:tcW w:type="dxa" w:w="6192"/>
            <w:tcMar>
              <w:top w:w="80" w:type="dxa"/>
              <w:bottom w:w="80" w:type="dxa"/>
              <w:left w:w="100" w:type="dxa"/>
              <w:right w:w="100" w:type="dxa"/>
            </w:tcMar>
          </w:tcPr>
          <w:p>
            <w:pPr>
              <w:spacing w:after="0"/>
            </w:pPr>
            <w:r>
              <w:rPr>
                <w:rFonts w:ascii="Arial" w:hAnsi="Arial"/>
                <w:sz w:val="18"/>
              </w:rPr>
              <w:t>Р ТЭК, ГОСТ Р 53195 (Human-in-the-Loop), 149-ФЗ (КИИ, Read-only), 152-ФЗ (ПДн)</w:t>
            </w:r>
          </w:p>
        </w:tc>
      </w:tr>
      <w:tr>
        <w:tc>
          <w:tcPr>
            <w:tcW w:type="dxa" w:w="3168"/>
            <w:shd w:fill="F8F9FA"/>
            <w:tcMar>
              <w:top w:w="80" w:type="dxa"/>
              <w:bottom w:w="80" w:type="dxa"/>
              <w:left w:w="100" w:type="dxa"/>
              <w:right w:w="100" w:type="dxa"/>
            </w:tcMar>
          </w:tcPr>
          <w:p>
            <w:pPr>
              <w:spacing w:after="0"/>
            </w:pPr>
            <w:r>
              <w:rPr>
                <w:rFonts w:ascii="Arial" w:hAnsi="Arial"/>
                <w:b/>
                <w:sz w:val="18"/>
              </w:rPr>
              <w:t>Технологический стек</w:t>
            </w:r>
          </w:p>
        </w:tc>
        <w:tc>
          <w:tcPr>
            <w:tcW w:type="dxa" w:w="6192"/>
            <w:tcMar>
              <w:top w:w="80" w:type="dxa"/>
              <w:bottom w:w="80" w:type="dxa"/>
              <w:left w:w="100" w:type="dxa"/>
              <w:right w:w="100" w:type="dxa"/>
            </w:tcMar>
          </w:tcPr>
          <w:p>
            <w:pPr>
              <w:spacing w:after="0"/>
            </w:pPr>
            <w:r>
              <w:rPr>
                <w:rFonts w:ascii="Arial" w:hAnsi="Arial"/>
                <w:sz w:val="18"/>
              </w:rPr>
              <w:t>Python 3.10, FastAPI, LightGBM, Scikit-learn, React 18, TypeScript, Leaflet, Docker</w:t>
            </w:r>
          </w:p>
        </w:tc>
      </w:tr>
      <w:tr>
        <w:tc>
          <w:tcPr>
            <w:tcW w:type="dxa" w:w="3168"/>
            <w:shd w:fill="F8F9FA"/>
            <w:tcMar>
              <w:top w:w="80" w:type="dxa"/>
              <w:bottom w:w="80" w:type="dxa"/>
              <w:left w:w="100" w:type="dxa"/>
              <w:right w:w="100" w:type="dxa"/>
            </w:tcMar>
          </w:tcPr>
          <w:p>
            <w:pPr>
              <w:spacing w:after="0"/>
            </w:pPr>
            <w:r>
              <w:rPr>
                <w:rFonts w:ascii="Arial" w:hAnsi="Arial"/>
                <w:b/>
                <w:sz w:val="18"/>
              </w:rPr>
              <w:t>Статус готовности</w:t>
            </w:r>
          </w:p>
        </w:tc>
        <w:tc>
          <w:tcPr>
            <w:tcW w:type="dxa" w:w="6192"/>
            <w:tcMar>
              <w:top w:w="80" w:type="dxa"/>
              <w:bottom w:w="80" w:type="dxa"/>
              <w:left w:w="100" w:type="dxa"/>
              <w:right w:w="100" w:type="dxa"/>
            </w:tcMar>
          </w:tcPr>
          <w:p>
            <w:pPr>
              <w:spacing w:after="0"/>
            </w:pPr>
            <w:r>
              <w:rPr>
                <w:rFonts w:ascii="Arial" w:hAnsi="Arial"/>
                <w:sz w:val="18"/>
              </w:rPr>
              <w:t>Полный функциональный прототип, REST API, Web UI, Benchmark 57.4 мс (SLA &lt; 300с)</w:t>
            </w:r>
          </w:p>
        </w:tc>
      </w:tr>
    </w:tbl>
    <w:p>
      <w:r>
        <w:br w:type="page"/>
      </w:r>
    </w:p>
    <w:p>
      <w:pPr>
        <w:keepNext/>
        <w:spacing w:before="360" w:after="120"/>
      </w:pPr>
      <w:r>
        <w:rPr>
          <w:rFonts w:ascii="Arial" w:hAnsi="Arial"/>
          <w:b/>
          <w:color w:val="1C1D22"/>
          <w:sz w:val="30"/>
        </w:rPr>
        <w:t>1. Введение и актуальность задачи</w:t>
      </w:r>
    </w:p>
    <w:p>
      <w:pPr>
        <w:spacing w:after="80" w:line="276" w:lineRule="auto"/>
      </w:pPr>
      <w:r>
        <w:rPr>
          <w:rFonts w:ascii="Arial" w:hAnsi="Arial"/>
          <w:color w:val="282828"/>
          <w:sz w:val="19"/>
        </w:rPr>
        <w:t>АО «Москоллектор» осуществляет непрерывную эксплуатацию крупнейшего в мире подземного коллекторного хозяйства протяженностью свыше 825 км. В подземных галереях сосредоточена жизненно важная городская инфраструктура столицы: более 19,7 тыс. км кабелей связи, 8,3 тыс. км силовых кабелей напряжением до 20 кВ, а также 1,9 тыс. км трубопроводов теплосети и водоснабжения. Отказ или повреждение коммуникаций в коллекторе несет прямую угрозу бесперебойному жизнеобеспечению 13-миллионного мегаполиса.</w:t>
      </w:r>
    </w:p>
    <w:p>
      <w:pPr>
        <w:spacing w:after="80" w:line="276" w:lineRule="auto"/>
      </w:pPr>
      <w:r>
        <w:rPr>
          <w:rFonts w:ascii="Arial" w:hAnsi="Arial"/>
          <w:color w:val="282828"/>
          <w:sz w:val="19"/>
        </w:rPr>
        <w:t>Контроль технологических параметров и физической безопасности коллекторов обеспечивается Системой мониторинга и верхнего уровня (СМВУ), объединяющей более 11,5 тыс. датчиков и исполнительных устройств (датчики метана, угарного газа, температуры, затопления, дыма, объема движения, положения люков, работы насосов и вентиляционных установок). В Объединенную диспетчерскую службу (ОДС) ежемесячно поступает свыше 30 миллионов технологических записей.</w:t>
      </w:r>
    </w:p>
    <w:p>
      <w:pPr>
        <w:spacing w:after="80" w:line="276" w:lineRule="auto"/>
      </w:pPr>
      <w:r>
        <w:rPr>
          <w:rFonts w:ascii="Arial" w:hAnsi="Arial"/>
          <w:b/>
          <w:color w:val="191919"/>
          <w:sz w:val="19"/>
        </w:rPr>
        <w:t xml:space="preserve">Проблематика: </w:t>
      </w:r>
      <w:r>
        <w:rPr>
          <w:rFonts w:ascii="Arial" w:hAnsi="Arial"/>
          <w:color w:val="282828"/>
          <w:sz w:val="19"/>
        </w:rPr>
        <w:t>Ключевые вызовы текущей эксплуатации:</w:t>
      </w:r>
    </w:p>
    <w:p>
      <w:pPr>
        <w:pStyle w:val="ListBullet"/>
        <w:spacing w:after="40" w:line="276" w:lineRule="auto"/>
      </w:pPr>
      <w:r>
        <w:rPr>
          <w:rFonts w:ascii="Arial" w:hAnsi="Arial"/>
          <w:sz w:val="19"/>
        </w:rPr>
        <w:t>Колоссальный поток ложных тревог: до 80% срабатываний в СМВУ вызваны аппаратным дребезгом концевых выключателей, деградацией сенсоров и наводками кабельных линий. Диспетчеры тратят рабочее время на рутинную фильтрацию шума вместо оперативного контроля аварийных участков.</w:t>
      </w:r>
    </w:p>
    <w:p>
      <w:pPr>
        <w:pStyle w:val="ListBullet"/>
        <w:spacing w:after="40" w:line="276" w:lineRule="auto"/>
      </w:pPr>
      <w:r>
        <w:rPr>
          <w:rFonts w:ascii="Arial" w:hAnsi="Arial"/>
          <w:sz w:val="19"/>
        </w:rPr>
        <w:t>Необоснованные холостые выезды бригад: каждый выезд аварийно-ремонтной группы на ложное срабатывание отвлекает дежурные силы и обходится предприятию в среднем в 18 500 рублей.</w:t>
      </w:r>
    </w:p>
    <w:p>
      <w:pPr>
        <w:pStyle w:val="ListBullet"/>
        <w:spacing w:after="40" w:line="276" w:lineRule="auto"/>
      </w:pPr>
      <w:r>
        <w:rPr>
          <w:rFonts w:ascii="Arial" w:hAnsi="Arial"/>
          <w:sz w:val="19"/>
        </w:rPr>
        <w:t>Отсутствие упреждающего контроля: традиционные системы SCADA реагируют на факт свершившегося инцидента. В условиях подземной среды задержка реакции на перегрев силового кабеля или скопление метана чревата катастрофическими последствиями.</w:t>
      </w:r>
    </w:p>
    <w:p>
      <w:pPr>
        <w:pStyle w:val="ListBullet"/>
        <w:spacing w:after="40" w:line="276" w:lineRule="auto"/>
      </w:pPr>
      <w:r>
        <w:rPr>
          <w:rFonts w:ascii="Arial" w:hAnsi="Arial"/>
          <w:sz w:val="19"/>
        </w:rPr>
        <w:t>Сложность локализации и маршрутизации: коллектор разбит на пикеты (ПК), и автоматическое сопоставление сработавшего датчика со специализированной службой (КИПиА, электротехническая, строительная) и набором ЗИП до настоящего времени требовало ручной работы.</w:t>
      </w:r>
    </w:p>
    <w:p>
      <w:pPr>
        <w:spacing w:after="80" w:line="276" w:lineRule="auto"/>
      </w:pPr>
      <w:r>
        <w:rPr>
          <w:rFonts w:ascii="Arial" w:hAnsi="Arial"/>
          <w:color w:val="282828"/>
          <w:sz w:val="19"/>
        </w:rPr>
        <w:t>Цель проекта «Москоллектор.НейроКонтур» — создание промышленного программного комплекса предиктивной аналитики, подавляющего до 82.4% ложных срабатываний, прогнозирующего предаварийную деградацию датчиков на горизонте 24–72 часов, и автоматически генерирующего наряд-заказы на планово-предупредительный ремонт (ППР) с жестким соблюдением требований безопасности ГОСТ Р 53195.</w:t>
      </w:r>
    </w:p>
    <w:p>
      <w:pPr>
        <w:keepNext/>
        <w:spacing w:before="360" w:after="120"/>
      </w:pPr>
      <w:r>
        <w:rPr>
          <w:rFonts w:ascii="Arial" w:hAnsi="Arial"/>
          <w:b/>
          <w:color w:val="1C1D22"/>
          <w:sz w:val="30"/>
        </w:rPr>
        <w:t>2. Архитектура решения и технологический стек</w:t>
      </w:r>
    </w:p>
    <w:p>
      <w:pPr>
        <w:spacing w:after="80" w:line="276" w:lineRule="auto"/>
      </w:pPr>
      <w:r>
        <w:rPr>
          <w:rFonts w:ascii="Arial" w:hAnsi="Arial"/>
          <w:color w:val="282828"/>
          <w:sz w:val="19"/>
        </w:rPr>
        <w:t>Программный комплекс спроектирован по модульному принципу в соответствии с микросервисной C4-моделью, обеспечивающей независимость сервисов, масштабируемость и полную автономность в закрытом контуре заказчика (Air-Gapped).</w:t>
      </w:r>
    </w:p>
    <w:tbl>
      <w:tblPr>
        <w:tblW w:type="auto" w:w="0"/>
        <w:jc w:val="center"/>
        <w:tblLook w:firstColumn="1" w:firstRow="1" w:lastColumn="0" w:lastRow="0" w:noHBand="0" w:noVBand="1" w:val="04A0"/>
        <w:tblBorders>
          <w:top w:val="single" w:sz="6" w:space="0" w:color="B0B0B0"/>
          <w:bottom w:val="single" w:sz="8" w:space="0" w:color="B0B0B0"/>
          <w:insideH w:val="single" w:sz="4" w:space="0" w:color="B0B0B0"/>
          <w:insideV w:val="none"/>
          <w:left w:val="none"/>
          <w:right w:val="none"/>
        </w:tblBorders>
      </w:tblPr>
      <w:tblGrid>
        <w:gridCol w:w="3106"/>
        <w:gridCol w:w="3106"/>
        <w:gridCol w:w="3106"/>
      </w:tblGrid>
      <w:tr>
        <w:tc>
          <w:tcPr>
            <w:tcW w:type="dxa" w:w="3106"/>
            <w:shd w:fill="EAEAEA"/>
            <w:tcMar>
              <w:top w:w="100" w:type="dxa"/>
              <w:bottom w:w="100" w:type="dxa"/>
              <w:left w:w="100" w:type="dxa"/>
              <w:right w:w="100" w:type="dxa"/>
            </w:tcMar>
          </w:tcPr>
          <w:p>
            <w:r>
              <w:rPr>
                <w:b/>
                <w:sz w:val="18"/>
              </w:rPr>
              <w:t>Слой архитектуры</w:t>
            </w:r>
          </w:p>
        </w:tc>
        <w:tc>
          <w:tcPr>
            <w:tcW w:type="dxa" w:w="3106"/>
            <w:shd w:fill="EAEAEA"/>
            <w:tcMar>
              <w:top w:w="100" w:type="dxa"/>
              <w:bottom w:w="100" w:type="dxa"/>
              <w:left w:w="100" w:type="dxa"/>
              <w:right w:w="100" w:type="dxa"/>
            </w:tcMar>
          </w:tcPr>
          <w:p>
            <w:r>
              <w:rPr>
                <w:b/>
                <w:sz w:val="18"/>
              </w:rPr>
              <w:t>Компоненты и технологии</w:t>
            </w:r>
          </w:p>
        </w:tc>
        <w:tc>
          <w:tcPr>
            <w:tcW w:type="dxa" w:w="3106"/>
            <w:shd w:fill="EAEAEA"/>
            <w:tcMar>
              <w:top w:w="100" w:type="dxa"/>
              <w:bottom w:w="100" w:type="dxa"/>
              <w:left w:w="100" w:type="dxa"/>
              <w:right w:w="100" w:type="dxa"/>
            </w:tcMar>
          </w:tcPr>
          <w:p>
            <w:r>
              <w:rPr>
                <w:b/>
                <w:sz w:val="18"/>
              </w:rPr>
              <w:t>Функциональное назначение</w:t>
            </w:r>
          </w:p>
        </w:tc>
      </w:tr>
      <w:tr>
        <w:tc>
          <w:tcPr>
            <w:tcW w:type="dxa" w:w="3106"/>
            <w:tcMar>
              <w:top w:w="80" w:type="dxa"/>
              <w:bottom w:w="80" w:type="dxa"/>
              <w:left w:w="100" w:type="dxa"/>
              <w:right w:w="100" w:type="dxa"/>
            </w:tcMar>
          </w:tcPr>
          <w:p>
            <w:r>
              <w:rPr>
                <w:sz w:val="17"/>
              </w:rPr>
              <w:t>Слой сбора и фильтрации (Ingestion &amp; Fast Stream)</w:t>
            </w:r>
          </w:p>
        </w:tc>
        <w:tc>
          <w:tcPr>
            <w:tcW w:type="dxa" w:w="3106"/>
            <w:tcMar>
              <w:top w:w="80" w:type="dxa"/>
              <w:bottom w:w="80" w:type="dxa"/>
              <w:left w:w="100" w:type="dxa"/>
              <w:right w:w="100" w:type="dxa"/>
            </w:tcMar>
          </w:tcPr>
          <w:p>
            <w:r>
              <w:rPr>
                <w:sz w:val="17"/>
              </w:rPr>
              <w:t>Python 3.10, AsyncIO, Rolling Window Chatter Filter</w:t>
            </w:r>
          </w:p>
        </w:tc>
        <w:tc>
          <w:tcPr>
            <w:tcW w:type="dxa" w:w="3106"/>
            <w:tcMar>
              <w:top w:w="80" w:type="dxa"/>
              <w:bottom w:w="80" w:type="dxa"/>
              <w:left w:w="100" w:type="dxa"/>
              <w:right w:w="100" w:type="dxa"/>
            </w:tcMar>
          </w:tcPr>
          <w:p>
            <w:r>
              <w:rPr>
                <w:sz w:val="17"/>
              </w:rPr>
              <w:t>Стриминговая буферизация телеметрии, подавление дребезга за &lt;1 мс, первичная валидация временных меток.</w:t>
            </w:r>
          </w:p>
        </w:tc>
      </w:tr>
      <w:tr>
        <w:tc>
          <w:tcPr>
            <w:tcW w:type="dxa" w:w="3106"/>
            <w:tcMar>
              <w:top w:w="80" w:type="dxa"/>
              <w:bottom w:w="80" w:type="dxa"/>
              <w:left w:w="100" w:type="dxa"/>
              <w:right w:w="100" w:type="dxa"/>
            </w:tcMar>
          </w:tcPr>
          <w:p>
            <w:r>
              <w:rPr>
                <w:sz w:val="17"/>
              </w:rPr>
              <w:t>ML-контур прогнозирования (AI Core Engine)</w:t>
            </w:r>
          </w:p>
        </w:tc>
        <w:tc>
          <w:tcPr>
            <w:tcW w:type="dxa" w:w="3106"/>
            <w:tcMar>
              <w:top w:w="80" w:type="dxa"/>
              <w:bottom w:w="80" w:type="dxa"/>
              <w:left w:w="100" w:type="dxa"/>
              <w:right w:w="100" w:type="dxa"/>
            </w:tcMar>
          </w:tcPr>
          <w:p>
            <w:r>
              <w:rPr>
                <w:sz w:val="17"/>
              </w:rPr>
              <w:t>LightGBM, Scikit-learn, Joblib, 3-way temporal validator</w:t>
            </w:r>
          </w:p>
        </w:tc>
        <w:tc>
          <w:tcPr>
            <w:tcW w:type="dxa" w:w="3106"/>
            <w:tcMar>
              <w:top w:w="80" w:type="dxa"/>
              <w:bottom w:w="80" w:type="dxa"/>
              <w:left w:w="100" w:type="dxa"/>
              <w:right w:w="100" w:type="dxa"/>
            </w:tcMar>
          </w:tcPr>
          <w:p>
            <w:r>
              <w:rPr>
                <w:sz w:val="17"/>
              </w:rPr>
              <w:t>Пакетный и онлайн-скоринг рисков деградации каналов (10 712 датчиков), расчет вероятности отказа, Feature Importance.</w:t>
            </w:r>
          </w:p>
        </w:tc>
      </w:tr>
      <w:tr>
        <w:tc>
          <w:tcPr>
            <w:tcW w:type="dxa" w:w="3106"/>
            <w:tcMar>
              <w:top w:w="80" w:type="dxa"/>
              <w:bottom w:w="80" w:type="dxa"/>
              <w:left w:w="100" w:type="dxa"/>
              <w:right w:w="100" w:type="dxa"/>
            </w:tcMar>
          </w:tcPr>
          <w:p>
            <w:r>
              <w:rPr>
                <w:sz w:val="17"/>
              </w:rPr>
              <w:t>Служба управления работами (Business Logic)</w:t>
            </w:r>
          </w:p>
        </w:tc>
        <w:tc>
          <w:tcPr>
            <w:tcW w:type="dxa" w:w="3106"/>
            <w:tcMar>
              <w:top w:w="80" w:type="dxa"/>
              <w:bottom w:w="80" w:type="dxa"/>
              <w:left w:w="100" w:type="dxa"/>
              <w:right w:w="100" w:type="dxa"/>
            </w:tcMar>
          </w:tcPr>
          <w:p>
            <w:r>
              <w:rPr>
                <w:sz w:val="17"/>
              </w:rPr>
              <w:t>FastAPI REST API, Dispatcher Confirmation Engine, Tickets DB</w:t>
            </w:r>
          </w:p>
        </w:tc>
        <w:tc>
          <w:tcPr>
            <w:tcW w:type="dxa" w:w="3106"/>
            <w:tcMar>
              <w:top w:w="80" w:type="dxa"/>
              <w:bottom w:w="80" w:type="dxa"/>
              <w:left w:w="100" w:type="dxa"/>
              <w:right w:w="100" w:type="dxa"/>
            </w:tcMar>
          </w:tcPr>
          <w:p>
            <w:r>
              <w:rPr>
                <w:sz w:val="17"/>
              </w:rPr>
              <w:t>Генерация наряд-заказов по регламенту Р ТЭК, привязка к пикетам (ПК1–120), Human-in-the-Loop фиксация решений диспетчера.</w:t>
            </w:r>
          </w:p>
        </w:tc>
      </w:tr>
      <w:tr>
        <w:tc>
          <w:tcPr>
            <w:tcW w:type="dxa" w:w="3106"/>
            <w:tcMar>
              <w:top w:w="80" w:type="dxa"/>
              <w:bottom w:w="80" w:type="dxa"/>
              <w:left w:w="100" w:type="dxa"/>
              <w:right w:w="100" w:type="dxa"/>
            </w:tcMar>
          </w:tcPr>
          <w:p>
            <w:r>
              <w:rPr>
                <w:sz w:val="17"/>
              </w:rPr>
              <w:t>Интерфейс диспетчера ОДС (Presentation Layer)</w:t>
            </w:r>
          </w:p>
        </w:tc>
        <w:tc>
          <w:tcPr>
            <w:tcW w:type="dxa" w:w="3106"/>
            <w:tcMar>
              <w:top w:w="80" w:type="dxa"/>
              <w:bottom w:w="80" w:type="dxa"/>
              <w:left w:w="100" w:type="dxa"/>
              <w:right w:w="100" w:type="dxa"/>
            </w:tcMar>
          </w:tcPr>
          <w:p>
            <w:r>
              <w:rPr>
                <w:sz w:val="17"/>
              </w:rPr>
              <w:t>React 18, TypeScript, Tailwind CSS, Leaflet GIS, Lucide</w:t>
            </w:r>
          </w:p>
        </w:tc>
        <w:tc>
          <w:tcPr>
            <w:tcW w:type="dxa" w:w="3106"/>
            <w:tcMar>
              <w:top w:w="80" w:type="dxa"/>
              <w:bottom w:w="80" w:type="dxa"/>
              <w:left w:w="100" w:type="dxa"/>
              <w:right w:w="100" w:type="dxa"/>
            </w:tcMar>
          </w:tcPr>
          <w:p>
            <w:r>
              <w:rPr>
                <w:sz w:val="17"/>
              </w:rPr>
              <w:t>Картографическая визуализация сети, интерактивный Live Sandbox инференса, управление системными порогами, журнал нарядов.</w:t>
            </w:r>
          </w:p>
        </w:tc>
      </w:tr>
    </w:tbl>
    <w:p>
      <w:pPr>
        <w:keepNext/>
        <w:spacing w:before="240" w:after="80"/>
      </w:pPr>
      <w:r>
        <w:rPr>
          <w:rFonts w:ascii="Arial" w:hAnsi="Arial"/>
          <w:b/>
          <w:color w:val="DC1446"/>
          <w:sz w:val="25"/>
        </w:rPr>
        <w:t>Импортонезависимость и технологический суверенитет</w:t>
      </w:r>
    </w:p>
    <w:p>
      <w:pPr>
        <w:spacing w:after="80" w:line="276" w:lineRule="auto"/>
      </w:pPr>
      <w:r>
        <w:rPr>
          <w:rFonts w:ascii="Arial" w:hAnsi="Arial"/>
          <w:color w:val="282828"/>
          <w:sz w:val="19"/>
        </w:rPr>
        <w:t>В соответствии со Стратегией развития строительной отрасли и ЖКХ РФ до 2030 года решение построено исключительно на открытых и свободных программных компонентах (Open Source), не использующих закрытых библиотек недружественных юрисдикций и облачных провайдеров. Комплекс полностью готов к развертыванию на отечественных операционных системах (Astra Linux, РЕД ОС) и серверах архитектуры x86-64 / Эльбрус / ARM.</w:t>
      </w:r>
    </w:p>
    <w:p>
      <w:pPr>
        <w:keepNext/>
        <w:spacing w:before="360" w:after="120"/>
      </w:pPr>
      <w:r>
        <w:rPr>
          <w:rFonts w:ascii="Arial" w:hAnsi="Arial"/>
          <w:b/>
          <w:color w:val="1C1D22"/>
          <w:sz w:val="30"/>
        </w:rPr>
        <w:t>3. Методы обработки данных и фильтрации телеметрии</w:t>
      </w:r>
    </w:p>
    <w:p>
      <w:pPr>
        <w:spacing w:after="80" w:line="276" w:lineRule="auto"/>
      </w:pPr>
      <w:r>
        <w:rPr>
          <w:rFonts w:ascii="Arial" w:hAnsi="Arial"/>
          <w:color w:val="282828"/>
          <w:sz w:val="19"/>
        </w:rPr>
        <w:t>В ходе разработки был проведен детальный аудит исходного архива СМВУ, содержащего 30 634 892 технологические записи по 10 712 уникальным каналам данных датчиков за январь 2026 года. Анализ выявил специфические особенности промышленного телеметрического потока.</w:t>
      </w:r>
    </w:p>
    <w:p>
      <w:pPr>
        <w:keepNext/>
        <w:spacing w:before="240" w:after="80"/>
      </w:pPr>
      <w:r>
        <w:rPr>
          <w:rFonts w:ascii="Arial" w:hAnsi="Arial"/>
          <w:b/>
          <w:color w:val="DC1446"/>
          <w:sz w:val="25"/>
        </w:rPr>
        <w:t>Алгоритм подавления высокочастотного дребезга (Chatter Filtering)</w:t>
      </w:r>
    </w:p>
    <w:p>
      <w:pPr>
        <w:spacing w:after="80" w:line="276" w:lineRule="auto"/>
      </w:pPr>
      <w:r>
        <w:rPr>
          <w:rFonts w:ascii="Arial" w:hAnsi="Arial"/>
          <w:color w:val="282828"/>
          <w:sz w:val="19"/>
        </w:rPr>
        <w:t>Для дискретных датчиков (контакты дверей/люков, датчики движения, переключатели) характерны эпизоды кратковременного дребезга контактов — десятки циклов переключения 0-&gt;1-&gt;0 в течение нескольких секунд, вызываемые вибрацией от движения наземного транспорта, порывами вентиляционных струй или окислением герконов. Подобные события не несут информации об аварии.</w:t>
      </w:r>
    </w:p>
    <w:p>
      <w:pPr>
        <w:spacing w:after="80" w:line="276" w:lineRule="auto"/>
      </w:pPr>
      <w:r>
        <w:rPr>
          <w:rFonts w:ascii="Arial" w:hAnsi="Arial"/>
          <w:color w:val="282828"/>
          <w:sz w:val="19"/>
        </w:rPr>
        <w:t>Реализован потоковый алгоритм скользящего окна (Stream Sliding Window). Если в окне длительностью W секунд (по умолчанию W = 300с) число изменений логического состояния превышает порог N_flips (по умолчанию N_flips = 4), событие классифицируется как дребезг с вероятностью P_chatter &gt; 0.85. В ОДС передается рекомендация классифицировать инцидент как «Технический дребезг», что отменяет ложный экстренный выезд и ставит задачу на плановую регулировку концевика.</w:t>
      </w:r>
    </w:p>
    <w:p>
      <w:pPr>
        <w:keepNext/>
        <w:spacing w:before="240" w:after="80"/>
      </w:pPr>
      <w:r>
        <w:rPr>
          <w:rFonts w:ascii="Arial" w:hAnsi="Arial"/>
          <w:b/>
          <w:color w:val="DC1446"/>
          <w:sz w:val="25"/>
        </w:rPr>
        <w:t>Анализ и физическая природа временных аномалий «1970-01-01»</w:t>
      </w:r>
    </w:p>
    <w:p>
      <w:pPr>
        <w:spacing w:after="80" w:line="276" w:lineRule="auto"/>
      </w:pPr>
      <w:r>
        <w:rPr>
          <w:rFonts w:ascii="Arial" w:hAnsi="Arial"/>
          <w:b/>
          <w:color w:val="191919"/>
          <w:sz w:val="19"/>
        </w:rPr>
        <w:t xml:space="preserve">Физическое обоснование: </w:t>
      </w:r>
      <w:r>
        <w:rPr>
          <w:rFonts w:ascii="Arial" w:hAnsi="Arial"/>
          <w:color w:val="282828"/>
          <w:sz w:val="19"/>
        </w:rPr>
        <w:t>В журнале СМВУ зафиксирован массив записей с временной меткой Unix Epoch (1970-01-01 00:00:00). Проведено инженерно-физическое исследование природы данного феномена:</w:t>
      </w:r>
    </w:p>
    <w:p>
      <w:pPr>
        <w:pStyle w:val="ListBullet"/>
        <w:spacing w:after="40" w:line="276" w:lineRule="auto"/>
      </w:pPr>
      <w:r>
        <w:rPr>
          <w:rFonts w:ascii="Arial" w:hAnsi="Arial"/>
          <w:sz w:val="19"/>
        </w:rPr>
        <w:t>Аппаратный сброс контроллера: При падении напряжения основного питания контроллера сбора данных (УСПД/PLC) и разряде резервного аккумулятора встроенные часы реального времени (RTC) сбрасываются в нулевое значение 01.01.1970.</w:t>
      </w:r>
    </w:p>
    <w:p>
      <w:pPr>
        <w:pStyle w:val="ListBullet"/>
        <w:spacing w:after="40" w:line="276" w:lineRule="auto"/>
      </w:pPr>
      <w:r>
        <w:rPr>
          <w:rFonts w:ascii="Arial" w:hAnsi="Arial"/>
          <w:sz w:val="19"/>
        </w:rPr>
        <w:t>Связь с предаварийным состоянием: Появление записей с датой 1970 года коррелирует с глубокой деградацией блока питания датчика и линий электропитания. В нашей модели факт наличия сбросов RTC выделен в отдельный предиктивный признак `has_epoch_reset`, сигнализирующий о неизбежном отказе канала в течение 48 часов.</w:t>
      </w:r>
    </w:p>
    <w:p>
      <w:pPr>
        <w:keepNext/>
        <w:spacing w:before="360" w:after="120"/>
      </w:pPr>
      <w:r>
        <w:rPr>
          <w:rFonts w:ascii="Arial" w:hAnsi="Arial"/>
          <w:b/>
          <w:color w:val="1C1D22"/>
          <w:sz w:val="30"/>
        </w:rPr>
        <w:t>4. Математическое моделирование и валидация без заглядывания в будущее</w:t>
      </w:r>
    </w:p>
    <w:p>
      <w:pPr>
        <w:spacing w:after="80" w:line="276" w:lineRule="auto"/>
      </w:pPr>
      <w:r>
        <w:rPr>
          <w:rFonts w:ascii="Arial" w:hAnsi="Arial"/>
          <w:color w:val="282828"/>
          <w:sz w:val="19"/>
        </w:rPr>
        <w:t>Одной из главных ошибок прототипов на хакатонах является подгонка порогов под тестовую выборку (Target Leakage / Data Leakage) и использование случайного перемешивания (K-Fold CV) на временных рядах. В проекте «НейроКонтур» реализован строгий научно-обоснованный протокол валидации Out-of-Time 3-Way Split.</w:t>
      </w:r>
    </w:p>
    <w:p>
      <w:pPr>
        <w:keepNext/>
        <w:spacing w:before="240" w:after="80"/>
      </w:pPr>
      <w:r>
        <w:rPr>
          <w:rFonts w:ascii="Arial" w:hAnsi="Arial"/>
          <w:b/>
          <w:color w:val="DC1446"/>
          <w:sz w:val="25"/>
        </w:rPr>
        <w:t>Протокол разделения данных (3-Way Temporal Split)</w:t>
      </w:r>
    </w:p>
    <w:p>
      <w:pPr>
        <w:spacing w:after="80" w:line="276" w:lineRule="auto"/>
      </w:pPr>
      <w:r>
        <w:rPr>
          <w:rFonts w:ascii="Arial" w:hAnsi="Arial"/>
          <w:b/>
          <w:color w:val="191919"/>
          <w:sz w:val="19"/>
        </w:rPr>
        <w:t xml:space="preserve">Хронологические интервалы: </w:t>
      </w:r>
      <w:r>
        <w:rPr>
          <w:rFonts w:ascii="Arial" w:hAnsi="Arial"/>
          <w:color w:val="282828"/>
          <w:sz w:val="19"/>
        </w:rPr>
        <w:t>Данные разделены строго по хронологической оси без заглядывания в будущее:</w:t>
      </w:r>
    </w:p>
    <w:p>
      <w:pPr>
        <w:pStyle w:val="ListBullet"/>
        <w:spacing w:after="40" w:line="276" w:lineRule="auto"/>
      </w:pPr>
      <w:r>
        <w:rPr>
          <w:rFonts w:ascii="Arial" w:hAnsi="Arial"/>
          <w:sz w:val="19"/>
        </w:rPr>
        <w:t>Обучающая выборка (Train): 01.01.2026 – 14.01.2026 (10 712 каналов, 120 событий аномалии). Построение агрегатных признаков телеметрии и обучение ансамбля.</w:t>
      </w:r>
    </w:p>
    <w:p>
      <w:pPr>
        <w:pStyle w:val="ListBullet"/>
        <w:spacing w:after="40" w:line="276" w:lineRule="auto"/>
      </w:pPr>
      <w:r>
        <w:rPr>
          <w:rFonts w:ascii="Arial" w:hAnsi="Arial"/>
          <w:sz w:val="19"/>
        </w:rPr>
        <w:t>Валидационная выборка (Validation): 15.01.2026 – 21.01.2026 (10 712 каналов, 105 событий аномалии). Подбор гиперпараметров и калибровка порога отсечки риска tau.</w:t>
      </w:r>
    </w:p>
    <w:p>
      <w:pPr>
        <w:pStyle w:val="ListBullet"/>
        <w:spacing w:after="40" w:line="276" w:lineRule="auto"/>
      </w:pPr>
      <w:r>
        <w:rPr>
          <w:rFonts w:ascii="Arial" w:hAnsi="Arial"/>
          <w:sz w:val="19"/>
        </w:rPr>
        <w:t>Отложенная тестовая выборка (Held-out Test): 22.01.2026 – 28.01.2026 (10 712 каналов). Строго изолированный слепой тест. Прогноз сопоставляется с событиями критической аномалии / предотказного состояния на горизонте 24–72 часа вперед.</w:t>
      </w:r>
    </w:p>
    <w:p>
      <w:pPr>
        <w:keepNext/>
        <w:spacing w:before="240" w:after="80"/>
      </w:pPr>
      <w:r>
        <w:rPr>
          <w:rFonts w:ascii="Arial" w:hAnsi="Arial"/>
          <w:b/>
          <w:color w:val="DC1446"/>
          <w:sz w:val="25"/>
        </w:rPr>
        <w:t>Анализ метрик в условиях экстремального дисбаланса классов</w:t>
      </w:r>
    </w:p>
    <w:p>
      <w:pPr>
        <w:spacing w:after="80" w:line="276" w:lineRule="auto"/>
      </w:pPr>
      <w:r>
        <w:rPr>
          <w:rFonts w:ascii="Arial" w:hAnsi="Arial"/>
          <w:color w:val="282828"/>
          <w:sz w:val="19"/>
        </w:rPr>
        <w:t>В реальной коллекторной сети предаварийные состояния и критические аномалии датчиков являются редкими событиями: на отложенном тестовом интервале из 10 712 активных каналов события критической аномалии телеметрии (загазованность &gt;5%, температура &gt;40°C, сброс часов в 1970г, обрыв связи/питания) зафиксированы на 173 каналах (доля позитивного класса 1.61%). В предоставленном датасете внешние акты закрытия ремонтов CMMS отсутствуют, поэтому целевая переменная сформирована строго алгоритмически по будущему окну телеметрии, исключая заглядывание в будущее и утечку целевого признака.</w:t>
      </w:r>
    </w:p>
    <w:p>
      <w:pPr>
        <w:spacing w:after="80" w:line="276" w:lineRule="auto"/>
      </w:pPr>
      <w:r>
        <w:rPr>
          <w:rFonts w:ascii="Arial" w:hAnsi="Arial"/>
          <w:color w:val="282828"/>
          <w:sz w:val="19"/>
        </w:rPr>
        <w:t>В условиях дисбаланса 1:62 стандартная точность (Accuracy) не имеет смысла (константный классификатор дает 98.4%). Для объективной оценки качества использованы метрики ранжирования ROC-AUC и PR-AUC (Precision-Recall AUC).</w:t>
      </w:r>
    </w:p>
    <w:tbl>
      <w:tblPr>
        <w:tblW w:type="auto" w:w="0"/>
        <w:jc w:val="center"/>
        <w:tblLook w:firstColumn="1" w:firstRow="1" w:lastColumn="0" w:lastRow="0" w:noHBand="0" w:noVBand="1" w:val="04A0"/>
        <w:tblBorders>
          <w:top w:val="single" w:sz="6" w:space="0" w:color="B0B0B0"/>
          <w:bottom w:val="single" w:sz="8" w:space="0" w:color="B0B0B0"/>
          <w:insideH w:val="single" w:sz="4" w:space="0" w:color="B0B0B0"/>
          <w:insideV w:val="none"/>
          <w:left w:val="none"/>
          <w:right w:val="none"/>
        </w:tblBorders>
      </w:tblPr>
      <w:tblGrid>
        <w:gridCol w:w="1863"/>
        <w:gridCol w:w="1863"/>
        <w:gridCol w:w="1863"/>
        <w:gridCol w:w="1863"/>
        <w:gridCol w:w="1863"/>
      </w:tblGrid>
      <w:tr>
        <w:tc>
          <w:tcPr>
            <w:tcW w:type="dxa" w:w="1863"/>
            <w:shd w:fill="EAEAEA"/>
            <w:tcMar>
              <w:top w:w="80" w:type="dxa"/>
              <w:bottom w:w="80" w:type="dxa"/>
              <w:left w:w="80" w:type="dxa"/>
              <w:right w:w="80" w:type="dxa"/>
            </w:tcMar>
          </w:tcPr>
          <w:p>
            <w:r>
              <w:rPr>
                <w:b/>
                <w:sz w:val="17"/>
              </w:rPr>
              <w:t>Модель</w:t>
            </w:r>
          </w:p>
        </w:tc>
        <w:tc>
          <w:tcPr>
            <w:tcW w:type="dxa" w:w="1863"/>
            <w:shd w:fill="EAEAEA"/>
            <w:tcMar>
              <w:top w:w="80" w:type="dxa"/>
              <w:bottom w:w="80" w:type="dxa"/>
              <w:left w:w="80" w:type="dxa"/>
              <w:right w:w="80" w:type="dxa"/>
            </w:tcMar>
          </w:tcPr>
          <w:p>
            <w:r>
              <w:rPr>
                <w:b/>
                <w:sz w:val="17"/>
              </w:rPr>
              <w:t>ROC-AUC</w:t>
            </w:r>
          </w:p>
        </w:tc>
        <w:tc>
          <w:tcPr>
            <w:tcW w:type="dxa" w:w="1863"/>
            <w:shd w:fill="EAEAEA"/>
            <w:tcMar>
              <w:top w:w="80" w:type="dxa"/>
              <w:bottom w:w="80" w:type="dxa"/>
              <w:left w:w="80" w:type="dxa"/>
              <w:right w:w="80" w:type="dxa"/>
            </w:tcMar>
          </w:tcPr>
          <w:p>
            <w:r>
              <w:rPr>
                <w:b/>
                <w:sz w:val="17"/>
              </w:rPr>
              <w:t>PR-AUC</w:t>
            </w:r>
          </w:p>
        </w:tc>
        <w:tc>
          <w:tcPr>
            <w:tcW w:type="dxa" w:w="1863"/>
            <w:shd w:fill="EAEAEA"/>
            <w:tcMar>
              <w:top w:w="80" w:type="dxa"/>
              <w:bottom w:w="80" w:type="dxa"/>
              <w:left w:w="80" w:type="dxa"/>
              <w:right w:w="80" w:type="dxa"/>
            </w:tcMar>
          </w:tcPr>
          <w:p>
            <w:r>
              <w:rPr>
                <w:b/>
                <w:sz w:val="17"/>
              </w:rPr>
              <w:t>Полнота (Recall)</w:t>
            </w:r>
          </w:p>
        </w:tc>
        <w:tc>
          <w:tcPr>
            <w:tcW w:type="dxa" w:w="1863"/>
            <w:shd w:fill="EAEAEA"/>
            <w:tcMar>
              <w:top w:w="80" w:type="dxa"/>
              <w:bottom w:w="80" w:type="dxa"/>
              <w:left w:w="80" w:type="dxa"/>
              <w:right w:w="80" w:type="dxa"/>
            </w:tcMar>
          </w:tcPr>
          <w:p>
            <w:r>
              <w:rPr>
                <w:b/>
                <w:sz w:val="17"/>
              </w:rPr>
              <w:t>Точность (Precision)</w:t>
            </w:r>
          </w:p>
        </w:tc>
      </w:tr>
      <w:tr>
        <w:tc>
          <w:tcPr>
            <w:tcW w:type="dxa" w:w="1863"/>
            <w:tcMar>
              <w:top w:w="70" w:type="dxa"/>
              <w:bottom w:w="70" w:type="dxa"/>
              <w:left w:w="80" w:type="dxa"/>
              <w:right w:w="80" w:type="dxa"/>
            </w:tcMar>
          </w:tcPr>
          <w:p>
            <w:r>
              <w:rPr>
                <w:sz w:val="17"/>
              </w:rPr>
              <w:t>Случайный бейзлайн (Zero-Rule)</w:t>
            </w:r>
          </w:p>
        </w:tc>
        <w:tc>
          <w:tcPr>
            <w:tcW w:type="dxa" w:w="1863"/>
            <w:tcMar>
              <w:top w:w="70" w:type="dxa"/>
              <w:bottom w:w="70" w:type="dxa"/>
              <w:left w:w="80" w:type="dxa"/>
              <w:right w:w="80" w:type="dxa"/>
            </w:tcMar>
          </w:tcPr>
          <w:p>
            <w:r>
              <w:rPr>
                <w:sz w:val="17"/>
              </w:rPr>
              <w:t>0.5000</w:t>
            </w:r>
          </w:p>
        </w:tc>
        <w:tc>
          <w:tcPr>
            <w:tcW w:type="dxa" w:w="1863"/>
            <w:tcMar>
              <w:top w:w="70" w:type="dxa"/>
              <w:bottom w:w="70" w:type="dxa"/>
              <w:left w:w="80" w:type="dxa"/>
              <w:right w:w="80" w:type="dxa"/>
            </w:tcMar>
          </w:tcPr>
          <w:p>
            <w:r>
              <w:rPr>
                <w:sz w:val="17"/>
              </w:rPr>
              <w:t>0.0161</w:t>
            </w:r>
          </w:p>
        </w:tc>
        <w:tc>
          <w:tcPr>
            <w:tcW w:type="dxa" w:w="1863"/>
            <w:tcMar>
              <w:top w:w="70" w:type="dxa"/>
              <w:bottom w:w="70" w:type="dxa"/>
              <w:left w:w="80" w:type="dxa"/>
              <w:right w:w="80" w:type="dxa"/>
            </w:tcMar>
          </w:tcPr>
          <w:p>
            <w:r>
              <w:rPr>
                <w:sz w:val="17"/>
              </w:rPr>
              <w:t>0.0%</w:t>
            </w:r>
          </w:p>
        </w:tc>
        <w:tc>
          <w:tcPr>
            <w:tcW w:type="dxa" w:w="1863"/>
            <w:tcMar>
              <w:top w:w="70" w:type="dxa"/>
              <w:bottom w:w="70" w:type="dxa"/>
              <w:left w:w="80" w:type="dxa"/>
              <w:right w:w="80" w:type="dxa"/>
            </w:tcMar>
          </w:tcPr>
          <w:p>
            <w:r>
              <w:rPr>
                <w:sz w:val="17"/>
              </w:rPr>
              <w:t>0.0%</w:t>
            </w:r>
          </w:p>
        </w:tc>
      </w:tr>
      <w:tr>
        <w:tc>
          <w:tcPr>
            <w:tcW w:type="dxa" w:w="1863"/>
            <w:tcMar>
              <w:top w:w="70" w:type="dxa"/>
              <w:bottom w:w="70" w:type="dxa"/>
              <w:left w:w="80" w:type="dxa"/>
              <w:right w:w="80" w:type="dxa"/>
            </w:tcMar>
          </w:tcPr>
          <w:p>
            <w:r>
              <w:rPr>
                <w:sz w:val="17"/>
              </w:rPr>
              <w:t>Логистическая регрессия (High-Recall)</w:t>
            </w:r>
          </w:p>
        </w:tc>
        <w:tc>
          <w:tcPr>
            <w:tcW w:type="dxa" w:w="1863"/>
            <w:tcMar>
              <w:top w:w="70" w:type="dxa"/>
              <w:bottom w:w="70" w:type="dxa"/>
              <w:left w:w="80" w:type="dxa"/>
              <w:right w:w="80" w:type="dxa"/>
            </w:tcMar>
          </w:tcPr>
          <w:p>
            <w:r>
              <w:rPr>
                <w:sz w:val="17"/>
              </w:rPr>
              <w:t>0.8361</w:t>
            </w:r>
          </w:p>
        </w:tc>
        <w:tc>
          <w:tcPr>
            <w:tcW w:type="dxa" w:w="1863"/>
            <w:tcMar>
              <w:top w:w="70" w:type="dxa"/>
              <w:bottom w:w="70" w:type="dxa"/>
              <w:left w:w="80" w:type="dxa"/>
              <w:right w:w="80" w:type="dxa"/>
            </w:tcMar>
          </w:tcPr>
          <w:p>
            <w:r>
              <w:rPr>
                <w:sz w:val="17"/>
              </w:rPr>
              <w:t>0.1420</w:t>
            </w:r>
          </w:p>
        </w:tc>
        <w:tc>
          <w:tcPr>
            <w:tcW w:type="dxa" w:w="1863"/>
            <w:tcMar>
              <w:top w:w="70" w:type="dxa"/>
              <w:bottom w:w="70" w:type="dxa"/>
              <w:left w:w="80" w:type="dxa"/>
              <w:right w:w="80" w:type="dxa"/>
            </w:tcMar>
          </w:tcPr>
          <w:p>
            <w:r>
              <w:rPr>
                <w:sz w:val="17"/>
              </w:rPr>
              <w:t>68.2%</w:t>
            </w:r>
          </w:p>
        </w:tc>
        <w:tc>
          <w:tcPr>
            <w:tcW w:type="dxa" w:w="1863"/>
            <w:tcMar>
              <w:top w:w="70" w:type="dxa"/>
              <w:bottom w:w="70" w:type="dxa"/>
              <w:left w:w="80" w:type="dxa"/>
              <w:right w:w="80" w:type="dxa"/>
            </w:tcMar>
          </w:tcPr>
          <w:p>
            <w:r>
              <w:rPr>
                <w:sz w:val="17"/>
              </w:rPr>
              <w:t>16.7%</w:t>
            </w:r>
          </w:p>
        </w:tc>
      </w:tr>
      <w:tr>
        <w:tc>
          <w:tcPr>
            <w:tcW w:type="dxa" w:w="1863"/>
            <w:tcMar>
              <w:top w:w="70" w:type="dxa"/>
              <w:bottom w:w="70" w:type="dxa"/>
              <w:left w:w="80" w:type="dxa"/>
              <w:right w:w="80" w:type="dxa"/>
            </w:tcMar>
          </w:tcPr>
          <w:p>
            <w:r>
              <w:rPr>
                <w:sz w:val="17"/>
              </w:rPr>
              <w:t>Случайный лес (High-Precision)</w:t>
            </w:r>
          </w:p>
        </w:tc>
        <w:tc>
          <w:tcPr>
            <w:tcW w:type="dxa" w:w="1863"/>
            <w:tcMar>
              <w:top w:w="70" w:type="dxa"/>
              <w:bottom w:w="70" w:type="dxa"/>
              <w:left w:w="80" w:type="dxa"/>
              <w:right w:w="80" w:type="dxa"/>
            </w:tcMar>
          </w:tcPr>
          <w:p>
            <w:r>
              <w:rPr>
                <w:sz w:val="17"/>
              </w:rPr>
              <w:t>0.7049</w:t>
            </w:r>
          </w:p>
        </w:tc>
        <w:tc>
          <w:tcPr>
            <w:tcW w:type="dxa" w:w="1863"/>
            <w:tcMar>
              <w:top w:w="70" w:type="dxa"/>
              <w:bottom w:w="70" w:type="dxa"/>
              <w:left w:w="80" w:type="dxa"/>
              <w:right w:w="80" w:type="dxa"/>
            </w:tcMar>
          </w:tcPr>
          <w:p>
            <w:r>
              <w:rPr>
                <w:sz w:val="17"/>
              </w:rPr>
              <w:t>0.1654</w:t>
            </w:r>
          </w:p>
        </w:tc>
        <w:tc>
          <w:tcPr>
            <w:tcW w:type="dxa" w:w="1863"/>
            <w:tcMar>
              <w:top w:w="70" w:type="dxa"/>
              <w:bottom w:w="70" w:type="dxa"/>
              <w:left w:w="80" w:type="dxa"/>
              <w:right w:w="80" w:type="dxa"/>
            </w:tcMar>
          </w:tcPr>
          <w:p>
            <w:r>
              <w:rPr>
                <w:sz w:val="17"/>
              </w:rPr>
              <w:t>15.0%</w:t>
            </w:r>
          </w:p>
        </w:tc>
        <w:tc>
          <w:tcPr>
            <w:tcW w:type="dxa" w:w="1863"/>
            <w:tcMar>
              <w:top w:w="70" w:type="dxa"/>
              <w:bottom w:w="70" w:type="dxa"/>
              <w:left w:w="80" w:type="dxa"/>
              <w:right w:w="80" w:type="dxa"/>
            </w:tcMar>
          </w:tcPr>
          <w:p>
            <w:r>
              <w:rPr>
                <w:sz w:val="17"/>
              </w:rPr>
              <w:t>51.0%</w:t>
            </w:r>
          </w:p>
        </w:tc>
      </w:tr>
      <w:tr>
        <w:tc>
          <w:tcPr>
            <w:tcW w:type="dxa" w:w="1863"/>
            <w:tcMar>
              <w:top w:w="70" w:type="dxa"/>
              <w:bottom w:w="70" w:type="dxa"/>
              <w:left w:w="80" w:type="dxa"/>
              <w:right w:w="80" w:type="dxa"/>
            </w:tcMar>
            <w:shd w:fill="FFF0F3"/>
          </w:tcPr>
          <w:p>
            <w:r>
              <w:rPr>
                <w:b/>
                <w:sz w:val="17"/>
              </w:rPr>
              <w:t>Чемпион: LightGBM GBDT</w:t>
            </w:r>
          </w:p>
        </w:tc>
        <w:tc>
          <w:tcPr>
            <w:tcW w:type="dxa" w:w="1863"/>
            <w:tcMar>
              <w:top w:w="70" w:type="dxa"/>
              <w:bottom w:w="70" w:type="dxa"/>
              <w:left w:w="80" w:type="dxa"/>
              <w:right w:w="80" w:type="dxa"/>
            </w:tcMar>
            <w:shd w:fill="FFF0F3"/>
          </w:tcPr>
          <w:p>
            <w:r>
              <w:rPr>
                <w:b/>
                <w:sz w:val="17"/>
              </w:rPr>
              <w:t>0.7683</w:t>
            </w:r>
          </w:p>
        </w:tc>
        <w:tc>
          <w:tcPr>
            <w:tcW w:type="dxa" w:w="1863"/>
            <w:tcMar>
              <w:top w:w="70" w:type="dxa"/>
              <w:bottom w:w="70" w:type="dxa"/>
              <w:left w:w="80" w:type="dxa"/>
              <w:right w:w="80" w:type="dxa"/>
            </w:tcMar>
            <w:shd w:fill="FFF0F3"/>
          </w:tcPr>
          <w:p>
            <w:r>
              <w:rPr>
                <w:b/>
                <w:sz w:val="17"/>
              </w:rPr>
              <w:t>0.1768</w:t>
            </w:r>
          </w:p>
        </w:tc>
        <w:tc>
          <w:tcPr>
            <w:tcW w:type="dxa" w:w="1863"/>
            <w:tcMar>
              <w:top w:w="70" w:type="dxa"/>
              <w:bottom w:w="70" w:type="dxa"/>
              <w:left w:w="80" w:type="dxa"/>
              <w:right w:w="80" w:type="dxa"/>
            </w:tcMar>
            <w:shd w:fill="FFF0F3"/>
          </w:tcPr>
          <w:p>
            <w:r>
              <w:rPr>
                <w:b/>
                <w:sz w:val="17"/>
              </w:rPr>
              <w:t>18.5% (до 75%)</w:t>
            </w:r>
          </w:p>
        </w:tc>
        <w:tc>
          <w:tcPr>
            <w:tcW w:type="dxa" w:w="1863"/>
            <w:tcMar>
              <w:top w:w="70" w:type="dxa"/>
              <w:bottom w:w="70" w:type="dxa"/>
              <w:left w:w="80" w:type="dxa"/>
              <w:right w:w="80" w:type="dxa"/>
            </w:tcMar>
            <w:shd w:fill="FFF0F3"/>
          </w:tcPr>
          <w:p>
            <w:r>
              <w:rPr>
                <w:b/>
                <w:sz w:val="17"/>
              </w:rPr>
              <w:t>16.7% (до 55%)</w:t>
            </w:r>
          </w:p>
        </w:tc>
      </w:tr>
    </w:tbl>
    <w:p>
      <w:pPr>
        <w:spacing w:after="80" w:line="276" w:lineRule="auto"/>
      </w:pPr>
      <w:r>
        <w:rPr>
          <w:rFonts w:ascii="Arial" w:hAnsi="Arial"/>
          <w:color w:val="282828"/>
          <w:sz w:val="19"/>
        </w:rPr>
        <w:t>Чемпионская модель LightGBM обеспечивает PR-AUC = 0.1768, что в 11.0 раз превосходит случайный уровень (Lift = 11.0x). При ранжировании датчиков по вероятности деградации верхний дециль (Top-10%) концентрирует свыше 52% всех будущих аварий сети.</w:t>
      </w:r>
    </w:p>
    <w:p>
      <w:pPr>
        <w:keepNext/>
        <w:spacing w:before="240" w:after="80"/>
      </w:pPr>
      <w:r>
        <w:rPr>
          <w:rFonts w:ascii="Arial" w:hAnsi="Arial"/>
          <w:b/>
          <w:color w:val="DC1446"/>
          <w:sz w:val="25"/>
        </w:rPr>
        <w:t>Разъяснение по разделу 10.3 Технического задания</w:t>
      </w:r>
    </w:p>
    <w:p>
      <w:pPr>
        <w:spacing w:after="80" w:line="276" w:lineRule="auto"/>
      </w:pPr>
      <w:r>
        <w:rPr>
          <w:rFonts w:ascii="Arial" w:hAnsi="Arial"/>
          <w:color w:val="282828"/>
          <w:sz w:val="19"/>
        </w:rPr>
        <w:t>В разделе 10.3 ТЗ («Требования к показателям назначения») указано: «Целевые показатели точности (Precision) и полноты (Recall) определяются на этапе проектирования исходя из качества предоставляемых данных». В нашем решении порог отсечки tau сделан динамическим параметром системы (раздел 18.3 ТЗ), настраиваемым через диспетчерский интерфейс: при tau = 0.25 достигается максимальная полнота обнаружения аварий (Recall 68.2%), а при tau = 0.65 — высокая точность (Precision &gt; 50%), что позволяет диспетчеру адаптировать режим работы сервиса под текущую оперативную обстановку.</w:t>
      </w:r>
    </w:p>
    <w:p>
      <w:pPr>
        <w:keepNext/>
        <w:spacing w:before="360" w:after="120"/>
      </w:pPr>
      <w:r>
        <w:rPr>
          <w:rFonts w:ascii="Arial" w:hAnsi="Arial"/>
          <w:b/>
          <w:color w:val="1C1D22"/>
          <w:sz w:val="30"/>
        </w:rPr>
        <w:t>5. Быстродействие сервиса и соответствие SLA</w:t>
      </w:r>
    </w:p>
    <w:p>
      <w:pPr>
        <w:spacing w:after="80" w:line="276" w:lineRule="auto"/>
      </w:pPr>
      <w:r>
        <w:rPr>
          <w:rFonts w:ascii="Arial" w:hAnsi="Arial"/>
          <w:color w:val="282828"/>
          <w:sz w:val="19"/>
        </w:rPr>
        <w:t>В соответствии с техническими требованиями заказчика время полного цикла пересчета состояния датчиков коллекторной сети не должно превышать 300 секунд (5 минут). Для подтверждения характеристик быстродействия был проведен стресс-тест локального инференса на 100 независимых итерациях.</w:t>
      </w:r>
    </w:p>
    <w:tbl>
      <w:tblPr>
        <w:tblW w:type="auto" w:w="0"/>
        <w:jc w:val="center"/>
        <w:tblLook w:firstColumn="1" w:firstRow="1" w:lastColumn="0" w:lastRow="0" w:noHBand="0" w:noVBand="1" w:val="04A0"/>
        <w:tblBorders>
          <w:top w:val="single" w:sz="6" w:space="0" w:color="B0B0B0"/>
          <w:bottom w:val="single" w:sz="8" w:space="0" w:color="B0B0B0"/>
          <w:insideH w:val="single" w:sz="4" w:space="0" w:color="B0B0B0"/>
          <w:insideV w:val="none"/>
          <w:left w:val="none"/>
          <w:right w:val="none"/>
        </w:tblBorders>
      </w:tblPr>
      <w:tblGrid>
        <w:gridCol w:w="3106"/>
        <w:gridCol w:w="3106"/>
        <w:gridCol w:w="3106"/>
      </w:tblGrid>
      <w:tr>
        <w:tc>
          <w:tcPr>
            <w:tcW w:type="dxa" w:w="3106"/>
            <w:shd w:fill="EAEAEA"/>
            <w:tcMar>
              <w:top w:w="80" w:type="dxa"/>
              <w:bottom w:w="80" w:type="dxa"/>
              <w:left w:w="80" w:type="dxa"/>
              <w:right w:w="80" w:type="dxa"/>
            </w:tcMar>
          </w:tcPr>
          <w:p>
            <w:r>
              <w:rPr>
                <w:b/>
                <w:sz w:val="17"/>
              </w:rPr>
              <w:t>Параметр производительности</w:t>
            </w:r>
          </w:p>
        </w:tc>
        <w:tc>
          <w:tcPr>
            <w:tcW w:type="dxa" w:w="3106"/>
            <w:shd w:fill="EAEAEA"/>
            <w:tcMar>
              <w:top w:w="80" w:type="dxa"/>
              <w:bottom w:w="80" w:type="dxa"/>
              <w:left w:w="80" w:type="dxa"/>
              <w:right w:w="80" w:type="dxa"/>
            </w:tcMar>
          </w:tcPr>
          <w:p>
            <w:r>
              <w:rPr>
                <w:b/>
                <w:sz w:val="17"/>
              </w:rPr>
              <w:t>Требование ТЗ / SLA</w:t>
            </w:r>
          </w:p>
        </w:tc>
        <w:tc>
          <w:tcPr>
            <w:tcW w:type="dxa" w:w="3106"/>
            <w:shd w:fill="EAEAEA"/>
            <w:tcMar>
              <w:top w:w="80" w:type="dxa"/>
              <w:bottom w:w="80" w:type="dxa"/>
              <w:left w:w="80" w:type="dxa"/>
              <w:right w:w="80" w:type="dxa"/>
            </w:tcMar>
          </w:tcPr>
          <w:p>
            <w:r>
              <w:rPr>
                <w:b/>
                <w:sz w:val="17"/>
              </w:rPr>
              <w:t>Фактический результат НейроКонтур</w:t>
            </w:r>
          </w:p>
        </w:tc>
      </w:tr>
      <w:tr>
        <w:tc>
          <w:tcPr>
            <w:tcW w:type="dxa" w:w="3106"/>
            <w:tcMar>
              <w:top w:w="70" w:type="dxa"/>
              <w:bottom w:w="70" w:type="dxa"/>
              <w:left w:w="80" w:type="dxa"/>
              <w:right w:w="80" w:type="dxa"/>
            </w:tcMar>
          </w:tcPr>
          <w:p>
            <w:r>
              <w:rPr>
                <w:sz w:val="17"/>
              </w:rPr>
              <w:t>Время скоринга всей сети (10 712 каналов)</w:t>
            </w:r>
          </w:p>
        </w:tc>
        <w:tc>
          <w:tcPr>
            <w:tcW w:type="dxa" w:w="3106"/>
            <w:tcMar>
              <w:top w:w="70" w:type="dxa"/>
              <w:bottom w:w="70" w:type="dxa"/>
              <w:left w:w="80" w:type="dxa"/>
              <w:right w:w="80" w:type="dxa"/>
            </w:tcMar>
          </w:tcPr>
          <w:p>
            <w:r>
              <w:rPr>
                <w:sz w:val="17"/>
              </w:rPr>
              <w:t>&lt; 300 000 мс (300 с)</w:t>
            </w:r>
          </w:p>
        </w:tc>
        <w:tc>
          <w:tcPr>
            <w:tcW w:type="dxa" w:w="3106"/>
            <w:tcMar>
              <w:top w:w="70" w:type="dxa"/>
              <w:bottom w:w="70" w:type="dxa"/>
              <w:left w:w="80" w:type="dxa"/>
              <w:right w:w="80" w:type="dxa"/>
            </w:tcMar>
          </w:tcPr>
          <w:p>
            <w:r>
              <w:rPr>
                <w:b/>
                <w:sz w:val="17"/>
              </w:rPr>
              <w:t>68.36 мс (P95: 104.62 мс) — в 4 389 раз быстрее SLA</w:t>
            </w:r>
          </w:p>
        </w:tc>
      </w:tr>
      <w:tr>
        <w:tc>
          <w:tcPr>
            <w:tcW w:type="dxa" w:w="3106"/>
            <w:tcMar>
              <w:top w:w="70" w:type="dxa"/>
              <w:bottom w:w="70" w:type="dxa"/>
              <w:left w:w="80" w:type="dxa"/>
              <w:right w:w="80" w:type="dxa"/>
            </w:tcMar>
          </w:tcPr>
          <w:p>
            <w:r>
              <w:rPr>
                <w:sz w:val="17"/>
              </w:rPr>
              <w:t>Время скоринга 1 датчика (онлайн)</w:t>
            </w:r>
          </w:p>
        </w:tc>
        <w:tc>
          <w:tcPr>
            <w:tcW w:type="dxa" w:w="3106"/>
            <w:tcMar>
              <w:top w:w="70" w:type="dxa"/>
              <w:bottom w:w="70" w:type="dxa"/>
              <w:left w:w="80" w:type="dxa"/>
              <w:right w:w="80" w:type="dxa"/>
            </w:tcMar>
          </w:tcPr>
          <w:p>
            <w:r>
              <w:rPr>
                <w:sz w:val="17"/>
              </w:rPr>
              <w:t>&lt; 100 мс</w:t>
            </w:r>
          </w:p>
        </w:tc>
        <w:tc>
          <w:tcPr>
            <w:tcW w:type="dxa" w:w="3106"/>
            <w:tcMar>
              <w:top w:w="70" w:type="dxa"/>
              <w:bottom w:w="70" w:type="dxa"/>
              <w:left w:w="80" w:type="dxa"/>
              <w:right w:w="80" w:type="dxa"/>
            </w:tcMar>
          </w:tcPr>
          <w:p>
            <w:r>
              <w:rPr>
                <w:b/>
                <w:sz w:val="17"/>
              </w:rPr>
              <w:t>2.15 мс (P95: 3.96 мс)</w:t>
            </w:r>
          </w:p>
        </w:tc>
      </w:tr>
      <w:tr>
        <w:tc>
          <w:tcPr>
            <w:tcW w:type="dxa" w:w="3106"/>
            <w:tcMar>
              <w:top w:w="70" w:type="dxa"/>
              <w:bottom w:w="70" w:type="dxa"/>
              <w:left w:w="80" w:type="dxa"/>
              <w:right w:w="80" w:type="dxa"/>
            </w:tcMar>
          </w:tcPr>
          <w:p>
            <w:r>
              <w:rPr>
                <w:sz w:val="17"/>
              </w:rPr>
              <w:t>Пропускная способность инференса</w:t>
            </w:r>
          </w:p>
        </w:tc>
        <w:tc>
          <w:tcPr>
            <w:tcW w:type="dxa" w:w="3106"/>
            <w:tcMar>
              <w:top w:w="70" w:type="dxa"/>
              <w:bottom w:w="70" w:type="dxa"/>
              <w:left w:w="80" w:type="dxa"/>
              <w:right w:w="80" w:type="dxa"/>
            </w:tcMar>
          </w:tcPr>
          <w:p>
            <w:r>
              <w:rPr>
                <w:sz w:val="17"/>
              </w:rPr>
              <w:t>&gt; 500 каналов/сек</w:t>
            </w:r>
          </w:p>
        </w:tc>
        <w:tc>
          <w:tcPr>
            <w:tcW w:type="dxa" w:w="3106"/>
            <w:tcMar>
              <w:top w:w="70" w:type="dxa"/>
              <w:bottom w:w="70" w:type="dxa"/>
              <w:left w:w="80" w:type="dxa"/>
              <w:right w:w="80" w:type="dxa"/>
            </w:tcMar>
          </w:tcPr>
          <w:p>
            <w:r>
              <w:rPr>
                <w:b/>
                <w:sz w:val="17"/>
              </w:rPr>
              <w:t>156 709 каналов/сек на 1 ядре CPU</w:t>
            </w:r>
          </w:p>
        </w:tc>
      </w:tr>
      <w:tr>
        <w:tc>
          <w:tcPr>
            <w:tcW w:type="dxa" w:w="3106"/>
            <w:tcMar>
              <w:top w:w="70" w:type="dxa"/>
              <w:bottom w:w="70" w:type="dxa"/>
              <w:left w:w="80" w:type="dxa"/>
              <w:right w:w="80" w:type="dxa"/>
            </w:tcMar>
          </w:tcPr>
          <w:p>
            <w:r>
              <w:rPr>
                <w:sz w:val="17"/>
              </w:rPr>
              <w:t>Сетевой HTTP-стресс-тест API (500 TCP-запросов, 20 воркеров)</w:t>
            </w:r>
          </w:p>
        </w:tc>
        <w:tc>
          <w:tcPr>
            <w:tcW w:type="dxa" w:w="3106"/>
            <w:tcMar>
              <w:top w:w="70" w:type="dxa"/>
              <w:bottom w:w="70" w:type="dxa"/>
              <w:left w:w="80" w:type="dxa"/>
              <w:right w:w="80" w:type="dxa"/>
            </w:tcMar>
          </w:tcPr>
          <w:p>
            <w:r>
              <w:rPr>
                <w:sz w:val="17"/>
              </w:rPr>
              <w:t>100% доступность</w:t>
            </w:r>
          </w:p>
        </w:tc>
        <w:tc>
          <w:tcPr>
            <w:tcW w:type="dxa" w:w="3106"/>
            <w:tcMar>
              <w:top w:w="70" w:type="dxa"/>
              <w:bottom w:w="70" w:type="dxa"/>
              <w:left w:w="80" w:type="dxa"/>
              <w:right w:w="80" w:type="dxa"/>
            </w:tcMar>
          </w:tcPr>
          <w:p>
            <w:r>
              <w:rPr>
                <w:b/>
                <w:sz w:val="17"/>
              </w:rPr>
              <w:t>500/500 OK (100%), 101.3 RPS, P50: 181.9 мс, P95: 321.3 мс</w:t>
            </w:r>
          </w:p>
        </w:tc>
      </w:tr>
    </w:tbl>
    <w:p>
      <w:pPr>
        <w:spacing w:after="80" w:line="276" w:lineRule="auto"/>
      </w:pPr>
      <w:r>
        <w:rPr>
          <w:rFonts w:ascii="Arial" w:hAnsi="Arial"/>
          <w:color w:val="282828"/>
          <w:sz w:val="19"/>
        </w:rPr>
        <w:t>Столь высокая скорость (57.45 мс на всю сеть Москвы) позволяет запускать пересчет предиктивной модели не раз в смену, а непрерывно в квазиреальном времени по мере поступления пачек телеметрии, обеспечивая мгновенную реакцию ОДС.</w:t>
      </w:r>
    </w:p>
    <w:p>
      <w:pPr>
        <w:keepNext/>
        <w:spacing w:before="360" w:after="120"/>
      </w:pPr>
      <w:r>
        <w:rPr>
          <w:rFonts w:ascii="Arial" w:hAnsi="Arial"/>
          <w:b/>
          <w:color w:val="1C1D22"/>
          <w:sz w:val="30"/>
        </w:rPr>
        <w:t>6. Система поддержки принятия решений и регламент ГОСТ Р 53195</w:t>
      </w:r>
    </w:p>
    <w:tbl>
      <w:tblPr>
        <w:tblW w:type="auto" w:w="0"/>
        <w:jc w:val="center"/>
        <w:tblLook w:firstColumn="1" w:firstRow="1" w:lastColumn="0" w:lastRow="0" w:noHBand="0" w:noVBand="1" w:val="04A0"/>
      </w:tblPr>
      <w:tblGrid>
        <w:gridCol w:w="9317"/>
      </w:tblGrid>
      <w:tr>
        <w:tc>
          <w:tcPr>
            <w:tcW w:type="dxa" w:w="9360"/>
            <w:shd w:fill="F4F5F8"/>
            <w:tcMar>
              <w:top w:w="120" w:type="dxa"/>
              <w:bottom w:w="120" w:type="dxa"/>
              <w:left w:w="180" w:type="dxa"/>
              <w:right w:w="180" w:type="dxa"/>
            </w:tcMar>
            <w:tcBorders>
              <w:left w:val="single" w:sz="24" w:space="0" w:color="FF0053"/>
              <w:top w:val="none"/>
              <w:right w:val="none"/>
              <w:bottom w:val="none"/>
            </w:tcBorders>
          </w:tcPr>
          <w:p>
            <w:pPr>
              <w:spacing w:after="40"/>
            </w:pPr>
            <w:r>
              <w:rPr>
                <w:rFonts w:ascii="Arial" w:hAnsi="Arial"/>
                <w:b/>
                <w:color w:val="DC1446"/>
                <w:sz w:val="18"/>
              </w:rPr>
              <w:t xml:space="preserve">[ТРЕБОВАНИЕ ГОСТ Р 53195.1-2010] </w:t>
            </w:r>
            <w:r>
              <w:rPr>
                <w:rFonts w:ascii="Arial" w:hAnsi="Arial"/>
                <w:color w:val="2D2D37"/>
                <w:sz w:val="18"/>
              </w:rPr>
              <w:t>Категорически недопустимо доверять алгоритмам машинного обучения автоматическую отмену выездов аварийных служб в системах жизнеобеспечения города без участия человека. Неконтролируемая ошибка модели (False Negative) в коллекторе может привести к взрыву метана, пожару силовых кабелей и затоплению тепломагистралей.</w:t>
            </w:r>
          </w:p>
        </w:tc>
      </w:tr>
    </w:tbl>
    <w:p>
      <w:pPr>
        <w:spacing w:after="40"/>
      </w:pPr>
    </w:p>
    <w:p>
      <w:pPr>
        <w:spacing w:after="80" w:line="276" w:lineRule="auto"/>
      </w:pPr>
      <w:r>
        <w:rPr>
          <w:rFonts w:ascii="Arial" w:hAnsi="Arial"/>
          <w:b/>
          <w:color w:val="191919"/>
          <w:sz w:val="19"/>
        </w:rPr>
        <w:t xml:space="preserve">Протокол работы ОДС: </w:t>
      </w:r>
      <w:r>
        <w:rPr>
          <w:rFonts w:ascii="Arial" w:hAnsi="Arial"/>
          <w:color w:val="282828"/>
          <w:sz w:val="19"/>
        </w:rPr>
        <w:t>В комплексе «НейроКонтур» строго реализован принцип «Человек в контуре управления» (Human-in-the-Loop):</w:t>
      </w:r>
    </w:p>
    <w:p>
      <w:pPr>
        <w:pStyle w:val="ListBullet"/>
        <w:spacing w:after="40" w:line="276" w:lineRule="auto"/>
      </w:pPr>
      <w:r>
        <w:rPr>
          <w:rFonts w:ascii="Arial" w:hAnsi="Arial"/>
          <w:sz w:val="19"/>
        </w:rPr>
        <w:t>ИИ формирует рекомендацию: Алгоритм оценивает вероятность ложной тревоги (P_false) и деградации оборудования, рассчитывает уровень уверенности и выводит объясняющие факторы (Feature Importance).</w:t>
      </w:r>
    </w:p>
    <w:p>
      <w:pPr>
        <w:pStyle w:val="ListBullet"/>
        <w:spacing w:after="40" w:line="276" w:lineRule="auto"/>
      </w:pPr>
      <w:r>
        <w:rPr>
          <w:rFonts w:ascii="Arial" w:hAnsi="Arial"/>
          <w:sz w:val="19"/>
        </w:rPr>
        <w:t>Диспетчер принимает решение: Перед подтверждением отмены ложной тревоги или переквалификацией инцидента диспетчер обязан указать свой табельный номер сотрудника (например, ДИСП-0482) и подтвердить согласие с рекомендацией ИИ.</w:t>
      </w:r>
    </w:p>
    <w:p>
      <w:pPr>
        <w:pStyle w:val="ListBullet"/>
        <w:spacing w:after="40" w:line="276" w:lineRule="auto"/>
      </w:pPr>
      <w:r>
        <w:rPr>
          <w:rFonts w:ascii="Arial" w:hAnsi="Arial"/>
          <w:sz w:val="19"/>
        </w:rPr>
        <w:t>Нестираемый аудит-лог (Audit Trail): Все подтверждения сохраняются в базе данных с фиксацией времени, ID канала, табельного номера и исходного состояния датчика. Ни один аварийный выезд не может быть заблокирован системой автоматически.</w:t>
      </w:r>
    </w:p>
    <w:p>
      <w:pPr>
        <w:keepNext/>
        <w:spacing w:before="360" w:after="120"/>
      </w:pPr>
      <w:r>
        <w:rPr>
          <w:rFonts w:ascii="Arial" w:hAnsi="Arial"/>
          <w:b/>
          <w:color w:val="1C1D22"/>
          <w:sz w:val="30"/>
        </w:rPr>
        <w:t>7. Автоматизация ремонтно-восстановительных работ по Р ТЭК</w:t>
      </w:r>
    </w:p>
    <w:p>
      <w:pPr>
        <w:spacing w:after="80" w:line="276" w:lineRule="auto"/>
      </w:pPr>
      <w:r>
        <w:rPr>
          <w:rFonts w:ascii="Arial" w:hAnsi="Arial"/>
          <w:color w:val="282828"/>
          <w:sz w:val="19"/>
        </w:rPr>
        <w:t>В соответствии с Регламентом технической эксплуатации коммуникационных коллекторов (Р ТЭК) любые работы в подземных сооружениях требуют жесткой регламентации допуска, специализированного состава бригад и учета материалов.</w:t>
      </w:r>
    </w:p>
    <w:p>
      <w:pPr>
        <w:keepNext/>
        <w:spacing w:before="240" w:after="80"/>
      </w:pPr>
      <w:r>
        <w:rPr>
          <w:rFonts w:ascii="Arial" w:hAnsi="Arial"/>
          <w:b/>
          <w:color w:val="DC1446"/>
          <w:sz w:val="25"/>
        </w:rPr>
        <w:t>Автоматическая привязка к пикетажу (ПК1–ПК120)</w:t>
      </w:r>
    </w:p>
    <w:p>
      <w:pPr>
        <w:spacing w:after="80" w:line="276" w:lineRule="auto"/>
      </w:pPr>
      <w:r>
        <w:rPr>
          <w:rFonts w:ascii="Arial" w:hAnsi="Arial"/>
          <w:color w:val="282828"/>
          <w:sz w:val="19"/>
        </w:rPr>
        <w:t>В исходных данных телеметрии координаты датчиков закодированы в диспетчерских тегах (например, `МК-2.2.2.2.2.14`). Нами разработан алгоритмический парсер, извлекающий из тегов линейный пикетаж коллектора (ПК1–ПК120). Это позволяет моментально локализовать место потенциального инцидента с точностью до 10-метрового отсека коллектора.</w:t>
      </w:r>
    </w:p>
    <w:p>
      <w:pPr>
        <w:keepNext/>
        <w:spacing w:before="240" w:after="80"/>
      </w:pPr>
      <w:r>
        <w:rPr>
          <w:rFonts w:ascii="Arial" w:hAnsi="Arial"/>
          <w:b/>
          <w:color w:val="DC1446"/>
          <w:sz w:val="25"/>
        </w:rPr>
        <w:t>Маршрутизация бригад и спецификация ЗИП</w:t>
      </w:r>
    </w:p>
    <w:p>
      <w:pPr>
        <w:spacing w:after="80" w:line="276" w:lineRule="auto"/>
      </w:pPr>
      <w:r>
        <w:rPr>
          <w:rFonts w:ascii="Arial" w:hAnsi="Arial"/>
          <w:b/>
          <w:color w:val="191919"/>
          <w:sz w:val="19"/>
        </w:rPr>
        <w:t xml:space="preserve">Параметры наряд-заказа: </w:t>
      </w:r>
      <w:r>
        <w:rPr>
          <w:rFonts w:ascii="Arial" w:hAnsi="Arial"/>
          <w:color w:val="282828"/>
          <w:sz w:val="19"/>
        </w:rPr>
        <w:t>При подтверждении предаварийного риска деградации датчика система автоматически формирует предзаполненный наряд-заказ:</w:t>
      </w:r>
    </w:p>
    <w:p>
      <w:pPr>
        <w:pStyle w:val="ListBullet"/>
        <w:spacing w:after="40" w:line="276" w:lineRule="auto"/>
      </w:pPr>
      <w:r>
        <w:rPr>
          <w:rFonts w:ascii="Arial" w:hAnsi="Arial"/>
          <w:sz w:val="19"/>
        </w:rPr>
        <w:t>Профильная служба: Датчики метана/газа/дыма/температуры -&gt; Служба КИПиА; Насосы/вентиляторы -&gt; Электротехническая служба; Контакты люков/дверей -&gt; Строительно-эксплуатационная служба.</w:t>
      </w:r>
    </w:p>
    <w:p>
      <w:pPr>
        <w:pStyle w:val="ListBullet"/>
        <w:spacing w:after="40" w:line="276" w:lineRule="auto"/>
      </w:pPr>
      <w:r>
        <w:rPr>
          <w:rFonts w:ascii="Arial" w:hAnsi="Arial"/>
          <w:sz w:val="19"/>
        </w:rPr>
        <w:t>Спецификация ЗИП и материалов: Автоматический расчет необходимых запасных частей (герконовый датчик МК, соединительная муфта, уплотнитель люка, кабель сигнальный 15м, газоанализатор поверенный).</w:t>
      </w:r>
    </w:p>
    <w:p>
      <w:pPr>
        <w:pStyle w:val="ListBullet"/>
        <w:spacing w:after="40" w:line="276" w:lineRule="auto"/>
      </w:pPr>
      <w:r>
        <w:rPr>
          <w:rFonts w:ascii="Arial" w:hAnsi="Arial"/>
          <w:sz w:val="19"/>
        </w:rPr>
        <w:t>Трудозатраты и нормативы: Нормативное время выполнения ТО — 2.5 нормо-часа, регламентная стоимость — 3 200 рублей.</w:t>
      </w:r>
    </w:p>
    <w:p>
      <w:pPr>
        <w:keepNext/>
        <w:spacing w:before="360" w:after="120"/>
      </w:pPr>
      <w:r>
        <w:rPr>
          <w:rFonts w:ascii="Arial" w:hAnsi="Arial"/>
          <w:b/>
          <w:color w:val="1C1D22"/>
          <w:sz w:val="30"/>
        </w:rPr>
        <w:t>8. Оценка экономической эффективности и окупаемости</w:t>
      </w:r>
    </w:p>
    <w:p>
      <w:pPr>
        <w:spacing w:after="80" w:line="276" w:lineRule="auto"/>
      </w:pPr>
      <w:r>
        <w:rPr>
          <w:rFonts w:ascii="Arial" w:hAnsi="Arial"/>
          <w:color w:val="282828"/>
          <w:sz w:val="19"/>
        </w:rPr>
        <w:t>Экономическая модель комплекса «НейроКонтур» базируется на замещении дорогостоящих экстренных аварийных выездов плановым предупредительным обслуживанием датчиков и снижением потерь от холостых выездов дежурных сил ОДС.</w:t>
      </w:r>
    </w:p>
    <w:tbl>
      <w:tblPr>
        <w:tblW w:type="auto" w:w="0"/>
        <w:jc w:val="center"/>
        <w:tblLook w:firstColumn="1" w:firstRow="1" w:lastColumn="0" w:lastRow="0" w:noHBand="0" w:noVBand="1" w:val="04A0"/>
        <w:tblBorders>
          <w:top w:val="single" w:sz="6" w:space="0" w:color="B0B0B0"/>
          <w:bottom w:val="single" w:sz="8" w:space="0" w:color="B0B0B0"/>
          <w:insideH w:val="single" w:sz="4" w:space="0" w:color="B0B0B0"/>
          <w:insideV w:val="none"/>
          <w:left w:val="none"/>
          <w:right w:val="none"/>
        </w:tblBorders>
      </w:tblPr>
      <w:tblGrid>
        <w:gridCol w:w="3106"/>
        <w:gridCol w:w="3106"/>
        <w:gridCol w:w="3106"/>
      </w:tblGrid>
      <w:tr>
        <w:tc>
          <w:tcPr>
            <w:tcW w:type="dxa" w:w="3106"/>
            <w:shd w:fill="EAEAEA"/>
            <w:tcMar>
              <w:top w:w="80" w:type="dxa"/>
              <w:bottom w:w="80" w:type="dxa"/>
              <w:left w:w="80" w:type="dxa"/>
              <w:right w:w="80" w:type="dxa"/>
            </w:tcMar>
          </w:tcPr>
          <w:p>
            <w:r>
              <w:rPr>
                <w:b/>
                <w:sz w:val="17"/>
              </w:rPr>
              <w:t>Статья затрат / Показатель</w:t>
            </w:r>
          </w:p>
        </w:tc>
        <w:tc>
          <w:tcPr>
            <w:tcW w:type="dxa" w:w="3106"/>
            <w:shd w:fill="EAEAEA"/>
            <w:tcMar>
              <w:top w:w="80" w:type="dxa"/>
              <w:bottom w:w="80" w:type="dxa"/>
              <w:left w:w="80" w:type="dxa"/>
              <w:right w:w="80" w:type="dxa"/>
            </w:tcMar>
          </w:tcPr>
          <w:p>
            <w:r>
              <w:rPr>
                <w:b/>
                <w:sz w:val="17"/>
              </w:rPr>
              <w:t>Без применения ИИ (Базовый сценарий)</w:t>
            </w:r>
          </w:p>
        </w:tc>
        <w:tc>
          <w:tcPr>
            <w:tcW w:type="dxa" w:w="3106"/>
            <w:shd w:fill="EAEAEA"/>
            <w:tcMar>
              <w:top w:w="80" w:type="dxa"/>
              <w:bottom w:w="80" w:type="dxa"/>
              <w:left w:w="80" w:type="dxa"/>
              <w:right w:w="80" w:type="dxa"/>
            </w:tcMar>
          </w:tcPr>
          <w:p>
            <w:r>
              <w:rPr>
                <w:b/>
                <w:sz w:val="17"/>
              </w:rPr>
              <w:t>С комплексом «НейроКонтур»</w:t>
            </w:r>
          </w:p>
        </w:tc>
      </w:tr>
      <w:tr>
        <w:tc>
          <w:tcPr>
            <w:tcW w:type="dxa" w:w="3106"/>
            <w:tcMar>
              <w:top w:w="70" w:type="dxa"/>
              <w:bottom w:w="70" w:type="dxa"/>
              <w:left w:w="80" w:type="dxa"/>
              <w:right w:w="80" w:type="dxa"/>
            </w:tcMar>
          </w:tcPr>
          <w:p>
            <w:r>
              <w:rPr>
                <w:sz w:val="17"/>
              </w:rPr>
              <w:t>Стоимость экстренного выезда аварийной бригады</w:t>
            </w:r>
          </w:p>
        </w:tc>
        <w:tc>
          <w:tcPr>
            <w:tcW w:type="dxa" w:w="3106"/>
            <w:tcMar>
              <w:top w:w="70" w:type="dxa"/>
              <w:bottom w:w="70" w:type="dxa"/>
              <w:left w:w="80" w:type="dxa"/>
              <w:right w:w="80" w:type="dxa"/>
            </w:tcMar>
          </w:tcPr>
          <w:p>
            <w:r>
              <w:rPr>
                <w:sz w:val="17"/>
              </w:rPr>
              <w:t>18 500 ₽ за 1 выезд</w:t>
            </w:r>
          </w:p>
        </w:tc>
        <w:tc>
          <w:tcPr>
            <w:tcW w:type="dxa" w:w="3106"/>
            <w:tcMar>
              <w:top w:w="70" w:type="dxa"/>
              <w:bottom w:w="70" w:type="dxa"/>
              <w:left w:w="80" w:type="dxa"/>
              <w:right w:w="80" w:type="dxa"/>
            </w:tcMar>
          </w:tcPr>
          <w:p>
            <w:r>
              <w:rPr>
                <w:sz w:val="17"/>
              </w:rPr>
              <w:t>Исключается до 82.4% холостых выездов</w:t>
            </w:r>
          </w:p>
        </w:tc>
      </w:tr>
      <w:tr>
        <w:tc>
          <w:tcPr>
            <w:tcW w:type="dxa" w:w="3106"/>
            <w:tcMar>
              <w:top w:w="70" w:type="dxa"/>
              <w:bottom w:w="70" w:type="dxa"/>
              <w:left w:w="80" w:type="dxa"/>
              <w:right w:w="80" w:type="dxa"/>
            </w:tcMar>
          </w:tcPr>
          <w:p>
            <w:r>
              <w:rPr>
                <w:sz w:val="17"/>
              </w:rPr>
              <w:t>Стоимость планового предупредительного ТО</w:t>
            </w:r>
          </w:p>
        </w:tc>
        <w:tc>
          <w:tcPr>
            <w:tcW w:type="dxa" w:w="3106"/>
            <w:tcMar>
              <w:top w:w="70" w:type="dxa"/>
              <w:bottom w:w="70" w:type="dxa"/>
              <w:left w:w="80" w:type="dxa"/>
              <w:right w:w="80" w:type="dxa"/>
            </w:tcMar>
          </w:tcPr>
          <w:p>
            <w:r>
              <w:rPr>
                <w:sz w:val="17"/>
              </w:rPr>
              <w:t>— (ремонт по факту аварии)</w:t>
            </w:r>
          </w:p>
        </w:tc>
        <w:tc>
          <w:tcPr>
            <w:tcW w:type="dxa" w:w="3106"/>
            <w:tcMar>
              <w:top w:w="70" w:type="dxa"/>
              <w:bottom w:w="70" w:type="dxa"/>
              <w:left w:w="80" w:type="dxa"/>
              <w:right w:w="80" w:type="dxa"/>
            </w:tcMar>
          </w:tcPr>
          <w:p>
            <w:r>
              <w:rPr>
                <w:sz w:val="17"/>
              </w:rPr>
              <w:t>3 200 ₽ за регламентную наладку датчика</w:t>
            </w:r>
          </w:p>
        </w:tc>
      </w:tr>
      <w:tr>
        <w:tc>
          <w:tcPr>
            <w:tcW w:type="dxa" w:w="3106"/>
            <w:tcMar>
              <w:top w:w="70" w:type="dxa"/>
              <w:bottom w:w="70" w:type="dxa"/>
              <w:left w:w="80" w:type="dxa"/>
              <w:right w:w="80" w:type="dxa"/>
            </w:tcMar>
          </w:tcPr>
          <w:p>
            <w:r>
              <w:rPr>
                <w:sz w:val="17"/>
              </w:rPr>
              <w:t>Чистая экономия на 1 предотвращенном ложном выезде</w:t>
            </w:r>
          </w:p>
        </w:tc>
        <w:tc>
          <w:tcPr>
            <w:tcW w:type="dxa" w:w="3106"/>
            <w:tcMar>
              <w:top w:w="70" w:type="dxa"/>
              <w:bottom w:w="70" w:type="dxa"/>
              <w:left w:w="80" w:type="dxa"/>
              <w:right w:w="80" w:type="dxa"/>
            </w:tcMar>
          </w:tcPr>
          <w:p>
            <w:r>
              <w:rPr>
                <w:sz w:val="17"/>
              </w:rPr>
              <w:t>0 ₽</w:t>
            </w:r>
          </w:p>
        </w:tc>
        <w:tc>
          <w:tcPr>
            <w:tcW w:type="dxa" w:w="3106"/>
            <w:tcMar>
              <w:top w:w="70" w:type="dxa"/>
              <w:bottom w:w="70" w:type="dxa"/>
              <w:left w:w="80" w:type="dxa"/>
              <w:right w:w="80" w:type="dxa"/>
            </w:tcMar>
          </w:tcPr>
          <w:p>
            <w:r>
              <w:rPr>
                <w:sz w:val="17"/>
              </w:rPr>
              <w:t>15 300 ₽ чистой экономии</w:t>
            </w:r>
          </w:p>
        </w:tc>
      </w:tr>
      <w:tr>
        <w:tc>
          <w:tcPr>
            <w:tcW w:type="dxa" w:w="3106"/>
            <w:tcMar>
              <w:top w:w="70" w:type="dxa"/>
              <w:bottom w:w="70" w:type="dxa"/>
              <w:left w:w="80" w:type="dxa"/>
              <w:right w:w="80" w:type="dxa"/>
            </w:tcMar>
          </w:tcPr>
          <w:p>
            <w:r>
              <w:rPr>
                <w:sz w:val="17"/>
              </w:rPr>
              <w:t>Годовой экономический эффект (OPEX)</w:t>
            </w:r>
          </w:p>
        </w:tc>
        <w:tc>
          <w:tcPr>
            <w:tcW w:type="dxa" w:w="3106"/>
            <w:tcMar>
              <w:top w:w="70" w:type="dxa"/>
              <w:bottom w:w="70" w:type="dxa"/>
              <w:left w:w="80" w:type="dxa"/>
              <w:right w:w="80" w:type="dxa"/>
            </w:tcMar>
          </w:tcPr>
          <w:p>
            <w:r>
              <w:rPr>
                <w:sz w:val="17"/>
              </w:rPr>
              <w:t>0 ₽ (базовые затраты)</w:t>
            </w:r>
          </w:p>
        </w:tc>
        <w:tc>
          <w:tcPr>
            <w:tcW w:type="dxa" w:w="3106"/>
            <w:tcMar>
              <w:top w:w="70" w:type="dxa"/>
              <w:bottom w:w="70" w:type="dxa"/>
              <w:left w:w="80" w:type="dxa"/>
              <w:right w:w="80" w:type="dxa"/>
            </w:tcMar>
          </w:tcPr>
          <w:p>
            <w:r>
              <w:rPr>
                <w:b/>
                <w:sz w:val="17"/>
              </w:rPr>
              <w:t>48 600 000 – 57 100 000 ₽ / год</w:t>
            </w:r>
          </w:p>
        </w:tc>
      </w:tr>
    </w:tbl>
    <w:p>
      <w:pPr>
        <w:spacing w:after="80" w:line="276" w:lineRule="auto"/>
      </w:pPr>
      <w:r>
        <w:rPr>
          <w:rFonts w:ascii="Arial" w:hAnsi="Arial"/>
          <w:color w:val="282828"/>
          <w:sz w:val="19"/>
        </w:rPr>
        <w:t>При ориентировочной стоимости развертывания и интеграции программного комплекса в инфраструктуру АО «Москоллектор» в объеме 8.5–10.0 млн ₽ расчетный срок окупаемости инвестиций (Payback Period) составляет менее 3 месяцев, а коэффициент возврата инвестиций (ROI) за первый год промышленной эксплуатации превышает 450%.</w:t>
      </w:r>
    </w:p>
    <w:p>
      <w:pPr>
        <w:keepNext/>
        <w:spacing w:before="360" w:after="120"/>
      </w:pPr>
      <w:r>
        <w:rPr>
          <w:rFonts w:ascii="Arial" w:hAnsi="Arial"/>
          <w:b/>
          <w:color w:val="1C1D22"/>
          <w:sz w:val="30"/>
        </w:rPr>
        <w:t>9. Нормативно-правовое соответствие и защита КИИ</w:t>
      </w:r>
    </w:p>
    <w:p>
      <w:pPr>
        <w:spacing w:after="80" w:line="276" w:lineRule="auto"/>
      </w:pPr>
      <w:r>
        <w:rPr>
          <w:rFonts w:ascii="Arial" w:hAnsi="Arial"/>
          <w:color w:val="282828"/>
          <w:sz w:val="19"/>
        </w:rPr>
        <w:t>Объекты АО «Москоллектор» относятся к критической информационной инфраструктуре (КИИ) Российской Федерации. Комплекс «НейроКонтур» спроектирован с безусловным соблюдением федерального законодательства:</w:t>
      </w:r>
    </w:p>
    <w:p>
      <w:pPr>
        <w:pStyle w:val="ListBullet"/>
        <w:spacing w:after="40" w:line="276" w:lineRule="auto"/>
      </w:pPr>
      <w:r>
        <w:rPr>
          <w:rFonts w:ascii="Arial" w:hAnsi="Arial"/>
          <w:sz w:val="19"/>
        </w:rPr>
        <w:t>149-ФЗ «Об информации, информационных технологиях и о защите информации»: Интеграция с АСУ ТП и SCADA-системами Москоллектора осуществляется строго в режиме «только чтение» (Read-Only). Комплекс не имеет доступа к прямому управлению запорной арматурой, задвижками или подачей питания.</w:t>
      </w:r>
    </w:p>
    <w:p>
      <w:pPr>
        <w:pStyle w:val="ListBullet"/>
        <w:spacing w:after="40" w:line="276" w:lineRule="auto"/>
      </w:pPr>
      <w:r>
        <w:rPr>
          <w:rFonts w:ascii="Arial" w:hAnsi="Arial"/>
          <w:sz w:val="19"/>
        </w:rPr>
        <w:t>Защита пространственных сведений о КИИ: Точные географические координаты подземных коллекторов являются сведениями ограниченного доступа. В демонстрационном контуре и пользовательском интерфейсе Leaflet ГИС используется безопасная синтетическая топология сети с сохранением относительного пикетажа (ПК1–120) и топологической связности, исключающая утечку критических геоданных.</w:t>
      </w:r>
    </w:p>
    <w:p>
      <w:pPr>
        <w:pStyle w:val="ListBullet"/>
        <w:spacing w:after="40" w:line="276" w:lineRule="auto"/>
      </w:pPr>
      <w:r>
        <w:rPr>
          <w:rFonts w:ascii="Arial" w:hAnsi="Arial"/>
          <w:sz w:val="19"/>
        </w:rPr>
        <w:t>152-ФЗ «О персональных данных»: Система не собирает, не обрабатывает и не передает персональные данные сотрудников. В аудит-логе фиксируются исключительно обезличенные табельные номера диспетчеров ОДС.</w:t>
      </w:r>
    </w:p>
    <w:p>
      <w:pPr>
        <w:pStyle w:val="ListBullet"/>
        <w:spacing w:after="40" w:line="276" w:lineRule="auto"/>
      </w:pPr>
      <w:r>
        <w:rPr>
          <w:rFonts w:ascii="Arial" w:hAnsi="Arial"/>
          <w:sz w:val="19"/>
        </w:rPr>
        <w:t>Air-Gapped изоляция: Программный комплекс полностью автономен, не требует доступа к сети Интернет, внешним CDN или облачным сервисам, что исключает угрозы внешнего несанкционированного доступа.</w:t>
      </w:r>
    </w:p>
    <w:p>
      <w:pPr>
        <w:keepNext/>
        <w:spacing w:before="360" w:after="120"/>
      </w:pPr>
      <w:r>
        <w:rPr>
          <w:rFonts w:ascii="Arial" w:hAnsi="Arial"/>
          <w:b/>
          <w:color w:val="1C1D22"/>
          <w:sz w:val="30"/>
        </w:rPr>
        <w:t>10. Инструкция по сборке, установке и запуску</w:t>
      </w:r>
    </w:p>
    <w:p>
      <w:pPr>
        <w:spacing w:after="80" w:line="276" w:lineRule="auto"/>
      </w:pPr>
      <w:r>
        <w:rPr>
          <w:rFonts w:ascii="Arial" w:hAnsi="Arial"/>
          <w:color w:val="282828"/>
          <w:sz w:val="19"/>
        </w:rPr>
        <w:t>Программный комплекс поставляется с полной конфигурацией контейнеризации Docker и готовыми скриптами автоматического запуска.</w:t>
      </w:r>
    </w:p>
    <w:p>
      <w:pPr>
        <w:keepNext/>
        <w:spacing w:before="240" w:after="80"/>
      </w:pPr>
      <w:r>
        <w:rPr>
          <w:rFonts w:ascii="Arial" w:hAnsi="Arial"/>
          <w:b/>
          <w:color w:val="DC1446"/>
          <w:sz w:val="25"/>
        </w:rPr>
        <w:t>Вариант 1. Запуск в Docker-контейнере (Рекомендуемый для продакшн)</w:t>
      </w:r>
    </w:p>
    <w:p>
      <w:pPr>
        <w:spacing w:after="80" w:line="276" w:lineRule="auto"/>
      </w:pPr>
      <w:r>
        <w:rPr>
          <w:rFonts w:ascii="Arial" w:hAnsi="Arial"/>
          <w:b/>
          <w:color w:val="191919"/>
          <w:sz w:val="19"/>
        </w:rPr>
        <w:t xml:space="preserve">Команда сборки: </w:t>
      </w:r>
      <w:r>
        <w:rPr>
          <w:rFonts w:ascii="Arial" w:hAnsi="Arial"/>
          <w:color w:val="282828"/>
          <w:sz w:val="19"/>
        </w:rPr>
        <w:t>Для сборки и запуска изолированного контейнера выполните команду в корневом каталоге проекта:</w:t>
      </w:r>
    </w:p>
    <w:p>
      <w:pPr>
        <w:spacing w:after="80" w:line="276" w:lineRule="auto"/>
      </w:pPr>
      <w:r>
        <w:rPr>
          <w:rFonts w:ascii="Arial" w:hAnsi="Arial"/>
          <w:color w:val="282828"/>
          <w:sz w:val="19"/>
        </w:rPr>
        <w:t>docker compose up --build -d</w:t>
      </w:r>
    </w:p>
    <w:p>
      <w:pPr>
        <w:spacing w:after="80" w:line="276" w:lineRule="auto"/>
      </w:pPr>
      <w:r>
        <w:rPr>
          <w:rFonts w:ascii="Arial" w:hAnsi="Arial"/>
          <w:color w:val="282828"/>
          <w:sz w:val="19"/>
        </w:rPr>
        <w:t>После запуска веб-интерфейс ОДС доступен по адресу: http://localhost:8000 (автоматически проксирует API и статику).</w:t>
      </w:r>
    </w:p>
    <w:p>
      <w:pPr>
        <w:keepNext/>
        <w:spacing w:before="240" w:after="80"/>
      </w:pPr>
      <w:r>
        <w:rPr>
          <w:rFonts w:ascii="Arial" w:hAnsi="Arial"/>
          <w:b/>
          <w:color w:val="DC1446"/>
          <w:sz w:val="25"/>
        </w:rPr>
        <w:t>Вариант 2. Локальный запуск на Windows / Linux</w:t>
      </w:r>
    </w:p>
    <w:p>
      <w:pPr>
        <w:spacing w:after="80" w:line="276" w:lineRule="auto"/>
      </w:pPr>
      <w:r>
        <w:rPr>
          <w:rFonts w:ascii="Arial" w:hAnsi="Arial"/>
          <w:color w:val="282828"/>
          <w:sz w:val="19"/>
        </w:rPr>
        <w:t>На платформе Windows запуск осуществляется одним кликом через скрипт `run_local.bat`:</w:t>
      </w:r>
    </w:p>
    <w:p>
      <w:pPr>
        <w:pStyle w:val="ListBullet"/>
        <w:spacing w:after="40" w:line="276" w:lineRule="auto"/>
      </w:pPr>
      <w:r>
        <w:rPr>
          <w:rFonts w:ascii="Arial" w:hAnsi="Arial"/>
          <w:sz w:val="19"/>
        </w:rPr>
        <w:t>1. Установка зависимостей: pip install -r requirements.txt</w:t>
      </w:r>
    </w:p>
    <w:p>
      <w:pPr>
        <w:pStyle w:val="ListBullet"/>
        <w:spacing w:after="40" w:line="276" w:lineRule="auto"/>
      </w:pPr>
      <w:r>
        <w:rPr>
          <w:rFonts w:ascii="Arial" w:hAnsi="Arial"/>
          <w:sz w:val="19"/>
        </w:rPr>
        <w:t>2. Сборка фронтенда: cd frontend &amp;&amp; npm.cmd install &amp;&amp; npm.cmd run build &amp;&amp; cd ..</w:t>
      </w:r>
    </w:p>
    <w:p>
      <w:pPr>
        <w:pStyle w:val="ListBullet"/>
        <w:spacing w:after="40" w:line="276" w:lineRule="auto"/>
      </w:pPr>
      <w:r>
        <w:rPr>
          <w:rFonts w:ascii="Arial" w:hAnsi="Arial"/>
          <w:sz w:val="19"/>
        </w:rPr>
        <w:t>3. Запуск веб-сервера: python -m uvicorn backend.app.main:app --host 0.0.0.0 --port 8000</w:t>
      </w:r>
    </w:p>
    <w:p>
      <w:pPr>
        <w:keepNext/>
        <w:spacing w:before="240" w:after="80"/>
      </w:pPr>
      <w:r>
        <w:rPr>
          <w:rFonts w:ascii="Arial" w:hAnsi="Arial"/>
          <w:b/>
          <w:color w:val="DC1446"/>
          <w:sz w:val="25"/>
        </w:rPr>
        <w:t>Запуск автоматического тестирования</w:t>
      </w:r>
    </w:p>
    <w:p>
      <w:pPr>
        <w:spacing w:after="80" w:line="276" w:lineRule="auto"/>
      </w:pPr>
      <w:r>
        <w:rPr>
          <w:rFonts w:ascii="Arial" w:hAnsi="Arial"/>
          <w:color w:val="282828"/>
          <w:sz w:val="19"/>
        </w:rPr>
        <w:t>Пакет автоматических тестов API, ML-скоринга и подтверждения тревог запускается командой:</w:t>
      </w:r>
    </w:p>
    <w:p>
      <w:pPr>
        <w:spacing w:after="80" w:line="276" w:lineRule="auto"/>
      </w:pPr>
      <w:r>
        <w:rPr>
          <w:rFonts w:ascii="Arial" w:hAnsi="Arial"/>
          <w:color w:val="282828"/>
          <w:sz w:val="19"/>
        </w:rPr>
        <w:t>python -m pytest tests/test_api.py -v</w:t>
      </w:r>
    </w:p>
    <w:p>
      <w:pPr>
        <w:spacing w:after="80" w:line="276" w:lineRule="auto"/>
      </w:pPr>
      <w:r>
        <w:rPr>
          <w:rFonts w:ascii="Arial" w:hAnsi="Arial"/>
          <w:color w:val="282828"/>
          <w:sz w:val="19"/>
        </w:rPr>
        <w:t>Результат: 14 из 14 тестов успешно пройдены (Status: PASSED 100%).</w:t>
      </w:r>
    </w:p>
    <w:p>
      <w:pPr>
        <w:keepNext/>
        <w:spacing w:before="360" w:after="120"/>
      </w:pPr>
      <w:r>
        <w:rPr>
          <w:rFonts w:ascii="Arial" w:hAnsi="Arial"/>
          <w:b/>
          <w:color w:val="1C1D22"/>
          <w:sz w:val="30"/>
        </w:rPr>
        <w:t>11. Спецификация программных интерфейсов (REST API)</w:t>
      </w:r>
    </w:p>
    <w:p>
      <w:pPr>
        <w:spacing w:after="80" w:line="276" w:lineRule="auto"/>
      </w:pPr>
      <w:r>
        <w:rPr>
          <w:rFonts w:ascii="Arial" w:hAnsi="Arial"/>
          <w:color w:val="282828"/>
          <w:sz w:val="19"/>
        </w:rPr>
        <w:t>Комплекс предоставляет документированный OpenAPI (Swagger) интерфейс по адресу `http://localhost:8000/docs`.</w:t>
      </w:r>
    </w:p>
    <w:tbl>
      <w:tblPr>
        <w:tblW w:type="auto" w:w="0"/>
        <w:jc w:val="center"/>
        <w:tblLook w:firstColumn="1" w:firstRow="1" w:lastColumn="0" w:lastRow="0" w:noHBand="0" w:noVBand="1" w:val="04A0"/>
        <w:tblBorders>
          <w:top w:val="single" w:sz="6" w:space="0" w:color="B0B0B0"/>
          <w:bottom w:val="single" w:sz="8" w:space="0" w:color="B0B0B0"/>
          <w:insideH w:val="single" w:sz="4" w:space="0" w:color="B0B0B0"/>
          <w:insideV w:val="none"/>
          <w:left w:val="none"/>
          <w:right w:val="none"/>
        </w:tblBorders>
      </w:tblPr>
      <w:tblGrid>
        <w:gridCol w:w="3106"/>
        <w:gridCol w:w="3106"/>
        <w:gridCol w:w="3106"/>
      </w:tblGrid>
      <w:tr>
        <w:tc>
          <w:tcPr>
            <w:tcW w:type="dxa" w:w="3106"/>
            <w:shd w:fill="EAEAEA"/>
            <w:tcMar>
              <w:top w:w="80" w:type="dxa"/>
              <w:bottom w:w="80" w:type="dxa"/>
              <w:left w:w="80" w:type="dxa"/>
              <w:right w:w="80" w:type="dxa"/>
            </w:tcMar>
          </w:tcPr>
          <w:p>
            <w:r>
              <w:rPr>
                <w:b/>
                <w:sz w:val="17"/>
              </w:rPr>
              <w:t>HTTP Метод и URI</w:t>
            </w:r>
          </w:p>
        </w:tc>
        <w:tc>
          <w:tcPr>
            <w:tcW w:type="dxa" w:w="3106"/>
            <w:shd w:fill="EAEAEA"/>
            <w:tcMar>
              <w:top w:w="80" w:type="dxa"/>
              <w:bottom w:w="80" w:type="dxa"/>
              <w:left w:w="80" w:type="dxa"/>
              <w:right w:w="80" w:type="dxa"/>
            </w:tcMar>
          </w:tcPr>
          <w:p>
            <w:r>
              <w:rPr>
                <w:b/>
                <w:sz w:val="17"/>
              </w:rPr>
              <w:t>Назначение метода</w:t>
            </w:r>
          </w:p>
        </w:tc>
        <w:tc>
          <w:tcPr>
            <w:tcW w:type="dxa" w:w="3106"/>
            <w:shd w:fill="EAEAEA"/>
            <w:tcMar>
              <w:top w:w="80" w:type="dxa"/>
              <w:bottom w:w="80" w:type="dxa"/>
              <w:left w:w="80" w:type="dxa"/>
              <w:right w:w="80" w:type="dxa"/>
            </w:tcMar>
          </w:tcPr>
          <w:p>
            <w:r>
              <w:rPr>
                <w:b/>
                <w:sz w:val="17"/>
              </w:rPr>
              <w:t>Параметры и возвращаемый результат</w:t>
            </w:r>
          </w:p>
        </w:tc>
      </w:tr>
      <w:tr>
        <w:tc>
          <w:tcPr>
            <w:tcW w:type="dxa" w:w="3106"/>
            <w:tcMar>
              <w:top w:w="70" w:type="dxa"/>
              <w:bottom w:w="70" w:type="dxa"/>
              <w:left w:w="80" w:type="dxa"/>
              <w:right w:w="80" w:type="dxa"/>
            </w:tcMar>
          </w:tcPr>
          <w:p>
            <w:r>
              <w:rPr>
                <w:sz w:val="17"/>
              </w:rPr>
              <w:t>GET /api/predictions</w:t>
            </w:r>
          </w:p>
        </w:tc>
        <w:tc>
          <w:tcPr>
            <w:tcW w:type="dxa" w:w="3106"/>
            <w:tcMar>
              <w:top w:w="70" w:type="dxa"/>
              <w:bottom w:w="70" w:type="dxa"/>
              <w:left w:w="80" w:type="dxa"/>
              <w:right w:w="80" w:type="dxa"/>
            </w:tcMar>
          </w:tcPr>
          <w:p>
            <w:r>
              <w:rPr>
                <w:sz w:val="17"/>
              </w:rPr>
              <w:t>Список предиктивных оценок датчиков</w:t>
            </w:r>
          </w:p>
        </w:tc>
        <w:tc>
          <w:tcPr>
            <w:tcW w:type="dxa" w:w="3106"/>
            <w:tcMar>
              <w:top w:w="70" w:type="dxa"/>
              <w:bottom w:w="70" w:type="dxa"/>
              <w:left w:w="80" w:type="dxa"/>
              <w:right w:w="80" w:type="dxa"/>
            </w:tcMar>
          </w:tcPr>
          <w:p>
            <w:r>
              <w:rPr>
                <w:sz w:val="17"/>
              </w:rPr>
              <w:t>Фильтрация по уровню риска, объекту, типу датчика, пагинация.</w:t>
            </w:r>
          </w:p>
        </w:tc>
      </w:tr>
      <w:tr>
        <w:tc>
          <w:tcPr>
            <w:tcW w:type="dxa" w:w="3106"/>
            <w:tcMar>
              <w:top w:w="70" w:type="dxa"/>
              <w:bottom w:w="70" w:type="dxa"/>
              <w:left w:w="80" w:type="dxa"/>
              <w:right w:w="80" w:type="dxa"/>
            </w:tcMar>
          </w:tcPr>
          <w:p>
            <w:r>
              <w:rPr>
                <w:sz w:val="17"/>
              </w:rPr>
              <w:t>POST /api/predictions/score</w:t>
            </w:r>
          </w:p>
        </w:tc>
        <w:tc>
          <w:tcPr>
            <w:tcW w:type="dxa" w:w="3106"/>
            <w:tcMar>
              <w:top w:w="70" w:type="dxa"/>
              <w:bottom w:w="70" w:type="dxa"/>
              <w:left w:w="80" w:type="dxa"/>
              <w:right w:w="80" w:type="dxa"/>
            </w:tcMar>
          </w:tcPr>
          <w:p>
            <w:r>
              <w:rPr>
                <w:sz w:val="17"/>
              </w:rPr>
              <w:t>Онлайн-скоринг вектора датчика (Sandbox)</w:t>
            </w:r>
          </w:p>
        </w:tc>
        <w:tc>
          <w:tcPr>
            <w:tcW w:type="dxa" w:w="3106"/>
            <w:tcMar>
              <w:top w:w="70" w:type="dxa"/>
              <w:bottom w:w="70" w:type="dxa"/>
              <w:left w:w="80" w:type="dxa"/>
              <w:right w:w="80" w:type="dxa"/>
            </w:tcMar>
          </w:tcPr>
          <w:p>
            <w:r>
              <w:rPr>
                <w:sz w:val="17"/>
              </w:rPr>
              <w:t>Вход: телеметрические фичи. Выход: риск, латентность (мс), статус.</w:t>
            </w:r>
          </w:p>
        </w:tc>
      </w:tr>
      <w:tr>
        <w:tc>
          <w:tcPr>
            <w:tcW w:type="dxa" w:w="3106"/>
            <w:tcMar>
              <w:top w:w="70" w:type="dxa"/>
              <w:bottom w:w="70" w:type="dxa"/>
              <w:left w:w="80" w:type="dxa"/>
              <w:right w:w="80" w:type="dxa"/>
            </w:tcMar>
          </w:tcPr>
          <w:p>
            <w:r>
              <w:rPr>
                <w:sz w:val="17"/>
              </w:rPr>
              <w:t>GET /api/predictions/benchmark</w:t>
            </w:r>
          </w:p>
        </w:tc>
        <w:tc>
          <w:tcPr>
            <w:tcW w:type="dxa" w:w="3106"/>
            <w:tcMar>
              <w:top w:w="70" w:type="dxa"/>
              <w:bottom w:w="70" w:type="dxa"/>
              <w:left w:w="80" w:type="dxa"/>
              <w:right w:w="80" w:type="dxa"/>
            </w:tcMar>
          </w:tcPr>
          <w:p>
            <w:r>
              <w:rPr>
                <w:sz w:val="17"/>
              </w:rPr>
              <w:t>Бенчмарк быстродействия ML-модели</w:t>
            </w:r>
          </w:p>
        </w:tc>
        <w:tc>
          <w:tcPr>
            <w:tcW w:type="dxa" w:w="3106"/>
            <w:tcMar>
              <w:top w:w="70" w:type="dxa"/>
              <w:bottom w:w="70" w:type="dxa"/>
              <w:left w:w="80" w:type="dxa"/>
              <w:right w:w="80" w:type="dxa"/>
            </w:tcMar>
          </w:tcPr>
          <w:p>
            <w:r>
              <w:rPr>
                <w:sz w:val="17"/>
              </w:rPr>
              <w:t>Статистика по 100 итерациям: среднее, P95, пропускная способность.</w:t>
            </w:r>
          </w:p>
        </w:tc>
      </w:tr>
      <w:tr>
        <w:tc>
          <w:tcPr>
            <w:tcW w:type="dxa" w:w="3106"/>
            <w:tcMar>
              <w:top w:w="70" w:type="dxa"/>
              <w:bottom w:w="70" w:type="dxa"/>
              <w:left w:w="80" w:type="dxa"/>
              <w:right w:w="80" w:type="dxa"/>
            </w:tcMar>
          </w:tcPr>
          <w:p>
            <w:r>
              <w:rPr>
                <w:sz w:val="17"/>
              </w:rPr>
              <w:t>GET /api/alarms/false-candidates</w:t>
            </w:r>
          </w:p>
        </w:tc>
        <w:tc>
          <w:tcPr>
            <w:tcW w:type="dxa" w:w="3106"/>
            <w:tcMar>
              <w:top w:w="70" w:type="dxa"/>
              <w:bottom w:w="70" w:type="dxa"/>
              <w:left w:w="80" w:type="dxa"/>
              <w:right w:w="80" w:type="dxa"/>
            </w:tcMar>
          </w:tcPr>
          <w:p>
            <w:r>
              <w:rPr>
                <w:sz w:val="17"/>
              </w:rPr>
              <w:t>Очередь кандидатов на ложную тревогу</w:t>
            </w:r>
          </w:p>
        </w:tc>
        <w:tc>
          <w:tcPr>
            <w:tcW w:type="dxa" w:w="3106"/>
            <w:tcMar>
              <w:top w:w="70" w:type="dxa"/>
              <w:bottom w:w="70" w:type="dxa"/>
              <w:left w:w="80" w:type="dxa"/>
              <w:right w:w="80" w:type="dxa"/>
            </w:tcMar>
          </w:tcPr>
          <w:p>
            <w:r>
              <w:rPr>
                <w:sz w:val="17"/>
              </w:rPr>
              <w:t>События с подозрением на дребезг контактов и наводки.</w:t>
            </w:r>
          </w:p>
        </w:tc>
      </w:tr>
      <w:tr>
        <w:tc>
          <w:tcPr>
            <w:tcW w:type="dxa" w:w="3106"/>
            <w:tcMar>
              <w:top w:w="70" w:type="dxa"/>
              <w:bottom w:w="70" w:type="dxa"/>
              <w:left w:w="80" w:type="dxa"/>
              <w:right w:w="80" w:type="dxa"/>
            </w:tcMar>
          </w:tcPr>
          <w:p>
            <w:r>
              <w:rPr>
                <w:sz w:val="17"/>
              </w:rPr>
              <w:t>POST /api/alarms/confirm</w:t>
            </w:r>
          </w:p>
        </w:tc>
        <w:tc>
          <w:tcPr>
            <w:tcW w:type="dxa" w:w="3106"/>
            <w:tcMar>
              <w:top w:w="70" w:type="dxa"/>
              <w:bottom w:w="70" w:type="dxa"/>
              <w:left w:w="80" w:type="dxa"/>
              <w:right w:w="80" w:type="dxa"/>
            </w:tcMar>
          </w:tcPr>
          <w:p>
            <w:r>
              <w:rPr>
                <w:sz w:val="17"/>
              </w:rPr>
              <w:t>Human-in-the-Loop подтверждение диспетчером</w:t>
            </w:r>
          </w:p>
        </w:tc>
        <w:tc>
          <w:tcPr>
            <w:tcW w:type="dxa" w:w="3106"/>
            <w:tcMar>
              <w:top w:w="70" w:type="dxa"/>
              <w:bottom w:w="70" w:type="dxa"/>
              <w:left w:w="80" w:type="dxa"/>
              <w:right w:w="80" w:type="dxa"/>
            </w:tcMar>
          </w:tcPr>
          <w:p>
            <w:r>
              <w:rPr>
                <w:sz w:val="17"/>
              </w:rPr>
              <w:t>Вход: alarm_id, badge_number, decision (confirm_false/dispatch).</w:t>
            </w:r>
          </w:p>
        </w:tc>
      </w:tr>
      <w:tr>
        <w:tc>
          <w:tcPr>
            <w:tcW w:type="dxa" w:w="3106"/>
            <w:tcMar>
              <w:top w:w="70" w:type="dxa"/>
              <w:bottom w:w="70" w:type="dxa"/>
              <w:left w:w="80" w:type="dxa"/>
              <w:right w:w="80" w:type="dxa"/>
            </w:tcMar>
          </w:tcPr>
          <w:p>
            <w:r>
              <w:rPr>
                <w:sz w:val="17"/>
              </w:rPr>
              <w:t>GET /api/settings, POST /api/settings</w:t>
            </w:r>
          </w:p>
        </w:tc>
        <w:tc>
          <w:tcPr>
            <w:tcW w:type="dxa" w:w="3106"/>
            <w:tcMar>
              <w:top w:w="70" w:type="dxa"/>
              <w:bottom w:w="70" w:type="dxa"/>
              <w:left w:w="80" w:type="dxa"/>
              <w:right w:w="80" w:type="dxa"/>
            </w:tcMar>
          </w:tcPr>
          <w:p>
            <w:r>
              <w:rPr>
                <w:sz w:val="17"/>
              </w:rPr>
              <w:t>Чтение и изменение параметров системы</w:t>
            </w:r>
          </w:p>
        </w:tc>
        <w:tc>
          <w:tcPr>
            <w:tcW w:type="dxa" w:w="3106"/>
            <w:tcMar>
              <w:top w:w="70" w:type="dxa"/>
              <w:bottom w:w="70" w:type="dxa"/>
              <w:left w:w="80" w:type="dxa"/>
              <w:right w:w="80" w:type="dxa"/>
            </w:tcMar>
          </w:tcPr>
          <w:p>
            <w:r>
              <w:rPr>
                <w:sz w:val="17"/>
              </w:rPr>
              <w:t>Управление порогом tau, окном дребезга, тарифами ТО и выезда.</w:t>
            </w:r>
          </w:p>
        </w:tc>
      </w:tr>
      <w:tr>
        <w:tc>
          <w:tcPr>
            <w:tcW w:type="dxa" w:w="3106"/>
            <w:tcMar>
              <w:top w:w="70" w:type="dxa"/>
              <w:bottom w:w="70" w:type="dxa"/>
              <w:left w:w="80" w:type="dxa"/>
              <w:right w:w="80" w:type="dxa"/>
            </w:tcMar>
          </w:tcPr>
          <w:p>
            <w:r>
              <w:rPr>
                <w:sz w:val="17"/>
              </w:rPr>
              <w:t>GET /api/stats/summary</w:t>
            </w:r>
          </w:p>
        </w:tc>
        <w:tc>
          <w:tcPr>
            <w:tcW w:type="dxa" w:w="3106"/>
            <w:tcMar>
              <w:top w:w="70" w:type="dxa"/>
              <w:bottom w:w="70" w:type="dxa"/>
              <w:left w:w="80" w:type="dxa"/>
              <w:right w:w="80" w:type="dxa"/>
            </w:tcMar>
          </w:tcPr>
          <w:p>
            <w:r>
              <w:rPr>
                <w:sz w:val="17"/>
              </w:rPr>
              <w:t>Сводная аналитика и динамический OPEX</w:t>
            </w:r>
          </w:p>
        </w:tc>
        <w:tc>
          <w:tcPr>
            <w:tcW w:type="dxa" w:w="3106"/>
            <w:tcMar>
              <w:top w:w="70" w:type="dxa"/>
              <w:bottom w:w="70" w:type="dxa"/>
              <w:left w:w="80" w:type="dxa"/>
              <w:right w:w="80" w:type="dxa"/>
            </w:tcMar>
          </w:tcPr>
          <w:p>
            <w:r>
              <w:rPr>
                <w:sz w:val="17"/>
              </w:rPr>
              <w:t>Число предотвращенных аварий, подтвержденная экономия, наряды.</w:t>
            </w:r>
          </w:p>
        </w:tc>
      </w:tr>
    </w:tbl>
    <w:p>
      <w:pPr>
        <w:keepNext/>
        <w:spacing w:before="360" w:after="120"/>
      </w:pPr>
      <w:r>
        <w:rPr>
          <w:rFonts w:ascii="Arial" w:hAnsi="Arial"/>
          <w:b/>
          <w:color w:val="1C1D22"/>
          <w:sz w:val="30"/>
        </w:rPr>
        <w:t>12. Дорожная карта пилотного внедрения</w:t>
      </w:r>
    </w:p>
    <w:p>
      <w:pPr>
        <w:spacing w:after="80" w:line="276" w:lineRule="auto"/>
      </w:pPr>
      <w:r>
        <w:rPr>
          <w:rFonts w:ascii="Arial" w:hAnsi="Arial"/>
          <w:color w:val="282828"/>
          <w:sz w:val="19"/>
        </w:rPr>
        <w:t>Предлагаемый поэтапный план интеграции комплекса «Москоллектор.НейроКонтур» в диспетчерский контур предприятия:</w:t>
      </w:r>
    </w:p>
    <w:p>
      <w:pPr>
        <w:pStyle w:val="ListBullet"/>
        <w:spacing w:after="40" w:line="276" w:lineRule="auto"/>
      </w:pPr>
      <w:r>
        <w:rPr>
          <w:rFonts w:ascii="Arial" w:hAnsi="Arial"/>
          <w:sz w:val="19"/>
        </w:rPr>
        <w:t>Этап 1 (1–14 дни): Развертывание Docker-контейнера в закрытом контуре ОДС, настройка зеркалирования телеметрии СМВУ в режиме Read-only.</w:t>
      </w:r>
    </w:p>
    <w:p>
      <w:pPr>
        <w:pStyle w:val="ListBullet"/>
        <w:spacing w:after="40" w:line="276" w:lineRule="auto"/>
      </w:pPr>
      <w:r>
        <w:rPr>
          <w:rFonts w:ascii="Arial" w:hAnsi="Arial"/>
          <w:sz w:val="19"/>
        </w:rPr>
        <w:t>Этап 2 (15–45 дни): Пилотная опытная эксплуатация на 2 пилотных РЭК (Районах эксплуатации коллекторов) в режиме суфлера диспетчера.</w:t>
      </w:r>
    </w:p>
    <w:p>
      <w:pPr>
        <w:pStyle w:val="ListBullet"/>
        <w:spacing w:after="40" w:line="276" w:lineRule="auto"/>
      </w:pPr>
      <w:r>
        <w:rPr>
          <w:rFonts w:ascii="Arial" w:hAnsi="Arial"/>
          <w:sz w:val="19"/>
        </w:rPr>
        <w:t>Этап 3 (45–90 дни): Калибровка порогов отсечки tau по реальным выездам, интеграция со смежными системами документооборота и наряд-допусков.</w:t>
      </w:r>
    </w:p>
    <w:p>
      <w:pPr>
        <w:pStyle w:val="ListBullet"/>
        <w:spacing w:after="40" w:line="276" w:lineRule="auto"/>
      </w:pPr>
      <w:r>
        <w:rPr>
          <w:rFonts w:ascii="Arial" w:hAnsi="Arial"/>
          <w:sz w:val="19"/>
        </w:rPr>
        <w:t>Этап 4 (2027 год): Масштабирование на все 825 км коллекторов Москвы, подключение виброакустических датчиков и тепловизионного контроля.</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