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80"/>
        <w:jc w:val="center"/>
      </w:pPr>
      <w:r>
        <w:rPr>
          <w:rFonts w:ascii="Arial" w:hAnsi="Arial"/>
          <w:b/>
          <w:color w:val="787882"/>
          <w:sz w:val="22"/>
        </w:rPr>
        <w:t>ХАКАТОН «ЛИДЕРЫ ЦИФРОВОЙ ТРАНСФОРМАЦИИ» 2026</w:t>
        <w:br/>
        <w:t>КЕЙС №8: ДЕПАРТАМЕНТ ЖКХ ГОРОДА МОСКВЫ / АО «МОСКОЛЛЕКТОР»</w:t>
      </w:r>
    </w:p>
    <w:p>
      <w:pPr>
        <w:spacing w:before="480" w:after="240"/>
        <w:jc w:val="center"/>
      </w:pPr>
      <w:r>
        <w:rPr>
          <w:rFonts w:ascii="Arial" w:hAnsi="Arial"/>
          <w:b/>
          <w:color w:val="1C1D22"/>
          <w:sz w:val="44"/>
        </w:rPr>
        <w:t>ПОЯСНИТЕЛЬНАЯ ЗАПИСКА К РЕШЕНИЮ</w:t>
        <w:br/>
        <w:t>«МОСКОЛЛЕКТОР.НЕЙРОКОНТУР»</w:t>
      </w:r>
    </w:p>
    <w:p>
      <w:pPr>
        <w:spacing w:after="560"/>
        <w:jc w:val="center"/>
      </w:pPr>
      <w:r>
        <w:rPr>
          <w:rFonts w:ascii="Arial" w:hAnsi="Arial"/>
          <w:i/>
          <w:color w:val="50505A"/>
          <w:sz w:val="22"/>
        </w:rPr>
        <w:t>Локальный демонстрационный прототип для анализа телеметрических признаков, показа ML-оценок и формирования черновиков диспетчерских действий. Целевые метки модели сформированы алгоритмически по будущей телеметрии и не подтверждают реальные ремонты, аварии или предотвращённые события.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CCCCC"/>
          <w:bottom w:val="single" w:sz="8" w:space="0" w:color="CCCCCC"/>
          <w:insideH w:val="single" w:sz="4" w:space="0" w:color="CCCCCC"/>
          <w:insideV w:val="none"/>
          <w:left w:val="none"/>
          <w:right w:val="none"/>
        </w:tblBorders>
      </w:tblPr>
      <w:tblGrid>
        <w:gridCol w:w="4658"/>
        <w:gridCol w:w="4658"/>
      </w:tblGrid>
      <w:tr>
        <w:trPr>
          <w:cantSplit/>
        </w:trPr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Заказчик решения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АО «Москоллектор», Департамент жилищно-коммунального хозяйства города Москвы</w:t>
            </w:r>
          </w:p>
        </w:tc>
      </w:tr>
      <w:tr>
        <w:trPr>
          <w:cantSplit/>
        </w:trPr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Команда разработки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Vector (Капитан, ML/Backend Lead, Data Engineer, GIS Architect, DevOps)</w:t>
            </w:r>
          </w:p>
        </w:tc>
      </w:tr>
      <w:tr>
        <w:trPr>
          <w:cantSplit/>
        </w:trPr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Объект автоматизации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Инфраструктура по описанию кейса; фактические данные и геопривязка заказчика не проверялись</w:t>
            </w:r>
          </w:p>
        </w:tc>
      </w:tr>
      <w:tr>
        <w:trPr>
          <w:cantSplit/>
        </w:trPr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Нормативная база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Применимые регламенты и требования требуется согласовать; соответствие стандартам не заявляется</w:t>
            </w:r>
          </w:p>
        </w:tc>
      </w:tr>
      <w:tr>
        <w:trPr>
          <w:cantSplit/>
        </w:trPr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Технологический стек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Python 3.10, FastAPI, LightGBM, Scikit-learn, React 18, TypeScript, Leaflet, Docker</w:t>
            </w:r>
          </w:p>
        </w:tc>
      </w:tr>
      <w:tr>
        <w:trPr>
          <w:cantSplit/>
        </w:trPr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Статус готовности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Локальный прототип: REST API, Web UI и экспериментальный ML-скоринг; производственное внедрение и SLA не подтверждены</w:t>
            </w:r>
          </w:p>
        </w:tc>
      </w:tr>
    </w:tbl>
    <w:p>
      <w:r>
        <w:br w:type="page"/>
      </w:r>
    </w:p>
    <w:p>
      <w:pPr>
        <w:keepNext/>
        <w:spacing w:before="360" w:after="120"/>
      </w:pPr>
      <w:r>
        <w:rPr>
          <w:rFonts w:ascii="Arial" w:hAnsi="Arial"/>
          <w:b/>
          <w:color w:val="1C1D22"/>
          <w:sz w:val="30"/>
        </w:rPr>
        <w:t>1. Введение и актуальность задачи</w:t>
      </w:r>
    </w:p>
    <w:p>
      <w:pPr>
        <w:spacing w:after="80" w:line="276" w:lineRule="auto"/>
      </w:pPr>
      <w:r>
        <w:rPr>
          <w:rFonts w:ascii="Arial" w:hAnsi="Arial"/>
          <w:color w:val="282828"/>
          <w:sz w:val="19"/>
        </w:rPr>
        <w:t>В описании кейса заказчика указаны подземные коммуникационные коллекторы Москвы протяжённостью около 825 км и их инженерная инфраструктура. Эти сведения приведены как контекст технического задания и не являются результатом независимой проверки команды.</w:t>
      </w:r>
    </w:p>
    <w:p>
      <w:pPr>
        <w:spacing w:after="80" w:line="276" w:lineRule="auto"/>
      </w:pPr>
      <w:r>
        <w:rPr>
          <w:rFonts w:ascii="Arial" w:hAnsi="Arial"/>
          <w:color w:val="282828"/>
          <w:sz w:val="19"/>
        </w:rPr>
        <w:t>Техническое задание описывает СМВУ и большой поток показаний датчиков. Представленный прототип работает с доступным локальным набором признаков и демонстрационными сценариями; подключения к рабочей системе мониторинга АО «Москоллектор» нет.</w:t>
      </w:r>
    </w:p>
    <w:p>
      <w:pPr>
        <w:spacing w:after="80" w:line="276" w:lineRule="auto"/>
      </w:pPr>
      <w:r>
        <w:rPr>
          <w:rFonts w:ascii="Arial" w:hAnsi="Arial"/>
          <w:b/>
          <w:color w:val="191919"/>
          <w:sz w:val="19"/>
        </w:rPr>
        <w:t>Ограничения доказательной базы</w:t>
      </w:r>
      <w:r>
        <w:rPr>
          <w:rFonts w:ascii="Arial" w:hAnsi="Arial"/>
          <w:color w:val="282828"/>
          <w:sz w:val="19"/>
        </w:rPr>
      </w:r>
    </w:p>
    <w:p>
      <w:pPr>
        <w:pStyle w:val="ListBullet"/>
        <w:spacing w:after="40" w:line="276" w:lineRule="auto"/>
      </w:pPr>
      <w:r>
        <w:rPr>
          <w:rFonts w:ascii="Arial" w:hAnsi="Arial"/>
          <w:sz w:val="19"/>
        </w:rPr>
        <w:t>В предоставленном наборе нет подтверждённых актов ремонтов, выездов или внешних CMMS/1С:ТОИР результатов. Поэтому доля ложных тревог, количество предотвращённых инцидентов и операционная экономия заказчика не измерены.</w:t>
      </w:r>
    </w:p>
    <w:p>
      <w:pPr>
        <w:pStyle w:val="ListBullet"/>
        <w:spacing w:after="40" w:line="276" w:lineRule="auto"/>
      </w:pPr>
      <w:r>
        <w:rPr>
          <w:rFonts w:ascii="Arial" w:hAnsi="Arial"/>
          <w:sz w:val="19"/>
        </w:rPr>
        <w:t>Суммы 18 500 ₽ за выезд и 3 200 ₽ за плановое обслуживание используются только как сценарные вводные в арифметическом примере ниже. Их источник, применимость и актуальные нормативы требуется подтвердить с заказчиком.</w:t>
      </w:r>
    </w:p>
    <w:p>
      <w:pPr>
        <w:pStyle w:val="ListBullet"/>
        <w:spacing w:after="40" w:line="276" w:lineRule="auto"/>
      </w:pPr>
      <w:r>
        <w:rPr>
          <w:rFonts w:ascii="Arial" w:hAnsi="Arial"/>
          <w:sz w:val="19"/>
        </w:rPr>
        <w:t>В прототипе не настроен обмен со SCADA/СМВУ и нет работающего контура предиктивного мониторинга объекта. Модель оценивает записи локального набора; реальные условия эксплуатации и безопасность реакции требуют отдельной проверки.</w:t>
      </w:r>
    </w:p>
    <w:p>
      <w:pPr>
        <w:pStyle w:val="ListBullet"/>
        <w:spacing w:after="40" w:line="276" w:lineRule="auto"/>
      </w:pPr>
      <w:r>
        <w:rPr>
          <w:rFonts w:ascii="Arial" w:hAnsi="Arial"/>
          <w:sz w:val="19"/>
        </w:rPr>
        <w:t>Пикетаж, назначение службы и демонстрационная карта не подтверждены геоданными заказчика. Прототип показывает условные маршруты процесса и черновики, а не навигацию бригады или согласованную диспетчерскую маршрутизацию.</w:t>
      </w:r>
    </w:p>
    <w:p>
      <w:pPr>
        <w:spacing w:after="80" w:line="276" w:lineRule="auto"/>
      </w:pPr>
      <w:r>
        <w:rPr>
          <w:rFonts w:ascii="Arial" w:hAnsi="Arial"/>
          <w:color w:val="282828"/>
          <w:sz w:val="19"/>
        </w:rPr>
        <w:t>Цель прототипа — показать обработку сигналов, ML-скоринг и действия специалиста в локальном интерфейсе. Это не подтверждённая промышленная система, не доказательство подавления ложных срабатываний и не заявление о соответствии ГОСТ или другим стандартам.</w:t>
      </w:r>
    </w:p>
    <w:p>
      <w:pPr>
        <w:keepNext/>
        <w:spacing w:before="360" w:after="120"/>
      </w:pPr>
      <w:r>
        <w:rPr>
          <w:rFonts w:ascii="Arial" w:hAnsi="Arial"/>
          <w:b/>
          <w:color w:val="1C1D22"/>
          <w:sz w:val="30"/>
        </w:rPr>
        <w:t>2. Архитектура решения и технологический стек</w:t>
      </w:r>
    </w:p>
    <w:p>
      <w:pPr>
        <w:spacing w:after="80" w:line="276" w:lineRule="auto"/>
      </w:pPr>
      <w:r>
        <w:rPr>
          <w:rFonts w:ascii="Arial" w:hAnsi="Arial"/>
          <w:color w:val="282828"/>
          <w:sz w:val="19"/>
        </w:rPr>
        <w:t>Локальная архитектура прототипа разделена на backend API, ML-скоринг, файлы демонстрационных данных и React-интерфейс. Микросервисность, автономная эксплуатация в закрытом контуре и готовность к производственному развёртыванию не подтверждены.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0B0B0"/>
          <w:bottom w:val="single" w:sz="8" w:space="0" w:color="B0B0B0"/>
          <w:insideH w:val="single" w:sz="4" w:space="0" w:color="B0B0B0"/>
          <w:insideV w:val="none"/>
          <w:left w:val="none"/>
          <w:right w:val="none"/>
        </w:tblBorders>
      </w:tblPr>
      <w:tblGrid>
        <w:gridCol w:w="3106"/>
        <w:gridCol w:w="3106"/>
        <w:gridCol w:w="3106"/>
      </w:tblGrid>
      <w:tr>
        <w:trPr>
          <w:cantSplit/>
        </w:trPr>
        <w:tc>
          <w:tcPr>
            <w:tcW w:type="dxa" w:w="3106"/>
            <w:shd w:fill="EAEAE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Слой архитектуры</w:t>
            </w:r>
          </w:p>
        </w:tc>
        <w:tc>
          <w:tcPr>
            <w:tcW w:type="dxa" w:w="3106"/>
            <w:shd w:fill="EAEAE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Компоненты и технологии</w:t>
            </w:r>
          </w:p>
        </w:tc>
        <w:tc>
          <w:tcPr>
            <w:tcW w:type="dxa" w:w="3106"/>
            <w:shd w:fill="EAEAE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Функциональное назначение</w:t>
            </w:r>
          </w:p>
        </w:tc>
      </w:tr>
      <w:tr>
        <w:trPr>
          <w:cantSplit/>
        </w:trPr>
        <w:tc>
          <w:tcPr>
            <w:tcW w:type="dxa" w:w="310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Слой сбора и фильтрации (Ingestion &amp; Fast Stream)</w:t>
            </w:r>
          </w:p>
        </w:tc>
        <w:tc>
          <w:tcPr>
            <w:tcW w:type="dxa" w:w="310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Python 3.10, AsyncIO, Rolling Window Chatter Filter</w:t>
            </w:r>
          </w:p>
        </w:tc>
        <w:tc>
          <w:tcPr>
            <w:tcW w:type="dxa" w:w="310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Обработка локальных демонстрационных сигналов и первичная проверка временных/дискретных признаков; поведение на потоке СМВУ не валидировано</w:t>
            </w:r>
          </w:p>
        </w:tc>
      </w:tr>
      <w:tr>
        <w:trPr>
          <w:cantSplit/>
        </w:trPr>
        <w:tc>
          <w:tcPr>
            <w:tcW w:type="dxa" w:w="310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ML-контур прогнозирования (AI Core Engine)</w:t>
            </w:r>
          </w:p>
        </w:tc>
        <w:tc>
          <w:tcPr>
            <w:tcW w:type="dxa" w:w="310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LightGBM, Scikit-learn, Joblib, 3-way temporal validator</w:t>
            </w:r>
          </w:p>
        </w:tc>
        <w:tc>
          <w:tcPr>
            <w:tcW w:type="dxa" w:w="310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Расчёт риск-оценки по признакам канала и отображение результата; тестовая цель — proxy-разметка, не подтверждённый отказ</w:t>
            </w:r>
          </w:p>
        </w:tc>
      </w:tr>
      <w:tr>
        <w:trPr>
          <w:cantSplit/>
        </w:trPr>
        <w:tc>
          <w:tcPr>
            <w:tcW w:type="dxa" w:w="310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Служба управления работами (Business Logic)</w:t>
            </w:r>
          </w:p>
        </w:tc>
        <w:tc>
          <w:tcPr>
            <w:tcW w:type="dxa" w:w="310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FastAPI REST API, Dispatcher Confirmation Engine, Tickets DB</w:t>
            </w:r>
          </w:p>
        </w:tc>
        <w:tc>
          <w:tcPr>
            <w:tcW w:type="dxa" w:w="310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Локальные API-действия и черновики заявок; регламенты, пикетаж и маршрутизация требуют проверки заказчиком</w:t>
            </w:r>
          </w:p>
        </w:tc>
      </w:tr>
      <w:tr>
        <w:trPr>
          <w:cantSplit/>
        </w:trPr>
        <w:tc>
          <w:tcPr>
            <w:tcW w:type="dxa" w:w="310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Интерфейс диспетчера ОДС (Presentation Layer)</w:t>
            </w:r>
          </w:p>
        </w:tc>
        <w:tc>
          <w:tcPr>
            <w:tcW w:type="dxa" w:w="310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React 18, TypeScript, Tailwind CSS, Leaflet GIS, Lucide</w:t>
            </w:r>
          </w:p>
        </w:tc>
        <w:tc>
          <w:tcPr>
            <w:tcW w:type="dxa" w:w="310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Локальная демонстрационная карта, сценарии и журнал действий; нет связи с рабочей GIS/SCADA/CMMS</w:t>
            </w:r>
          </w:p>
        </w:tc>
      </w:tr>
    </w:tbl>
    <w:p>
      <w:pPr>
        <w:keepNext/>
        <w:spacing w:before="240" w:after="80"/>
      </w:pPr>
      <w:r>
        <w:rPr>
          <w:rFonts w:ascii="Arial" w:hAnsi="Arial"/>
          <w:b/>
          <w:color w:val="DC1446"/>
          <w:sz w:val="25"/>
        </w:rPr>
        <w:t>Импортонезависимость и технологический суверенитет</w:t>
      </w:r>
    </w:p>
    <w:p>
      <w:pPr>
        <w:spacing w:after="80" w:line="276" w:lineRule="auto"/>
      </w:pPr>
      <w:r>
        <w:rPr>
          <w:rFonts w:ascii="Arial" w:hAnsi="Arial"/>
          <w:color w:val="282828"/>
          <w:sz w:val="19"/>
        </w:rPr>
        <w:t>Состав зависимостей и совместимость с целевыми отечественными ОС, процессорными архитектурами, требованиями КИИ и закрытым контуром требуют отдельной сборки и испытаний. Настоящий локальный запуск таких испытаний не заменяет.</w:t>
      </w:r>
    </w:p>
    <w:p>
      <w:pPr>
        <w:keepNext/>
        <w:spacing w:before="360" w:after="120"/>
      </w:pPr>
      <w:r>
        <w:rPr>
          <w:rFonts w:ascii="Arial" w:hAnsi="Arial"/>
          <w:b/>
          <w:color w:val="1C1D22"/>
          <w:sz w:val="30"/>
        </w:rPr>
        <w:t>3. Методы обработки данных и фильтрации телеметрии</w:t>
      </w:r>
    </w:p>
    <w:p>
      <w:pPr>
        <w:spacing w:after="80" w:line="276" w:lineRule="auto"/>
      </w:pPr>
      <w:r>
        <w:rPr>
          <w:rFonts w:ascii="Arial" w:hAnsi="Arial"/>
          <w:color w:val="282828"/>
          <w:sz w:val="19"/>
        </w:rPr>
        <w:t>Метрики модели рассчитаны для 11 485 каналов в train, validation и held-out test. Для разбора происхождения отдельных proxy-меток сформирован файл backend/data/reconciliation_ground_truth.json генератором python -m scripts.build_reconciliation_json: просмотрено 7 млн строк исходного CSV, приложены примеры proxy TP/FP/TN. CSV не поставляется в Git. Сверка с телеметрией не устанавливает факт ремонта или физического отказа.</w:t>
      </w:r>
    </w:p>
    <w:p>
      <w:pPr>
        <w:keepNext/>
        <w:spacing w:before="240" w:after="80"/>
      </w:pPr>
      <w:r>
        <w:rPr>
          <w:rFonts w:ascii="Arial" w:hAnsi="Arial"/>
          <w:b/>
          <w:color w:val="DC1446"/>
          <w:sz w:val="25"/>
        </w:rPr>
        <w:t>Алгоритм подавления высокочастотного дребезга (Chatter Filtering)</w:t>
      </w:r>
    </w:p>
    <w:p>
      <w:pPr>
        <w:spacing w:after="80" w:line="276" w:lineRule="auto"/>
      </w:pPr>
      <w:r>
        <w:rPr>
          <w:rFonts w:ascii="Arial" w:hAnsi="Arial"/>
          <w:color w:val="282828"/>
          <w:sz w:val="19"/>
        </w:rPr>
        <w:t>Прототип содержит признаки и локальные сценарии для анализа кратковременных изменений дискретных сигналов. Наблюдение таких изменений само по себе не доказывает дребезг контакта, причину тревоги или отсутствие опасного события.</w:t>
      </w:r>
    </w:p>
    <w:p>
      <w:pPr>
        <w:spacing w:after="80" w:line="276" w:lineRule="auto"/>
      </w:pPr>
      <w:r>
        <w:rPr>
          <w:rFonts w:ascii="Arial" w:hAnsi="Arial"/>
          <w:color w:val="282828"/>
          <w:sz w:val="19"/>
        </w:rPr>
        <w:t>Демонстрационный фильтр помечает кандидатов на шум по заданным параметрам и оставляет решение специалисту. Его метки не отменяют реальный выезд и не являются подтверждённой классификацией событий СМВУ.</w:t>
      </w:r>
    </w:p>
    <w:p>
      <w:pPr>
        <w:keepNext/>
        <w:spacing w:before="240" w:after="80"/>
      </w:pPr>
      <w:r>
        <w:rPr>
          <w:rFonts w:ascii="Arial" w:hAnsi="Arial"/>
          <w:b/>
          <w:color w:val="DC1446"/>
          <w:sz w:val="25"/>
        </w:rPr>
        <w:t>Анализ и физическая природа временных аномалий «1970-01-01»</w:t>
      </w:r>
    </w:p>
    <w:p>
      <w:pPr>
        <w:spacing w:after="80" w:line="276" w:lineRule="auto"/>
      </w:pPr>
      <w:r>
        <w:rPr>
          <w:rFonts w:ascii="Arial" w:hAnsi="Arial"/>
          <w:b/>
          <w:color w:val="191919"/>
          <w:sz w:val="19"/>
        </w:rPr>
        <w:t>В признаках встречаются некорректные временные значения, в том числе epoch 1970 года. Это наблюдение по данным, а не установленный аппаратный диагноз.</w:t>
      </w:r>
      <w:r>
        <w:rPr>
          <w:rFonts w:ascii="Arial" w:hAnsi="Arial"/>
          <w:color w:val="282828"/>
          <w:sz w:val="19"/>
        </w:rPr>
      </w:r>
    </w:p>
    <w:p>
      <w:pPr>
        <w:pStyle w:val="ListBullet"/>
        <w:spacing w:after="40" w:line="276" w:lineRule="auto"/>
      </w:pPr>
      <w:r>
        <w:rPr>
          <w:rFonts w:ascii="Arial" w:hAnsi="Arial"/>
          <w:sz w:val="19"/>
        </w:rPr>
        <w:t>Наличие epoch-метки не позволяет определить, вызвана ли она сбросом часов, экспортом или обработкой данных. Причина требует сверки с источником и журналами оборудования.</w:t>
      </w:r>
    </w:p>
    <w:p>
      <w:pPr>
        <w:pStyle w:val="ListBullet"/>
        <w:spacing w:after="40" w:line="276" w:lineRule="auto"/>
      </w:pPr>
      <w:r>
        <w:rPr>
          <w:rFonts w:ascii="Arial" w:hAnsi="Arial"/>
          <w:sz w:val="19"/>
        </w:rPr>
        <w:t>В отчёте модели есть признак date_corruptions. Его наличие не доказывает физическую деградацию питания и не подтверждает прогноз отказа в заданный срок.</w:t>
      </w:r>
    </w:p>
    <w:p>
      <w:pPr>
        <w:keepNext/>
        <w:spacing w:before="360" w:after="120"/>
      </w:pPr>
      <w:r>
        <w:rPr>
          <w:rFonts w:ascii="Arial" w:hAnsi="Arial"/>
          <w:b/>
          <w:color w:val="1C1D22"/>
          <w:sz w:val="30"/>
        </w:rPr>
        <w:t>4. Математическое моделирование и валидация без заглядывания в будущее</w:t>
      </w:r>
    </w:p>
    <w:p>
      <w:pPr>
        <w:spacing w:after="80" w:line="276" w:lineRule="auto"/>
      </w:pPr>
      <w:r>
        <w:rPr>
          <w:rFonts w:ascii="Arial" w:hAnsi="Arial"/>
          <w:color w:val="282828"/>
          <w:sz w:val="19"/>
        </w:rPr>
        <w:t>Оценка использует временное разделение train/validation/test, указанное в metrics_report.json. Это снижает риск утечки между временными частями, но не заменяет независимый аудит данных и методики.</w:t>
      </w:r>
    </w:p>
    <w:p>
      <w:pPr>
        <w:keepNext/>
        <w:spacing w:before="240" w:after="80"/>
      </w:pPr>
      <w:r>
        <w:rPr>
          <w:rFonts w:ascii="Arial" w:hAnsi="Arial"/>
          <w:b/>
          <w:color w:val="DC1446"/>
          <w:sz w:val="25"/>
        </w:rPr>
        <w:t>Протокол разделения данных (3-Way Temporal Split)</w:t>
      </w:r>
    </w:p>
    <w:p>
      <w:pPr>
        <w:spacing w:after="80" w:line="276" w:lineRule="auto"/>
      </w:pPr>
      <w:r>
        <w:rPr>
          <w:rFonts w:ascii="Arial" w:hAnsi="Arial"/>
          <w:b/>
          <w:color w:val="191919"/>
          <w:sz w:val="19"/>
        </w:rPr>
        <w:t>Временные интервалы и целевые метки трактуются как экспериментальная proxy-разметка по будущей телеметрии:</w:t>
      </w:r>
      <w:r>
        <w:rPr>
          <w:rFonts w:ascii="Arial" w:hAnsi="Arial"/>
          <w:color w:val="282828"/>
          <w:sz w:val="19"/>
        </w:rPr>
      </w:r>
    </w:p>
    <w:p>
      <w:pPr>
        <w:pStyle w:val="ListBullet"/>
        <w:spacing w:after="40" w:line="276" w:lineRule="auto"/>
      </w:pPr>
      <w:r>
        <w:rPr>
          <w:rFonts w:ascii="Arial" w:hAnsi="Arial"/>
          <w:sz w:val="19"/>
        </w:rPr>
        <w:t>Обучающая часть: даты, размеры выборки и 120 proxy-positive меток приведены в отчёте модели. Это алгоритмические целевые значения, не подтверждённые случаи ремонта или аварии.</w:t>
      </w:r>
    </w:p>
    <w:p>
      <w:pPr>
        <w:pStyle w:val="ListBullet"/>
        <w:spacing w:after="40" w:line="276" w:lineRule="auto"/>
      </w:pPr>
      <w:r>
        <w:rPr>
          <w:rFonts w:ascii="Arial" w:hAnsi="Arial"/>
          <w:sz w:val="19"/>
        </w:rPr>
        <w:t>Валидационная часть: 105 proxy-positive меток по отчёту модели; используется для выбора порога. Метки не подтверждены эксплуатационными актами.</w:t>
      </w:r>
    </w:p>
    <w:p>
      <w:pPr>
        <w:pStyle w:val="ListBullet"/>
        <w:spacing w:after="40" w:line="276" w:lineRule="auto"/>
      </w:pPr>
      <w:r>
        <w:rPr>
          <w:rFonts w:ascii="Arial" w:hAnsi="Arial"/>
          <w:sz w:val="19"/>
        </w:rPr>
        <w:t>Held-out test: признаки ограничены датами по 28 января; 174 proxy-positive канала сопоставлены с будущей телеметрией в окне 29–31 января. Положительная метка означает совпадение с алгоритмическим правилом, а не подтверждённый инцидент.</w:t>
      </w:r>
    </w:p>
    <w:p>
      <w:pPr>
        <w:keepNext/>
        <w:spacing w:before="240" w:after="80"/>
      </w:pPr>
      <w:r>
        <w:rPr>
          <w:rFonts w:ascii="Arial" w:hAnsi="Arial"/>
          <w:b/>
          <w:color w:val="DC1446"/>
          <w:sz w:val="25"/>
        </w:rPr>
        <w:t>Анализ метрик в условиях экстремального дисбаланса классов</w:t>
      </w:r>
    </w:p>
    <w:p>
      <w:pPr>
        <w:spacing w:after="80" w:line="276" w:lineRule="auto"/>
      </w:pPr>
      <w:r>
        <w:rPr>
          <w:rFonts w:ascii="Arial" w:hAnsi="Arial"/>
          <w:color w:val="282828"/>
          <w:sz w:val="19"/>
        </w:rPr>
        <w:t>Для модели тестовый набор содержит 11 485 каналов, из них 174 (1,51%) имеют положительную proxy-метку по будущей телеметрии. Внешних актов закрытия ремонтов/выездов нет; физическое предотказное состояние по этой разметке не подтверждено.</w:t>
      </w:r>
    </w:p>
    <w:p>
      <w:pPr>
        <w:spacing w:after="80" w:line="276" w:lineRule="auto"/>
      </w:pPr>
      <w:r>
        <w:rPr>
          <w:rFonts w:ascii="Arial" w:hAnsi="Arial"/>
          <w:color w:val="282828"/>
          <w:sz w:val="19"/>
        </w:rPr>
        <w:t>При редких положительных метках одной accuracy недостаточно. Отчёт содержит PR-AUC, ROC-AUC, precision и recall; их следует читать как качество воспроизведения алгоритмической proxy-цели на отложенной части.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0B0B0"/>
          <w:bottom w:val="single" w:sz="8" w:space="0" w:color="B0B0B0"/>
          <w:insideH w:val="single" w:sz="4" w:space="0" w:color="B0B0B0"/>
          <w:insideV w:val="none"/>
          <w:left w:val="none"/>
          <w:right w:val="none"/>
        </w:tblBorders>
      </w:tblPr>
      <w:tblGrid>
        <w:gridCol w:w="1863"/>
        <w:gridCol w:w="1863"/>
        <w:gridCol w:w="1863"/>
        <w:gridCol w:w="1863"/>
        <w:gridCol w:w="1863"/>
      </w:tblGrid>
      <w:tr>
        <w:trPr>
          <w:cantSplit/>
        </w:trPr>
        <w:tc>
          <w:tcPr>
            <w:tcW w:type="dxa" w:w="1863"/>
            <w:shd w:fill="EAEAE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Модель (порог)</w:t>
            </w:r>
          </w:p>
        </w:tc>
        <w:tc>
          <w:tcPr>
            <w:tcW w:type="dxa" w:w="1863"/>
            <w:shd w:fill="EAEAE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ROC-AUC</w:t>
            </w:r>
          </w:p>
        </w:tc>
        <w:tc>
          <w:tcPr>
            <w:tcW w:type="dxa" w:w="1863"/>
            <w:shd w:fill="EAEAE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PR-AUC</w:t>
            </w:r>
          </w:p>
        </w:tc>
        <w:tc>
          <w:tcPr>
            <w:tcW w:type="dxa" w:w="1863"/>
            <w:shd w:fill="EAEAE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Recall</w:t>
            </w:r>
          </w:p>
        </w:tc>
        <w:tc>
          <w:tcPr>
            <w:tcW w:type="dxa" w:w="1863"/>
            <w:shd w:fill="EAEAE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Precision</w:t>
            </w:r>
          </w:p>
        </w:tc>
      </w:tr>
      <w:tr>
        <w:trPr>
          <w:cantSplit/>
        </w:trPr>
        <w:tc>
          <w:tcPr>
            <w:tcW w:type="dxa" w:w="1863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Zero-rule (baseline)</w:t>
            </w:r>
          </w:p>
        </w:tc>
        <w:tc>
          <w:tcPr>
            <w:tcW w:type="dxa" w:w="1863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1863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1863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0,0%</w:t>
            </w:r>
          </w:p>
        </w:tc>
        <w:tc>
          <w:tcPr>
            <w:tcW w:type="dxa" w:w="1863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0,0%</w:t>
            </w:r>
          </w:p>
        </w:tc>
      </w:tr>
      <w:tr>
        <w:trPr>
          <w:cantSplit/>
        </w:trPr>
        <w:tc>
          <w:tcPr>
            <w:tcW w:type="dxa" w:w="1863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Logistic Regression (0,80)</w:t>
            </w:r>
          </w:p>
        </w:tc>
        <w:tc>
          <w:tcPr>
            <w:tcW w:type="dxa" w:w="1863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0,8247</w:t>
            </w:r>
          </w:p>
        </w:tc>
        <w:tc>
          <w:tcPr>
            <w:tcW w:type="dxa" w:w="1863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0,1898</w:t>
            </w:r>
          </w:p>
        </w:tc>
        <w:tc>
          <w:tcPr>
            <w:tcW w:type="dxa" w:w="1863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67,82%</w:t>
            </w:r>
          </w:p>
        </w:tc>
        <w:tc>
          <w:tcPr>
            <w:tcW w:type="dxa" w:w="1863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14,82%</w:t>
            </w:r>
          </w:p>
        </w:tc>
      </w:tr>
      <w:tr>
        <w:trPr>
          <w:cantSplit/>
        </w:trPr>
        <w:tc>
          <w:tcPr>
            <w:tcW w:type="dxa" w:w="1863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Random Forest (0,7695)</w:t>
            </w:r>
          </w:p>
        </w:tc>
        <w:tc>
          <w:tcPr>
            <w:tcW w:type="dxa" w:w="1863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0,7335</w:t>
            </w:r>
          </w:p>
        </w:tc>
        <w:tc>
          <w:tcPr>
            <w:tcW w:type="dxa" w:w="1863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0,1606</w:t>
            </w:r>
          </w:p>
        </w:tc>
        <w:tc>
          <w:tcPr>
            <w:tcW w:type="dxa" w:w="1863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10,34%</w:t>
            </w:r>
          </w:p>
        </w:tc>
        <w:tc>
          <w:tcPr>
            <w:tcW w:type="dxa" w:w="1863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45,00%</w:t>
            </w:r>
          </w:p>
        </w:tc>
      </w:tr>
      <w:tr>
        <w:trPr>
          <w:cantSplit/>
        </w:trPr>
        <w:tc>
          <w:tcPr>
            <w:tcW w:type="dxa" w:w="1863"/>
            <w:tcMar>
              <w:top w:w="70" w:type="dxa"/>
              <w:bottom w:w="70" w:type="dxa"/>
              <w:left w:w="80" w:type="dxa"/>
              <w:right w:w="80" w:type="dxa"/>
            </w:tcMar>
            <w:shd w:fill="FFF0F3"/>
          </w:tcPr>
          <w:p>
            <w:r>
              <w:rPr>
                <w:b/>
                <w:sz w:val="17"/>
              </w:rPr>
              <w:t>LightGBM (0,845)</w:t>
            </w:r>
          </w:p>
        </w:tc>
        <w:tc>
          <w:tcPr>
            <w:tcW w:type="dxa" w:w="1863"/>
            <w:tcMar>
              <w:top w:w="70" w:type="dxa"/>
              <w:bottom w:w="70" w:type="dxa"/>
              <w:left w:w="80" w:type="dxa"/>
              <w:right w:w="80" w:type="dxa"/>
            </w:tcMar>
            <w:shd w:fill="FFF0F3"/>
          </w:tcPr>
          <w:p>
            <w:r>
              <w:rPr>
                <w:b/>
                <w:sz w:val="17"/>
              </w:rPr>
              <w:t>0,7710</w:t>
            </w:r>
          </w:p>
        </w:tc>
        <w:tc>
          <w:tcPr>
            <w:tcW w:type="dxa" w:w="1863"/>
            <w:tcMar>
              <w:top w:w="70" w:type="dxa"/>
              <w:bottom w:w="70" w:type="dxa"/>
              <w:left w:w="80" w:type="dxa"/>
              <w:right w:w="80" w:type="dxa"/>
            </w:tcMar>
            <w:shd w:fill="FFF0F3"/>
          </w:tcPr>
          <w:p>
            <w:r>
              <w:rPr>
                <w:b/>
                <w:sz w:val="17"/>
              </w:rPr>
              <w:t>0,1679</w:t>
            </w:r>
          </w:p>
        </w:tc>
        <w:tc>
          <w:tcPr>
            <w:tcW w:type="dxa" w:w="1863"/>
            <w:tcMar>
              <w:top w:w="70" w:type="dxa"/>
              <w:bottom w:w="70" w:type="dxa"/>
              <w:left w:w="80" w:type="dxa"/>
              <w:right w:w="80" w:type="dxa"/>
            </w:tcMar>
            <w:shd w:fill="FFF0F3"/>
          </w:tcPr>
          <w:p>
            <w:r>
              <w:rPr>
                <w:b/>
                <w:sz w:val="17"/>
              </w:rPr>
              <w:t>18,97%</w:t>
            </w:r>
          </w:p>
        </w:tc>
        <w:tc>
          <w:tcPr>
            <w:tcW w:type="dxa" w:w="1863"/>
            <w:tcMar>
              <w:top w:w="70" w:type="dxa"/>
              <w:bottom w:w="70" w:type="dxa"/>
              <w:left w:w="80" w:type="dxa"/>
              <w:right w:w="80" w:type="dxa"/>
            </w:tcMar>
            <w:shd w:fill="FFF0F3"/>
          </w:tcPr>
          <w:p>
            <w:r>
              <w:rPr>
                <w:b/>
                <w:sz w:val="17"/>
              </w:rPr>
              <w:t>23,24%</w:t>
            </w:r>
          </w:p>
        </w:tc>
      </w:tr>
    </w:tbl>
    <w:p>
      <w:pPr>
        <w:spacing w:after="80" w:line="276" w:lineRule="auto"/>
      </w:pPr>
      <w:r>
        <w:rPr>
          <w:rFonts w:ascii="Arial" w:hAnsi="Arial"/>
          <w:color w:val="282828"/>
          <w:sz w:val="19"/>
        </w:rPr>
        <w:t>LightGBM на held-out test при пороге 0,845: PR-AUC 0,1679, ROC-AUC 0,7710, precision 0,2324, recall 0,1897. Результат относится к proxy-меткам, не к реальным авариям или ремонтам.</w:t>
      </w:r>
    </w:p>
    <w:p>
      <w:pPr>
        <w:keepNext/>
        <w:spacing w:before="240" w:after="80"/>
      </w:pPr>
      <w:r>
        <w:rPr>
          <w:rFonts w:ascii="Arial" w:hAnsi="Arial"/>
          <w:b/>
          <w:color w:val="DC1446"/>
          <w:sz w:val="25"/>
        </w:rPr>
        <w:t>Разъяснение по разделу 10.3 Технического задания</w:t>
      </w:r>
    </w:p>
    <w:p>
      <w:pPr>
        <w:spacing w:after="80" w:line="276" w:lineRule="auto"/>
      </w:pPr>
      <w:r>
        <w:rPr>
          <w:rFonts w:ascii="Arial" w:hAnsi="Arial"/>
          <w:color w:val="282828"/>
          <w:sz w:val="19"/>
        </w:rPr>
        <w:t>Порог — параметр компромисса, а не переключатель гарантированной точности. При рабочем tau = 0,42 у LightGBM precision 8,23%, recall 31,61% (55 TP, 613 FP, 119 FN, 10 698 TN относительно proxy-меток). Значения precision/recall зависят от порога и состава данных; перенос на реальные процессы не проверен.</w:t>
      </w:r>
    </w:p>
    <w:p>
      <w:pPr>
        <w:keepNext/>
        <w:spacing w:before="360" w:after="120"/>
      </w:pPr>
      <w:r>
        <w:rPr>
          <w:rFonts w:ascii="Arial" w:hAnsi="Arial"/>
          <w:b/>
          <w:color w:val="1C1D22"/>
          <w:sz w:val="30"/>
        </w:rPr>
        <w:t>5. Быстродействие сервиса и соответствие SLA</w:t>
      </w:r>
    </w:p>
    <w:p>
      <w:pPr>
        <w:spacing w:after="80" w:line="276" w:lineRule="auto"/>
      </w:pPr>
      <w:r>
        <w:rPr>
          <w:rFonts w:ascii="Arial" w:hAnsi="Arial"/>
          <w:color w:val="282828"/>
          <w:sz w:val="19"/>
        </w:rPr>
        <w:t>Локальный benchmark отчёта: пакетный расчёт 11 485 каналов — 62,86 мс, P95 — 70,65 мс; одиночный канал — 1,498 мс, P95 — 2,585 мс. Это замер инференса на тестовом стенде, а не SLA или сетевое испытание у заказчика.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0B0B0"/>
          <w:bottom w:val="single" w:sz="8" w:space="0" w:color="B0B0B0"/>
          <w:insideH w:val="single" w:sz="4" w:space="0" w:color="B0B0B0"/>
          <w:insideV w:val="none"/>
          <w:left w:val="none"/>
          <w:right w:val="none"/>
        </w:tblBorders>
      </w:tblPr>
      <w:tblGrid>
        <w:gridCol w:w="3106"/>
        <w:gridCol w:w="3106"/>
        <w:gridCol w:w="3106"/>
      </w:tblGrid>
      <w:tr>
        <w:trPr>
          <w:cantSplit/>
        </w:trPr>
        <w:tc>
          <w:tcPr>
            <w:tcW w:type="dxa" w:w="3106"/>
            <w:shd w:fill="EAEAE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Показатель</w:t>
            </w:r>
          </w:p>
        </w:tc>
        <w:tc>
          <w:tcPr>
            <w:tcW w:type="dxa" w:w="3106"/>
            <w:shd w:fill="EAEAE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Контекст</w:t>
            </w:r>
          </w:p>
        </w:tc>
        <w:tc>
          <w:tcPr>
            <w:tcW w:type="dxa" w:w="3106"/>
            <w:shd w:fill="EAEAE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Локальный результат</w:t>
            </w:r>
          </w:p>
        </w:tc>
      </w:tr>
      <w:tr>
        <w:trPr>
          <w:cantSplit/>
        </w:trPr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Пакетный инференс (11 485 каналов)</w:t>
            </w:r>
          </w:p>
        </w:tc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Локальный benchmark; не SLA сети заказчика</w:t>
            </w:r>
          </w:p>
        </w:tc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62,86 мс (P95 70,65 мс)</w:t>
            </w:r>
          </w:p>
        </w:tc>
      </w:tr>
      <w:tr>
        <w:trPr>
          <w:cantSplit/>
        </w:trPr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Один канал</w:t>
            </w:r>
          </w:p>
        </w:tc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Локальный benchmark</w:t>
            </w:r>
          </w:p>
        </w:tc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1,498 мс (P95 2,585 мс)</w:t>
            </w:r>
          </w:p>
        </w:tc>
      </w:tr>
      <w:tr>
        <w:trPr>
          <w:cantSplit/>
        </w:trPr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Throughput инференса</w:t>
            </w:r>
          </w:p>
        </w:tc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Локальная оценка</w:t>
            </w:r>
          </w:p>
        </w:tc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182 697 каналов/с</w:t>
            </w:r>
          </w:p>
        </w:tc>
      </w:tr>
      <w:tr>
        <w:trPr>
          <w:cantSplit/>
        </w:trPr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HTTP loopback (500 запросов, 20 воркеров)</w:t>
            </w:r>
          </w:p>
        </w:tc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TCP loopback, локальный стенд</w:t>
            </w:r>
          </w:p>
        </w:tc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111,3 RPS; P50 171,76 мс; P95 252,44 мс</w:t>
            </w:r>
          </w:p>
        </w:tc>
      </w:tr>
    </w:tbl>
    <w:p>
      <w:pPr>
        <w:spacing w:after="80" w:line="276" w:lineRule="auto"/>
      </w:pPr>
      <w:r>
        <w:rPr>
          <w:rFonts w:ascii="Arial" w:hAnsi="Arial"/>
          <w:color w:val="282828"/>
          <w:sz w:val="19"/>
        </w:rPr>
        <w:t>Отчёт также приводит throughput инференса 182 697 каналов/с и отдельный HTTP loopback тест: 500 запросов, 20 воркеров, 111,3 RPS, P50 171,76 мс, P95 252,44 мс. Эти стендовые числа не описывают задержку производственной сети.</w:t>
      </w:r>
    </w:p>
    <w:p>
      <w:pPr>
        <w:keepNext/>
        <w:spacing w:before="360" w:after="120"/>
      </w:pPr>
      <w:r>
        <w:rPr>
          <w:rFonts w:ascii="Arial" w:hAnsi="Arial"/>
          <w:b/>
          <w:color w:val="1C1D22"/>
          <w:sz w:val="30"/>
        </w:rPr>
        <w:t>6. Диспетчерское решение и локальные demo-учётки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rPr>
          <w:cantSplit/>
        </w:trPr>
        <w:tc>
          <w:tcPr>
            <w:tcW w:type="dxa" w:w="9360"/>
            <w:shd w:fill="F4F5F8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space="0" w:color="FF0053"/>
              <w:top w:val="none"/>
              <w:right w:val="none"/>
              <w:bottom w:val="none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DC1446"/>
                <w:sz w:val="18"/>
              </w:rPr>
              <w:t>Принцип безопасного локального демо: модель показывает кандидата/оценку, а решение остаётся за специалистом. Прототип не отменяет выезды и не заявляет соответствие стандартам или регламентам заказчика.</w:t>
            </w:r>
            <w:r>
              <w:rPr>
                <w:rFonts w:ascii="Arial" w:hAnsi="Arial"/>
                <w:color w:val="2D2D37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Arial" w:hAnsi="Arial"/>
          <w:b/>
          <w:color w:val="191919"/>
          <w:sz w:val="19"/>
        </w:rPr>
        <w:t>В интерфейсе специалист может просмотреть результат локального сценария и сформировать черновик. Прототип не принимает решение об отмене выезда и не заменяет аварийный регламент.</w:t>
      </w:r>
      <w:r>
        <w:rPr>
          <w:rFonts w:ascii="Arial" w:hAnsi="Arial"/>
          <w:color w:val="282828"/>
          <w:sz w:val="19"/>
        </w:rPr>
      </w:r>
    </w:p>
    <w:p>
      <w:pPr>
        <w:pStyle w:val="ListBullet"/>
        <w:spacing w:after="40" w:line="276" w:lineRule="auto"/>
      </w:pPr>
      <w:r>
        <w:rPr>
          <w:rFonts w:ascii="Arial" w:hAnsi="Arial"/>
          <w:sz w:val="19"/>
        </w:rPr>
        <w:t>Модель выдаёт риск-оценку и доступные факторы признаков. Рекомендация и объяснение не подтверждены техническим специалистом и не устанавливают причину события.</w:t>
      </w:r>
    </w:p>
    <w:p>
      <w:pPr>
        <w:pStyle w:val="ListBullet"/>
        <w:spacing w:after="40" w:line="276" w:lineRule="auto"/>
      </w:pPr>
      <w:r>
        <w:rPr>
          <w:rFonts w:ascii="Arial" w:hAnsi="Arial"/>
          <w:sz w:val="19"/>
        </w:rPr>
        <w:t>Для некоторых действий прототип запрашивает demo-ИД и шестизначный PIN из локально настроенного реестра. Это демонстрационная проверка реквизитов, а не корпоративная аутентификация, полноценная 2FA или подтверждение роли в ОДС.</w:t>
      </w:r>
    </w:p>
    <w:p>
      <w:pPr>
        <w:pStyle w:val="ListBullet"/>
        <w:spacing w:after="40" w:line="276" w:lineRule="auto"/>
      </w:pPr>
      <w:r>
        <w:rPr>
          <w:rFonts w:ascii="Arial" w:hAnsi="Arial"/>
          <w:sz w:val="19"/>
        </w:rPr>
        <w:t>Локальный журнал и SHA-256 механизм предназначены для демонстрации фиксации действий. Они не заявляются как сертифицированный, неизменяемый или соответствующий ГОСТ журнал аудита.</w:t>
      </w:r>
    </w:p>
    <w:p>
      <w:pPr>
        <w:keepNext/>
        <w:spacing w:before="360" w:after="120"/>
      </w:pPr>
      <w:r>
        <w:t>7. Автоматизация ремонтно-восстановительных работ по отраслевому регламенту ТОиР</w:t>
      </w:r>
    </w:p>
    <w:p>
      <w:pPr>
        <w:spacing w:after="80" w:line="276" w:lineRule="auto"/>
      </w:pPr>
      <w:r>
        <w:t>Рекомендации по техническому обслуживанию и наряд-заказы в прототипе демонстрационные. Их нельзя считать подтверждённым применением регламента отраслевому регламенту ТОиР или согласованной производственной инструкцией.</w:t>
      </w:r>
    </w:p>
    <w:p>
      <w:pPr>
        <w:keepNext/>
        <w:spacing w:before="240" w:after="80"/>
      </w:pPr>
      <w:r>
        <w:rPr>
          <w:rFonts w:ascii="Arial" w:hAnsi="Arial"/>
          <w:b/>
          <w:color w:val="DC1446"/>
          <w:sz w:val="25"/>
        </w:rPr>
        <w:t>Автоматическая привязка к пикетажу (ПК1–ПК120)</w:t>
      </w:r>
    </w:p>
    <w:p>
      <w:pPr>
        <w:spacing w:after="80" w:line="276" w:lineRule="auto"/>
      </w:pPr>
      <w:r>
        <w:rPr>
          <w:rFonts w:ascii="Arial" w:hAnsi="Arial"/>
          <w:color w:val="282828"/>
          <w:sz w:val="19"/>
        </w:rPr>
        <w:t>Пикетаж и координаты на карте условные. Прототип не содержит проверенной геопривязки каналов к реальной сети и не предназначен для поиска места работ бригадой.</w:t>
      </w:r>
    </w:p>
    <w:p>
      <w:pPr>
        <w:keepNext/>
        <w:spacing w:before="240" w:after="80"/>
      </w:pPr>
      <w:r>
        <w:rPr>
          <w:rFonts w:ascii="Arial" w:hAnsi="Arial"/>
          <w:b/>
          <w:color w:val="DC1446"/>
          <w:sz w:val="25"/>
        </w:rPr>
        <w:t>Маршрутизация бригад и спецификация ЗИП</w:t>
      </w:r>
    </w:p>
    <w:p>
      <w:pPr>
        <w:spacing w:after="80" w:line="276" w:lineRule="auto"/>
      </w:pPr>
      <w:r>
        <w:rPr>
          <w:rFonts w:ascii="Arial" w:hAnsi="Arial"/>
          <w:b/>
          <w:color w:val="191919"/>
          <w:sz w:val="19"/>
        </w:rPr>
        <w:t>Некоторые сценарии формируют черновик заявки локального демо. Создание черновика не подтверждает выполнение работ, выезд, расход материалов или закрытие заявки в системе заказчика.</w:t>
      </w:r>
      <w:r>
        <w:rPr>
          <w:rFonts w:ascii="Arial" w:hAnsi="Arial"/>
          <w:color w:val="282828"/>
          <w:sz w:val="19"/>
        </w:rPr>
      </w:r>
    </w:p>
    <w:p>
      <w:pPr>
        <w:pStyle w:val="ListBullet"/>
        <w:spacing w:after="40" w:line="276" w:lineRule="auto"/>
      </w:pPr>
      <w:r>
        <w:rPr>
          <w:rFonts w:ascii="Arial" w:hAnsi="Arial"/>
          <w:sz w:val="19"/>
        </w:rPr>
        <w:t>Назначение профильной службы показано как пример интерфейсного workflow; правила распределения не согласованы с заказчиком и не проверены на фактических нарядах.</w:t>
      </w:r>
    </w:p>
    <w:p>
      <w:pPr>
        <w:pStyle w:val="ListBullet"/>
        <w:spacing w:after="40" w:line="276" w:lineRule="auto"/>
      </w:pPr>
      <w:r>
        <w:rPr>
          <w:rFonts w:ascii="Arial" w:hAnsi="Arial"/>
          <w:sz w:val="19"/>
        </w:rPr>
        <w:t>Список запасных частей и материалов в демонстрации не подтверждён складскими каталогами и техническими регламентами заказчика.</w:t>
      </w:r>
    </w:p>
    <w:p>
      <w:pPr>
        <w:pStyle w:val="ListBullet"/>
        <w:spacing w:after="40" w:line="276" w:lineRule="auto"/>
      </w:pPr>
      <w:r>
        <w:rPr>
          <w:rFonts w:ascii="Arial" w:hAnsi="Arial"/>
          <w:sz w:val="19"/>
        </w:rPr>
        <w:t>Временные и денежные значения обслуживания — сценарные вводные, а не подтверждённые нормы или цены заказчика.</w:t>
      </w:r>
    </w:p>
    <w:p>
      <w:pPr>
        <w:keepNext/>
        <w:spacing w:before="360" w:after="120"/>
      </w:pPr>
      <w:r>
        <w:rPr>
          <w:rFonts w:ascii="Arial" w:hAnsi="Arial"/>
          <w:b/>
          <w:color w:val="1C1D22"/>
          <w:sz w:val="30"/>
        </w:rPr>
        <w:t>8. Оценка экономической эффективности и окупаемости</w:t>
      </w:r>
    </w:p>
    <w:p>
      <w:pPr>
        <w:spacing w:after="80" w:line="276" w:lineRule="auto"/>
      </w:pPr>
      <w:r>
        <w:rPr>
          <w:rFonts w:ascii="Arial" w:hAnsi="Arial"/>
          <w:color w:val="282828"/>
          <w:sz w:val="19"/>
        </w:rPr>
        <w:t>Экономический пример ниже — сценарная арифметика на вводных, которые не подтверждены бухгалтерскими данными, тарифами или статистикой выездов заказчика. Он не показывает реализованную экономию.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0B0B0"/>
          <w:bottom w:val="single" w:sz="8" w:space="0" w:color="B0B0B0"/>
          <w:insideH w:val="single" w:sz="4" w:space="0" w:color="B0B0B0"/>
          <w:insideV w:val="none"/>
          <w:left w:val="none"/>
          <w:right w:val="none"/>
        </w:tblBorders>
      </w:tblPr>
      <w:tblGrid>
        <w:gridCol w:w="3106"/>
        <w:gridCol w:w="3106"/>
        <w:gridCol w:w="3106"/>
      </w:tblGrid>
      <w:tr>
        <w:trPr>
          <w:cantSplit/>
        </w:trPr>
        <w:tc>
          <w:tcPr>
            <w:tcW w:type="dxa" w:w="3106"/>
            <w:shd w:fill="EAEAE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Параметр сценария</w:t>
            </w:r>
          </w:p>
        </w:tc>
        <w:tc>
          <w:tcPr>
            <w:tcW w:type="dxa" w:w="3106"/>
            <w:shd w:fill="EAEAE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Условная вводная</w:t>
            </w:r>
          </w:p>
        </w:tc>
        <w:tc>
          <w:tcPr>
            <w:tcW w:type="dxa" w:w="3106"/>
            <w:shd w:fill="EAEAE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Ограничение</w:t>
            </w:r>
          </w:p>
        </w:tc>
      </w:tr>
      <w:tr>
        <w:trPr>
          <w:cantSplit/>
        </w:trPr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Стоимость выезда</w:t>
            </w:r>
          </w:p>
        </w:tc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18 500 ₽</w:t>
            </w:r>
          </w:p>
        </w:tc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Источник и применимость не подтверждены</w:t>
            </w:r>
          </w:p>
        </w:tc>
      </w:tr>
      <w:tr>
        <w:trPr>
          <w:cantSplit/>
        </w:trPr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Стоимость планового ТО</w:t>
            </w:r>
          </w:p>
        </w:tc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3 200 ₽</w:t>
            </w:r>
          </w:p>
        </w:tc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Не подтверждённый тариф/норматив</w:t>
            </w:r>
          </w:p>
        </w:tc>
      </w:tr>
      <w:tr>
        <w:trPr>
          <w:cantSplit/>
        </w:trPr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Разница в примере</w:t>
            </w:r>
          </w:p>
        </w:tc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15 300 ₽ на условный случай</w:t>
            </w:r>
          </w:p>
        </w:tc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Не измеренная экономия</w:t>
            </w:r>
          </w:p>
        </w:tc>
      </w:tr>
      <w:tr>
        <w:trPr>
          <w:cantSplit/>
        </w:trPr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Годовой диапазон при 230–310 случаях/мес.</w:t>
            </w:r>
          </w:p>
        </w:tc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42,2–56,9 млн ₽/год (арифметическая оценка)</w:t>
            </w:r>
          </w:p>
        </w:tc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Частота, предотвращаемая доля и эффект не проверены; ROI/payback не рассчитывались</w:t>
            </w:r>
          </w:p>
        </w:tc>
      </w:tr>
    </w:tbl>
    <w:p>
      <w:pPr>
        <w:spacing w:after="80" w:line="276" w:lineRule="auto"/>
      </w:pPr>
      <w:r>
        <w:rPr>
          <w:rFonts w:ascii="Arial" w:hAnsi="Arial"/>
          <w:color w:val="282828"/>
          <w:sz w:val="19"/>
        </w:rPr>
        <w:t>При условных 230–310 случаях в месяц, разнице 15 300 ₽ между вводами 18 500 ₽ и 3 200 ₽, арифметический диапазон равен 42,2–56,9 млн ₽ в год. Не подтверждены ни сами вводные, ни доля случаев, которые можно изменить; стоимость внедрения, окупаемость и ROI не рассчитаны.</w:t>
      </w:r>
    </w:p>
    <w:p>
      <w:pPr>
        <w:keepNext/>
        <w:spacing w:before="360" w:after="120"/>
      </w:pPr>
      <w:r>
        <w:rPr>
          <w:rFonts w:ascii="Arial" w:hAnsi="Arial"/>
          <w:b/>
          <w:color w:val="1C1D22"/>
          <w:sz w:val="30"/>
        </w:rPr>
        <w:t>9. Нормативно-правовое соответствие и защита КИИ</w:t>
      </w:r>
    </w:p>
    <w:p>
      <w:pPr>
        <w:spacing w:after="80" w:line="276" w:lineRule="auto"/>
      </w:pPr>
      <w:r>
        <w:rPr>
          <w:rFonts w:ascii="Arial" w:hAnsi="Arial"/>
          <w:color w:val="282828"/>
          <w:sz w:val="19"/>
        </w:rPr>
        <w:t>Прототип не проходил оценку соответствия 149-ФЗ, 152-ФЗ, требованиям КИИ или стандартам. Настоящий документ не является юридическим заключением или подтверждением выполнения обязательных требований.</w:t>
      </w:r>
    </w:p>
    <w:p>
      <w:pPr>
        <w:pStyle w:val="ListBullet"/>
        <w:spacing w:after="40" w:line="276" w:lineRule="auto"/>
      </w:pPr>
      <w:r>
        <w:rPr>
          <w:rFonts w:ascii="Arial" w:hAnsi="Arial"/>
          <w:sz w:val="19"/>
        </w:rPr>
        <w:t>В рабочие SCADA/АСУ ТП АО «Москоллектор» интеграции нет. Локальный интерфейс не подключён к управлению оборудованием; режимы доступа производственной системы не испытывались.</w:t>
      </w:r>
    </w:p>
    <w:p>
      <w:pPr>
        <w:pStyle w:val="ListBullet"/>
        <w:spacing w:after="40" w:line="276" w:lineRule="auto"/>
      </w:pPr>
      <w:r>
        <w:rPr>
          <w:rFonts w:ascii="Arial" w:hAnsi="Arial"/>
          <w:sz w:val="19"/>
        </w:rPr>
        <w:t>Карта в демо использует условную топологию. Она не должна интерпретироваться как точная карта коллекторов или как результат проверки режима обращения с геоданными заказчика.</w:t>
      </w:r>
    </w:p>
    <w:p>
      <w:pPr>
        <w:pStyle w:val="ListBullet"/>
        <w:spacing w:after="40" w:line="276" w:lineRule="auto"/>
      </w:pPr>
      <w:r>
        <w:rPr>
          <w:rFonts w:ascii="Arial" w:hAnsi="Arial"/>
          <w:sz w:val="19"/>
        </w:rPr>
        <w:t>Наличие demo-ИД в локальном сценарии означает, что проектные файлы и журнал могут содержать тестовые идентификаторы. Для пилота состав данных, доступ, хранение и обработку персональных данных нужно отдельно согласовать и оценить.</w:t>
      </w:r>
    </w:p>
    <w:p>
      <w:pPr>
        <w:pStyle w:val="ListBullet"/>
        <w:spacing w:after="40" w:line="276" w:lineRule="auto"/>
      </w:pPr>
      <w:r>
        <w:rPr>
          <w:rFonts w:ascii="Arial" w:hAnsi="Arial"/>
          <w:sz w:val="19"/>
        </w:rPr>
        <w:t>Air-gap, отказ от внешних сервисов и безопасность развёртывания в закрытой сети заказчика не проверялись. Эти свойства нужно подтвердить отдельным проектированием и испытаниями.</w:t>
      </w:r>
    </w:p>
    <w:p>
      <w:pPr>
        <w:keepNext/>
        <w:spacing w:before="360" w:after="120"/>
      </w:pPr>
      <w:r>
        <w:rPr>
          <w:rFonts w:ascii="Arial" w:hAnsi="Arial"/>
          <w:b/>
          <w:color w:val="1C1D22"/>
          <w:sz w:val="30"/>
        </w:rPr>
        <w:t>10. Инструкция по сборке, установке и запуску</w:t>
      </w:r>
    </w:p>
    <w:p>
      <w:pPr>
        <w:spacing w:after="80" w:line="276" w:lineRule="auto"/>
      </w:pPr>
      <w:r>
        <w:rPr>
          <w:rFonts w:ascii="Arial" w:hAnsi="Arial"/>
          <w:color w:val="282828"/>
          <w:sz w:val="19"/>
        </w:rPr>
        <w:t>Инструкции ниже предназначены для запуска локальной демонстрации. Перед запуском ознакомьтесь с актуальным README.md; контейнеризацию и эксплуатацию в production следует проверять отдельно.</w:t>
      </w:r>
    </w:p>
    <w:p>
      <w:pPr>
        <w:keepNext/>
        <w:spacing w:before="240" w:after="80"/>
      </w:pPr>
      <w:r>
        <w:rPr>
          <w:rFonts w:ascii="Arial" w:hAnsi="Arial"/>
          <w:b/>
          <w:color w:val="DC1446"/>
          <w:sz w:val="25"/>
        </w:rPr>
        <w:t>Вариант 1. Локальный запуск в Docker</w:t>
      </w:r>
    </w:p>
    <w:p>
      <w:pPr>
        <w:spacing w:after="80" w:line="276" w:lineRule="auto"/>
      </w:pPr>
      <w:r>
        <w:rPr>
          <w:rFonts w:ascii="Arial" w:hAnsi="Arial"/>
          <w:b/>
          <w:color w:val="191919"/>
          <w:sz w:val="19"/>
        </w:rPr>
        <w:t>Команда из корневого каталога запускает локальный стенд согласно README, если установлены зависимости и требуемые данные. Это не production-конфигурация.</w:t>
      </w:r>
      <w:r>
        <w:rPr>
          <w:rFonts w:ascii="Arial" w:hAnsi="Arial"/>
          <w:color w:val="282828"/>
          <w:sz w:val="19"/>
        </w:rPr>
      </w:r>
    </w:p>
    <w:p>
      <w:pPr>
        <w:spacing w:after="80" w:line="276" w:lineRule="auto"/>
      </w:pPr>
      <w:r>
        <w:rPr>
          <w:rFonts w:ascii="Arial" w:hAnsi="Arial"/>
          <w:color w:val="282828"/>
          <w:sz w:val="19"/>
        </w:rPr>
        <w:t>docker compose up --build -d</w:t>
      </w:r>
    </w:p>
    <w:p>
      <w:pPr>
        <w:spacing w:after="80" w:line="276" w:lineRule="auto"/>
      </w:pPr>
      <w:r>
        <w:rPr>
          <w:rFonts w:ascii="Arial" w:hAnsi="Arial"/>
          <w:color w:val="282828"/>
          <w:sz w:val="19"/>
        </w:rPr>
        <w:t>Адрес интерфейса и API зависит от локальной конфигурации запуска; актуальные адреса указаны в README.</w:t>
      </w:r>
    </w:p>
    <w:p>
      <w:pPr>
        <w:keepNext/>
        <w:spacing w:before="240" w:after="80"/>
      </w:pPr>
      <w:r>
        <w:rPr>
          <w:rFonts w:ascii="Arial" w:hAnsi="Arial"/>
          <w:b/>
          <w:color w:val="DC1446"/>
          <w:sz w:val="25"/>
        </w:rPr>
        <w:t>Вариант 2. Локальный запуск на Windows / Linux</w:t>
      </w:r>
    </w:p>
    <w:p>
      <w:pPr>
        <w:spacing w:after="80" w:line="276" w:lineRule="auto"/>
      </w:pPr>
      <w:r>
        <w:rPr>
          <w:rFonts w:ascii="Arial" w:hAnsi="Arial"/>
          <w:color w:val="282828"/>
          <w:sz w:val="19"/>
        </w:rPr>
        <w:t>Вариант 2. Локальный запуск Windows / Linux</w:t>
      </w:r>
    </w:p>
    <w:p>
      <w:pPr>
        <w:pStyle w:val="ListBullet"/>
        <w:spacing w:after="40" w:line="276" w:lineRule="auto"/>
      </w:pPr>
      <w:r>
        <w:rPr>
          <w:rFonts w:ascii="Arial" w:hAnsi="Arial"/>
          <w:sz w:val="19"/>
        </w:rPr>
        <w:t>Установите зависимости по актуальным инструкциям README. Перед повторным обучением проверьте наличие локальных исходных данных и кэша признаков.</w:t>
      </w:r>
    </w:p>
    <w:p>
      <w:pPr>
        <w:pStyle w:val="ListBullet"/>
        <w:spacing w:after="40" w:line="276" w:lineRule="auto"/>
      </w:pPr>
      <w:r>
        <w:rPr>
          <w:rFonts w:ascii="Arial" w:hAnsi="Arial"/>
          <w:sz w:val="19"/>
        </w:rPr>
        <w:t>Соберите frontend из каталога frontend командами package manager, указанными в README.</w:t>
      </w:r>
    </w:p>
    <w:p>
      <w:pPr>
        <w:pStyle w:val="ListBullet"/>
        <w:spacing w:after="40" w:line="276" w:lineRule="auto"/>
      </w:pPr>
      <w:r>
        <w:rPr>
          <w:rFonts w:ascii="Arial" w:hAnsi="Arial"/>
          <w:sz w:val="19"/>
        </w:rPr>
        <w:t>Запустите backend локально согласно README. Параметры bind-адреса и доступ из сети нужно выбирать только для локального сценария.</w:t>
      </w:r>
    </w:p>
    <w:p>
      <w:pPr>
        <w:keepNext/>
        <w:spacing w:before="240" w:after="80"/>
      </w:pPr>
      <w:r>
        <w:rPr>
          <w:rFonts w:ascii="Arial" w:hAnsi="Arial"/>
          <w:b/>
          <w:color w:val="DC1446"/>
          <w:sz w:val="25"/>
        </w:rPr>
        <w:t>Запуск автоматического тестирования</w:t>
      </w:r>
    </w:p>
    <w:p>
      <w:pPr>
        <w:spacing w:after="80" w:line="276" w:lineRule="auto"/>
      </w:pPr>
      <w:r>
        <w:rPr>
          <w:rFonts w:ascii="Arial" w:hAnsi="Arial"/>
          <w:color w:val="282828"/>
          <w:sz w:val="19"/>
        </w:rPr>
        <w:t>Проверка API запускается отдельной командой; количество пропусков зависит от локальной настройки demo-учётных данных.</w:t>
      </w:r>
    </w:p>
    <w:p>
      <w:pPr>
        <w:spacing w:after="80" w:line="276" w:lineRule="auto"/>
      </w:pPr>
      <w:r>
        <w:rPr>
          <w:rFonts w:ascii="Arial" w:hAnsi="Arial"/>
          <w:color w:val="282828"/>
          <w:sz w:val="19"/>
        </w:rPr>
        <w:t>python -m pytest tests/test_api.py -v</w:t>
      </w:r>
    </w:p>
    <w:p>
      <w:pPr>
        <w:spacing w:after="80" w:line="276" w:lineRule="auto"/>
      </w:pPr>
      <w:r>
        <w:rPr>
          <w:rFonts w:ascii="Arial" w:hAnsi="Arial"/>
          <w:color w:val="282828"/>
          <w:sz w:val="19"/>
        </w:rPr>
        <w:t>В недавнем прогоне изолированной копии с локальными demo-реквизитами прошло 27 тестов (один warning Starlette); без реквизитов прошло 20 тестов, 7 проверок авторизованных изменений пропущены. Для подробностей локальной настройки см. README. Это результат конкретного прогона, не гарантия для другого окружения.</w:t>
      </w:r>
    </w:p>
    <w:p>
      <w:pPr>
        <w:keepNext/>
        <w:spacing w:before="360" w:after="120"/>
      </w:pPr>
      <w:r>
        <w:rPr>
          <w:rFonts w:ascii="Arial" w:hAnsi="Arial"/>
          <w:b/>
          <w:color w:val="1C1D22"/>
          <w:sz w:val="30"/>
        </w:rPr>
        <w:t>11. Спецификация программных интерфейсов (REST API)</w:t>
      </w:r>
    </w:p>
    <w:p>
      <w:pPr>
        <w:spacing w:after="80" w:line="276" w:lineRule="auto"/>
      </w:pPr>
      <w:r>
        <w:rPr>
          <w:rFonts w:ascii="Arial" w:hAnsi="Arial"/>
          <w:color w:val="282828"/>
          <w:sz w:val="19"/>
        </w:rPr>
        <w:t>OpenAPI/Swagger доступен при локально запущенном API; путь и порт указаны в README.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0B0B0"/>
          <w:bottom w:val="single" w:sz="8" w:space="0" w:color="B0B0B0"/>
          <w:insideH w:val="single" w:sz="4" w:space="0" w:color="B0B0B0"/>
          <w:insideV w:val="none"/>
          <w:left w:val="none"/>
          <w:right w:val="none"/>
        </w:tblBorders>
      </w:tblPr>
      <w:tblGrid>
        <w:gridCol w:w="3106"/>
        <w:gridCol w:w="3106"/>
        <w:gridCol w:w="3106"/>
      </w:tblGrid>
      <w:tr>
        <w:trPr>
          <w:cantSplit/>
        </w:trPr>
        <w:tc>
          <w:tcPr>
            <w:tcW w:type="dxa" w:w="3106"/>
            <w:shd w:fill="EAEAE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HTTP Метод и URI</w:t>
            </w:r>
          </w:p>
        </w:tc>
        <w:tc>
          <w:tcPr>
            <w:tcW w:type="dxa" w:w="3106"/>
            <w:shd w:fill="EAEAE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Назначение метода</w:t>
            </w:r>
          </w:p>
        </w:tc>
        <w:tc>
          <w:tcPr>
            <w:tcW w:type="dxa" w:w="3106"/>
            <w:shd w:fill="EAEAE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Параметры и возвращаемый результат</w:t>
            </w:r>
          </w:p>
        </w:tc>
      </w:tr>
      <w:tr>
        <w:trPr>
          <w:cantSplit/>
        </w:trPr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GET /api/predictions</w:t>
            </w:r>
          </w:p>
        </w:tc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Список предиктивных оценок датчиков</w:t>
            </w:r>
          </w:p>
        </w:tc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Фильтрация по уровню риска, объекту, типу датчика, пагинация.</w:t>
            </w:r>
          </w:p>
        </w:tc>
      </w:tr>
      <w:tr>
        <w:trPr>
          <w:cantSplit/>
        </w:trPr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POST /api/predictions/score</w:t>
            </w:r>
          </w:p>
        </w:tc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Онлайн-скоринг вектора датчика (Sandbox)</w:t>
            </w:r>
          </w:p>
        </w:tc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Вход: телеметрические фичи. Выход: риск, латентность (мс), статус.</w:t>
            </w:r>
          </w:p>
        </w:tc>
      </w:tr>
      <w:tr>
        <w:trPr>
          <w:cantSplit/>
        </w:trPr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GET /api/predictions/benchmark</w:t>
            </w:r>
          </w:p>
        </w:tc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Бенчмарк быстродействия ML-модели</w:t>
            </w:r>
          </w:p>
        </w:tc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Статистика по 100 итерациям: среднее, P95, пропускная способность.</w:t>
            </w:r>
          </w:p>
        </w:tc>
      </w:tr>
      <w:tr>
        <w:trPr>
          <w:cantSplit/>
        </w:trPr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GET /api/alarms/false-candidates</w:t>
            </w:r>
          </w:p>
        </w:tc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Очередь кандидатов на ложную тревогу</w:t>
            </w:r>
          </w:p>
        </w:tc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Выдаёт кандидатов для просмотра; не подтверждает ложность тревоги</w:t>
            </w:r>
          </w:p>
        </w:tc>
      </w:tr>
      <w:tr>
        <w:trPr>
          <w:cantSplit/>
        </w:trPr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POST /api/alarms/confirm</w:t>
            </w:r>
          </w:p>
        </w:tc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Human-in-the-Loop подтверждение диспетчером</w:t>
            </w:r>
          </w:p>
        </w:tc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Требует demo-ИД/PIN для локального действия; это не корпоративная аутентификация</w:t>
            </w:r>
          </w:p>
        </w:tc>
      </w:tr>
      <w:tr>
        <w:trPr>
          <w:cantSplit/>
        </w:trPr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GET /api/settings, POST /api/settings</w:t>
            </w:r>
          </w:p>
        </w:tc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Чтение и изменение параметров системы</w:t>
            </w:r>
          </w:p>
        </w:tc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Чтение/изменение локальных demo-параметров; тарифы и пороги не нормативны</w:t>
            </w:r>
          </w:p>
        </w:tc>
      </w:tr>
      <w:tr>
        <w:trPr>
          <w:cantSplit/>
        </w:trPr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GET /api/stats/summary</w:t>
            </w:r>
          </w:p>
        </w:tc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Сводная аналитика и динамический OPEX</w:t>
            </w:r>
          </w:p>
        </w:tc>
        <w:tc>
          <w:tcPr>
            <w:tcW w:type="dxa" w:w="3106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Сводка локальных событий/сценарных сумм; не число предотвращённых аварий или подтверждённая экономия</w:t>
            </w:r>
          </w:p>
        </w:tc>
      </w:tr>
    </w:tbl>
    <w:p>
      <w:pPr>
        <w:keepNext/>
        <w:spacing w:before="360" w:after="120"/>
      </w:pPr>
      <w:r>
        <w:rPr>
          <w:rFonts w:ascii="Arial" w:hAnsi="Arial"/>
          <w:b/>
          <w:color w:val="1C1D22"/>
          <w:sz w:val="30"/>
        </w:rPr>
        <w:t>12. Дорожная карта пилотного внедрения</w:t>
      </w:r>
    </w:p>
    <w:p>
      <w:pPr>
        <w:spacing w:after="80" w:line="276" w:lineRule="auto"/>
      </w:pPr>
      <w:r>
        <w:rPr>
          <w:rFonts w:ascii="Arial" w:hAnsi="Arial"/>
          <w:color w:val="282828"/>
          <w:sz w:val="19"/>
        </w:rPr>
        <w:t>Следующие шаги — предложение для обсуждения, а не согласованный заказчиком план пилота. До пилота нужны доступ к подтверждённым данным, критерии сравнения с фактическими исходами, регламенты, оценка безопасности и письменное согласование.</w:t>
      </w:r>
    </w:p>
    <w:p>
      <w:pPr>
        <w:pStyle w:val="ListBullet"/>
        <w:spacing w:after="40" w:line="276" w:lineRule="auto"/>
      </w:pPr>
      <w:r>
        <w:rPr>
          <w:rFonts w:ascii="Arial" w:hAnsi="Arial"/>
          <w:sz w:val="19"/>
        </w:rPr>
        <w:t>Этап 1: согласовать состав данных, допустимый режим доступа, локальное provisioning demo-учёток и критерии аудита.</w:t>
      </w:r>
    </w:p>
    <w:p>
      <w:pPr>
        <w:pStyle w:val="ListBullet"/>
        <w:spacing w:after="40" w:line="276" w:lineRule="auto"/>
      </w:pPr>
      <w:r>
        <w:rPr>
          <w:rFonts w:ascii="Arial" w:hAnsi="Arial"/>
          <w:sz w:val="19"/>
        </w:rPr>
        <w:t>Этап 2: провести ограниченный тест на копии/потоке данных, предоставленном и разрешённом заказчиком; решения специалистов не автоматизировать.</w:t>
      </w:r>
    </w:p>
    <w:p>
      <w:pPr>
        <w:pStyle w:val="ListBullet"/>
        <w:spacing w:after="40" w:line="276" w:lineRule="auto"/>
      </w:pPr>
      <w:r>
        <w:rPr>
          <w:rFonts w:ascii="Arial" w:hAnsi="Arial"/>
          <w:sz w:val="19"/>
        </w:rPr>
        <w:t>Этап 3: сравнить proxy-прогнозы с реальными ремонтами и диспетчерскими решениями; оценить рекомендации, ошибки и экономику по подтверждённым данным.</w:t>
      </w:r>
    </w:p>
    <w:p>
      <w:pPr>
        <w:pStyle w:val="ListBullet"/>
        <w:spacing w:after="40" w:line="276" w:lineRule="auto"/>
      </w:pPr>
      <w:r>
        <w:rPr>
          <w:rFonts w:ascii="Arial" w:hAnsi="Arial"/>
          <w:sz w:val="19"/>
        </w:rPr>
        <w:t>Этап 4: решение о масштабировании принимать только после отдельного согласования результатов, интеграций, требований безопасности и финансирования.</w:t>
      </w:r>
    </w:p>
    <w:sectPr w:rsidR="00FC693F" w:rsidRPr="0006063C" w:rsidSect="00034616"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