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rial" w:hAnsi="Arial"/>
          <w:b/>
          <w:i w:val="0"/>
          <w:color w:val="5F5F69"/>
          <w:sz w:val="22"/>
        </w:rPr>
        <w:t>ХАКАТОН «ЛИДЕРЫ ЦИФРОВОЙ ТРАНСФОРМАЦИИ» 2026 · КЕЙС №8</w:t>
        <w:br/>
        <w:t>ДЕПАРТАМЕНТ ЖКХ ГОРОДА МОСКВЫ / АО «МОСКОЛЛЕКТОР»</w:t>
      </w:r>
    </w:p>
    <w:p>
      <w:pPr>
        <w:spacing w:before="520" w:after="200"/>
        <w:jc w:val="center"/>
      </w:pPr>
      <w:r>
        <w:rPr>
          <w:rFonts w:ascii="Arial" w:hAnsi="Arial"/>
          <w:b/>
          <w:i w:val="0"/>
          <w:color w:val="1C1D22"/>
          <w:sz w:val="44"/>
        </w:rPr>
        <w:t>ПОЯСНИТЕЛЬНАЯ ЗАПИСКА</w:t>
        <w:br/>
        <w:t>«МОСКОЛЛЕКТОР.НЕЙРОКОНТУР»</w:t>
      </w:r>
    </w:p>
    <w:p>
      <w:pPr>
        <w:spacing w:after="440"/>
        <w:jc w:val="center"/>
      </w:pPr>
      <w:r>
        <w:rPr>
          <w:rFonts w:ascii="Arial" w:hAnsi="Arial"/>
          <w:b w:val="0"/>
          <w:i/>
          <w:color w:val="5F5F69"/>
          <w:sz w:val="22"/>
        </w:rPr>
        <w:t>Сервис прогнозирования инцидентов и управления ремонтными работами инженерных коллекторов Москвы.</w:t>
        <w:br/>
        <w:t>Редакция для финального этапа (октябрь 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4658"/>
        <w:gridCol w:w="4658"/>
      </w:tblGrid>
      <w:tr>
        <w:trPr>
          <w:cantSplit/>
          <w:tblHeader/>
        </w:trPr>
        <w:tc>
          <w:tcPr>
            <w:tcW w:type="dxa" w:w="244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8"/>
              </w:rPr>
              <w:t>Параметр</w:t>
            </w:r>
          </w:p>
        </w:tc>
        <w:tc>
          <w:tcPr>
            <w:tcW w:type="dxa" w:w="676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8"/>
              </w:rPr>
              <w:t>Заказчик задачи</w:t>
            </w:r>
          </w:p>
        </w:tc>
        <w:tc>
          <w:tcPr>
            <w:tcW w:type="dxa" w:w="67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АО «Москоллектор», Департамент жилищно-коммунального хозяйства города Москвы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8"/>
              </w:rPr>
              <w:t>Команда</w:t>
            </w:r>
          </w:p>
        </w:tc>
        <w:tc>
          <w:tcPr>
            <w:tcW w:type="dxa" w:w="67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Vector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8"/>
              </w:rPr>
              <w:t>Объект автоматизации</w:t>
            </w:r>
          </w:p>
        </w:tc>
        <w:tc>
          <w:tcPr>
            <w:tcW w:type="dxa" w:w="67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Коллекторы Москвы (825 км); в данных организаторов — 11 485 каналов СМВУ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8"/>
              </w:rPr>
              <w:t>Что делает решение</w:t>
            </w:r>
          </w:p>
        </w:tc>
        <w:tc>
          <w:tcPr>
            <w:tcW w:type="dxa" w:w="67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Ранжирует каналы по риску инцидента на горизонте 24–72 ч; ловит быстрые опасные события (газ, перегрев, пожар, затопление, дребезг, потеря связи); ведёт журнал решений диспетчера; готовит черновики заявок ТО/ППР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8"/>
              </w:rPr>
              <w:t>Стек</w:t>
            </w:r>
          </w:p>
        </w:tc>
        <w:tc>
          <w:tcPr>
            <w:tcW w:type="dxa" w:w="67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Python 3.10, FastAPI, LightGBM, scikit-learn, Pydantic v2; React 18, TypeScript, Vite, Leaflet; Docker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8"/>
              </w:rPr>
              <w:t>Состояние</w:t>
            </w:r>
          </w:p>
        </w:tc>
        <w:tc>
          <w:tcPr>
            <w:tcW w:type="dxa" w:w="67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Рабочий прототип: REST API, веб-интерфейс двух ролей, 108 автотестов; подключения к СМВУ и CMMS заказчика нет (интеграция описана в п. 9)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8"/>
              </w:rPr>
              <w:t>Исходный код и стенд</w:t>
            </w:r>
          </w:p>
        </w:tc>
        <w:tc>
          <w:tcPr>
            <w:tcW w:type="dxa" w:w="67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SourceCraft (основной репозиторий), GitHub (зеркало), стенд на Render; ссылки — в README.md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rPr>
          <w:cantSplit/>
        </w:trPr>
        <w:tc>
          <w:tcPr>
            <w:tcW w:type="dxa" w:w="9216"/>
            <w:shd w:val="clear" w:color="auto" w:fill="F6F4EE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left w:val="single" w:sz="24" w:space="0" w:color="E5412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C81E3C"/>
                <w:sz w:val="18"/>
              </w:rPr>
              <w:t xml:space="preserve">[КАК ЧИТАТЬ ЦИФРЫ] </w:t>
            </w: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Все результаты проверки прогноза получены на журнале СМВУ за 2026 год, предоставленном организаторами. Актов ремонтов (1С:ТОИР / CMMS) в данных нет, поэтому «событие» — это разметка по журналу (неисправность, сбой связи, сброс часов, опасное значение), а не подтверждённая авария. Результаты Сценарного полигона получены на синтетических данных и проверяют логику, а не качество на реальных авариях.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1. Назначение и подход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Задача из технического задания: заранее предупреждать диспетчера о риске инцидента в коллекторах, показывать вероятность, горизонт, локацию и причины, фиксировать решение диспетчера в журнале и готовить рекомендации и заявки на обслуживание. Интеграция с внутренними системами заказчика допускается только в режиме «только чтение».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Мы разделили задачу на два слоя, потому что у них разная скорость и разный способ проверки: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55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F5F69"/>
          <w:sz w:val="17"/>
        </w:rPr>
        <w:t>Рис. 1. Два слоя решения и общий список диспетчера</w:t>
      </w:r>
    </w:p>
    <w:p>
      <w:pPr>
        <w:pStyle w:val="ListBullet"/>
        <w:spacing w:after="40" w:line="264" w:lineRule="auto"/>
      </w:pPr>
      <w:r>
        <w:rPr>
          <w:rFonts w:ascii="Arial" w:hAnsi="Arial"/>
          <w:b/>
          <w:i w:val="0"/>
          <w:color w:val="1C1D22"/>
          <w:sz w:val="20"/>
        </w:rPr>
        <w:t xml:space="preserve">Слой 1 — быстрый контур: </w:t>
      </w:r>
      <w:r>
        <w:rPr>
          <w:rFonts w:ascii="Arial" w:hAnsi="Arial"/>
          <w:b w:val="0"/>
          <w:i w:val="0"/>
          <w:color w:val="1C1D22"/>
          <w:sz w:val="20"/>
        </w:rPr>
        <w:t>правила по порогам и скорости роста значений ловят газ, перегрев, пожар, затопление, дребезг контактов и потерю связи за секунды и минуты. Проверяются на Сценарном полигоне (п. 5); на реальных данных такие события в журнале практически не встречаются.</w:t>
      </w:r>
    </w:p>
    <w:p>
      <w:pPr>
        <w:pStyle w:val="ListBullet"/>
        <w:spacing w:after="40" w:line="264" w:lineRule="auto"/>
      </w:pPr>
      <w:r>
        <w:rPr>
          <w:rFonts w:ascii="Arial" w:hAnsi="Arial"/>
          <w:b/>
          <w:i w:val="0"/>
          <w:color w:val="1C1D22"/>
          <w:sz w:val="20"/>
        </w:rPr>
        <w:t xml:space="preserve">Слой 2 — прогноз деградации: </w:t>
      </w:r>
      <w:r>
        <w:rPr>
          <w:rFonts w:ascii="Arial" w:hAnsi="Arial"/>
          <w:b w:val="0"/>
          <w:i w:val="0"/>
          <w:color w:val="1C1D22"/>
          <w:sz w:val="20"/>
        </w:rPr>
        <w:t>модель LightGBM оценивает по истории канала, насколько вероятна неисправность или опасное значение в окне 24–72 часа. Проверяется бэктестом на реальном журнале (п. 4).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Что реализовано и что остаётся на пилот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3106"/>
        <w:gridCol w:w="3106"/>
        <w:gridCol w:w="3106"/>
      </w:tblGrid>
      <w:tr>
        <w:trPr>
          <w:cantSplit/>
          <w:tblHeader/>
        </w:trPr>
        <w:tc>
          <w:tcPr>
            <w:tcW w:type="dxa" w:w="417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Возможность</w:t>
            </w:r>
          </w:p>
        </w:tc>
        <w:tc>
          <w:tcPr>
            <w:tcW w:type="dxa" w:w="244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 прототипе</w:t>
            </w:r>
          </w:p>
        </w:tc>
        <w:tc>
          <w:tcPr>
            <w:tcW w:type="dxa" w:w="259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На пилоте у заказчика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Прогноз риска по каналам на 24–72 ч, объяснение факторов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да, на журнале организаторов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подключение потока СМВУ, дообучение на актах ТОИР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Быстрый контур: газ, температура, пожар, затопление, дребезг, потеря связи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да, на синтетических сценариях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настройка порогов по паспортам оборудования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Журнал решений диспетчера с цепочкой SHA-256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да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перенос в СУБД заказчика (PostgreSQL)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Заявки ТО/ППР (черновики)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да, JSON-хранилище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выгрузка в CMMS / 1С:ТОИР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Две роли: техник («Поле») и диспетчер («Сводка», «Обстановка»)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да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вход через каталог пользователей (LDAP/AD)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Режим «только чтение» к данным заказчика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да (прототип читает файлы)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read-only учётная запись СМВУ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Подключение к СМВУ / ОДС / CMMS в реальном времени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нет (описано в п. 9)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основная работа пилота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Еженедельное дообучение модели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проверено бэктестом; в демо стоит январская модель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автоматизировать по расписанию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2. Функциональная и компонентная архитектура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42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F5F69"/>
          <w:sz w:val="17"/>
        </w:rPr>
        <w:t>Рис. 2. Компоненты решения и потоки данных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Решение — отдельный сервис (REST API + веб-интерфейс), который можно развернуть самостоятельно или встроить как компонент в существующую систему. Исходный код открыт, не обфусцирован; сложные места снабжены комментариями.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3106"/>
        <w:gridCol w:w="3106"/>
        <w:gridCol w:w="3106"/>
      </w:tblGrid>
      <w:tr>
        <w:trPr>
          <w:cantSplit/>
          <w:tblHeader/>
        </w:trPr>
        <w:tc>
          <w:tcPr>
            <w:tcW w:type="dxa" w:w="201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Компонент</w:t>
            </w:r>
          </w:p>
        </w:tc>
        <w:tc>
          <w:tcPr>
            <w:tcW w:type="dxa" w:w="331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Где в репозитории</w:t>
            </w:r>
          </w:p>
        </w:tc>
        <w:tc>
          <w:tcPr>
            <w:tcW w:type="dxa" w:w="388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Признаки</w:t>
            </w:r>
          </w:p>
        </w:tc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backend/ml/features.py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21 признак по каналу за 24 ч и 7 дней, правило разметки события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Обучение и метрики</w:t>
            </w:r>
          </w:p>
        </w:tc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backend/ml/train_validated_model.py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обучение LightGBM, калибровка, сравнение с логистической регрессией и случайным лесом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Бэктест</w:t>
            </w:r>
          </w:p>
        </w:tc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scripts/rolling_backtest.py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21 недельная проверка вперёд по времени, отчёт backend/models/rolling_backtest_report.json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API</w:t>
            </w:r>
          </w:p>
        </w:tc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backend/app/api/*.py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predictions, alarms, tickets, objects, settings, stats, simulation, scenarios, synthetic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Сервисы</w:t>
            </w:r>
          </w:p>
        </w:tc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backend/app/services/*.py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ml_service (скоринг, журнал решений, PIN), data_service (реестры), scenario_engine (быстрый контур и полигон)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Интерфейс</w:t>
            </w:r>
          </w:p>
        </w:tc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frontend/src/*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shell (вход и роли), field (техник), summary и situation (диспетчер), scenarios, components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Тесты</w:t>
            </w:r>
          </w:p>
        </w:tc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tests/*.py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108 автотестов: API, калибровка, бэктест, синтетический пайплайн, Сценарный полигон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Программные интерфейсы (REST)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Полная схема — OpenAPI: страница /docs работающего сервиса и файл /api/openapi.json. Основные группы: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4658"/>
        <w:gridCol w:w="4658"/>
      </w:tblGrid>
      <w:tr>
        <w:trPr>
          <w:cantSplit/>
          <w:tblHeader/>
        </w:trPr>
        <w:tc>
          <w:tcPr>
            <w:tcW w:type="dxa" w:w="432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Метод и путь</w:t>
            </w:r>
          </w:p>
        </w:tc>
        <w:tc>
          <w:tcPr>
            <w:tcW w:type="dxa" w:w="489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GET /api/predictions · GET /api/predictions/{channel_id}</w:t>
            </w:r>
          </w:p>
        </w:tc>
        <w:tc>
          <w:tcPr>
            <w:tcW w:type="dxa" w:w="48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список и карточка прогноза по каналам (вероятность, уровень, факторы, рекомендуемое действие)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POST /api/predictions/score</w:t>
            </w:r>
          </w:p>
        </w:tc>
        <w:tc>
          <w:tcPr>
            <w:tcW w:type="dxa" w:w="48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онлайн-оценка вектора признаков датчика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GET /api/predictions/backtest · /metrics · /benchmark · /reconciliation</w:t>
            </w:r>
          </w:p>
        </w:tc>
        <w:tc>
          <w:tcPr>
            <w:tcW w:type="dxa" w:w="48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отчёты проверки: недельный бэктест, метрики модели, замеры скорости, сверка с эталоном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POST /api/alarms/classify · POST /api/alarms/confirm · GET /api/alarms/confirmed</w:t>
            </w:r>
          </w:p>
        </w:tc>
        <w:tc>
          <w:tcPr>
            <w:tcW w:type="dxa" w:w="48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разбор сигнала (настоящая тревога или ложная), решение диспетчера с причиной, журнал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POST /api/alarms/session · GET /api/alarms/audit/verify</w:t>
            </w:r>
          </w:p>
        </w:tc>
        <w:tc>
          <w:tcPr>
            <w:tcW w:type="dxa" w:w="48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вход диспетчера по табельному номеру и PIN; проверка целостности журнала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GET /api/tickets · POST /api/tickets/generate · PATCH /api/tickets/{id}/status</w:t>
            </w:r>
          </w:p>
        </w:tc>
        <w:tc>
          <w:tcPr>
            <w:tcW w:type="dxa" w:w="48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заявки ТО/ППР: список, черновик, смена статуса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GET /api/objects · /api/objects/{id} · /api/objects/geojson/network</w:t>
            </w:r>
          </w:p>
        </w:tc>
        <w:tc>
          <w:tcPr>
            <w:tcW w:type="dxa" w:w="48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объекты, карточка, схема сети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GET и POST /api/settings · POST /api/settings/reset</w:t>
            </w:r>
          </w:p>
        </w:tc>
        <w:tc>
          <w:tcPr>
            <w:tcW w:type="dxa" w:w="48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настраиваемые параметры (п. 7)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GET /api/scenarios/catalog · POST /api/scenarios/run · POST /api/scenarios/series</w:t>
            </w:r>
          </w:p>
        </w:tc>
        <w:tc>
          <w:tcPr>
            <w:tcW w:type="dxa" w:w="48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Сценарный полигон: каталог, прогон, ряд канала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GET /api/alarms/recent · /dispatchers · POST /api/simulation/step · /api/synthetic/evaluate</w:t>
            </w:r>
          </w:p>
        </w:tc>
        <w:tc>
          <w:tcPr>
            <w:tcW w:type="dxa" w:w="48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последние события, справочник диспетчеров, шаг имитации, проверка на синтетическом наборе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GET /api/stats/summary · GET /api/health · GET /api/info</w:t>
            </w:r>
          </w:p>
        </w:tc>
        <w:tc>
          <w:tcPr>
            <w:tcW w:type="dxa" w:w="48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сводка, проверка живости, сведения о сервисе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Входные данные проверяются схемами Pydantic до любых изменений состояния: неверное значение даёт ответ 422, неизвестный канал — 404, в журнал и заявки при этом ничего не пишется.</w:t>
      </w: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3. Данные и методы обработки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Исходные данные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Журнал срабатываний СМВУ за январь–июнь 2026 года (около 30,7 млн записей: идентификатор канала, тип, значение, время), реестр каналов с тегом в дереве объектов и реестр типов каналов. Журнал в репозиторий не входит (1,5 ГБ, файл организаторов); его контрольная сумма SHA-256 записана в docs/DATA_PROVENANCE_AND_REPRODUCIBILITY.md. Кэш признаков в репозитории позволяет воспроизвести все метрики без исходного журнала.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Что считается событием (разметка)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В данных нет актов ремонтов, поэтому событие размечено правилом по журналу (backend/ml/features.py, is_failure_value): состояния «неисправен», «отключено устройство», «ошибка связи», «сбой питания», «обрыв датчика», «короткое замыкание», «нет данных» и др.; сброс часов контроллера на 01.01.1970; значение метана ≥ 5 %; температура ≥ 45 °C или ≤ −10 °C; напряжение питания вне 9–30 В. Метка канала = 1, если в окне +24…+72 часа от момента прогноза есть хотя бы одна такая строка.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rPr>
          <w:cantSplit/>
        </w:trPr>
        <w:tc>
          <w:tcPr>
            <w:tcW w:type="dxa" w:w="9216"/>
            <w:shd w:val="clear" w:color="auto" w:fill="F6F4EE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left w:val="single" w:sz="24" w:space="0" w:color="E5412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C81E3C"/>
                <w:sz w:val="18"/>
              </w:rPr>
              <w:t xml:space="preserve">[ОГРАНИЧЕНИЕ] </w:t>
            </w: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Это разметка по журналу, а не подтверждённые отказы оборудования. Все метрики в записке описывают совпадение с этой разметкой и не являются оценкой вероятности физической аварии, предотвращённых ремонтов или бухгалтерской экономии.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Подготовка данных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Сброс часов на 1970 год считается признаком деградации питания контроллера, а не ошибкой данных: такие строки не удаляются, а учитываются отдельным признаком.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Дребезг контактов (быстрые переключения одного дискретного канала) учитывается как признак и отдельно фиксируется быстрым контуром; автоматически сигнал не гасится.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Для обучения и проверки признаки строятся только по данным до момента прогноза, окно метки лежит строго после него.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Признаки и модель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4658"/>
        <w:gridCol w:w="4658"/>
      </w:tblGrid>
      <w:tr>
        <w:trPr>
          <w:cantSplit/>
          <w:tblHeader/>
        </w:trPr>
        <w:tc>
          <w:tcPr>
            <w:tcW w:type="dxa" w:w="288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Группа</w:t>
            </w:r>
          </w:p>
        </w:tc>
        <w:tc>
          <w:tcPr>
            <w:tcW w:type="dxa" w:w="633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Признаки (21)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Активность канала</w:t>
            </w:r>
          </w:p>
        </w:tc>
        <w:tc>
          <w:tcPr>
            <w:tcW w:type="dxa" w:w="633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cnt_24h, cnt_7d, acc_events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Тревоги</w:t>
            </w:r>
          </w:p>
        </w:tc>
        <w:tc>
          <w:tcPr>
            <w:tcW w:type="dxa" w:w="633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alarms_24h, alarms_7d, alarm_ratio, acc_alarms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Дребезг и разнообразие состояний</w:t>
            </w:r>
          </w:p>
        </w:tc>
        <w:tc>
          <w:tcPr>
            <w:tcW w:type="dxa" w:w="633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chatter_cnt, chatter_ratio, unique_states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Связь и питание</w:t>
            </w:r>
          </w:p>
        </w:tc>
        <w:tc>
          <w:tcPr>
            <w:tcW w:type="dxa" w:w="633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silence_hours (молчание канала), battery_glitches, date_corruptions (сбросы часов)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Значения</w:t>
            </w:r>
          </w:p>
        </w:tc>
        <w:tc>
          <w:tcPr>
            <w:tcW w:type="dxa" w:w="633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num_mean, num_std, num_max, gas_spikes, temp_spikes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Контекст</w:t>
            </w:r>
          </w:p>
        </w:tc>
        <w:tc>
          <w:tcPr>
            <w:tcW w:type="dxa" w:w="633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sensor_type_code, system_type_code, obj_level (уровень объекта в иерархии)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Модель — градиентный бустинг LightGBM; вероятность калибруется бета-калибровкой, подобранной только на валидационной выборке. Порог очереди диспетчера настраивается (по умолчанию 0,42 по безразмерному баллу модели, это не вероятность). Для сравнения обучены логистическая регрессия и случайный лес. Обучение: backend/ml/train_validated_model.py, воспроизведение: scripts/reproduce_metrics.py.</w:t>
      </w: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4. Проверка прогноза на реальных данных (бэктест)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Проверка идёт «вперёд по времени», как в реальной работе: каждую неделю модель видит только прошлое и предсказывает окно +24…+72 часа после момента прогноза (00:00 дня отсечки, раз в неделю). Выполнено 21 еженедельных проверок (с 2026-02-04 по 2026-06-24), по 11 485 каналам в каждой. Воспроизведение: python scripts/rolling_backtest.py; отчёт — backend/models/rolling_backtest_report.json.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Что сравнивается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4658"/>
        <w:gridCol w:w="4658"/>
      </w:tblGrid>
      <w:tr>
        <w:trPr>
          <w:cantSplit/>
          <w:tblHeader/>
        </w:trPr>
        <w:tc>
          <w:tcPr>
            <w:tcW w:type="dxa" w:w="244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Вариант</w:t>
            </w:r>
          </w:p>
        </w:tc>
        <w:tc>
          <w:tcPr>
            <w:tcW w:type="dxa" w:w="676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Что это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deployed (в демо)</w:t>
            </w:r>
          </w:p>
        </w:tc>
        <w:tc>
          <w:tcPr>
            <w:tcW w:type="dxa" w:w="67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модель, которая стоит в прототипе: обучена один раз на январских данных и дальше не переобучалась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lgbm_weekly</w:t>
            </w:r>
          </w:p>
        </w:tc>
        <w:tc>
          <w:tcPr>
            <w:tcW w:type="dxa" w:w="67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та же архитектура LightGBM, но переобучаемая каждую неделю на всей накопленной истории (как будет на пилоте)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logreg_weekly</w:t>
            </w:r>
          </w:p>
        </w:tc>
        <w:tc>
          <w:tcPr>
            <w:tcW w:type="dxa" w:w="67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логистическая регрессия, переобучаемая еженедельно (простая линейная база)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persistence (правило)</w:t>
            </w:r>
          </w:p>
        </w:tc>
        <w:tc>
          <w:tcPr>
            <w:tcW w:type="dxa" w:w="67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«канал, у которого были неисправности за последние 7 дней, будет неисправен и дальше» — простое правило без обучения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Все варианты проверены на одних и тех же неделях и каналах. Метрики — по каждой неделе отдельно, ниже приведена медиана по 21 неделям.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Результаты: все каналы реестра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1553"/>
        <w:gridCol w:w="1553"/>
        <w:gridCol w:w="1553"/>
        <w:gridCol w:w="1553"/>
        <w:gridCol w:w="1553"/>
        <w:gridCol w:w="1553"/>
      </w:tblGrid>
      <w:tr>
        <w:trPr>
          <w:cantSplit/>
          <w:tblHeader/>
        </w:trPr>
        <w:tc>
          <w:tcPr>
            <w:tcW w:type="dxa" w:w="273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Вариант</w:t>
            </w:r>
          </w:p>
        </w:tc>
        <w:tc>
          <w:tcPr>
            <w:tcW w:type="dxa" w:w="115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ROC-AUC</w:t>
            </w:r>
          </w:p>
        </w:tc>
        <w:tc>
          <w:tcPr>
            <w:tcW w:type="dxa" w:w="115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PR-AUC</w:t>
            </w:r>
          </w:p>
        </w:tc>
        <w:tc>
          <w:tcPr>
            <w:tcW w:type="dxa" w:w="144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Точность в топ-50</w:t>
            </w:r>
          </w:p>
        </w:tc>
        <w:tc>
          <w:tcPr>
            <w:tcW w:type="dxa" w:w="129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 топ-100</w:t>
            </w:r>
          </w:p>
        </w:tc>
        <w:tc>
          <w:tcPr>
            <w:tcW w:type="dxa" w:w="129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 топ-200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deployed (в демо)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0,648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0,142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0,34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0,22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0,12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lgbm_weekly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0,845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0,274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0,56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0,38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0,24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logreg_weekly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0,792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0,197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0,48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0,29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0,20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правило persistence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0,704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0,181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0,48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0,38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0,28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Читать так: если диспетчер проверяет 100 каналов с наибольшим риском, то в среднем 22 % из них действительно окажутся с событием (демо-модель) или 38 % (модель с еженедельным переобучением). Доля каналов с событием среди всех (базовая частота) — около 1,3 % (медиана по неделям), то есть случайный список из 100 каналов дал бы в среднем около одного попадания.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Сколько недель из 21 модель лучше правила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3106"/>
        <w:gridCol w:w="3106"/>
        <w:gridCol w:w="3106"/>
      </w:tblGrid>
      <w:tr>
        <w:trPr>
          <w:cantSplit/>
          <w:tblHeader/>
        </w:trPr>
        <w:tc>
          <w:tcPr>
            <w:tcW w:type="dxa" w:w="432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Показатель</w:t>
            </w:r>
          </w:p>
        </w:tc>
        <w:tc>
          <w:tcPr>
            <w:tcW w:type="dxa" w:w="244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deployed vs правило</w:t>
            </w:r>
          </w:p>
        </w:tc>
        <w:tc>
          <w:tcPr>
            <w:tcW w:type="dxa" w:w="244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lgbm_weekly vs правило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ROC-AUC (выиграла / проиграла / равно)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5 / 16 / 0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18 / 3 / 0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PR-AUC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6 / 15 / 0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18 / 3 / 0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Точность в топ-100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2 / 18 / 1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8 / 12 / 1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Точность в топ-200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 / 20 / 0</w:t>
            </w:r>
          </w:p>
        </w:tc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12 / 9 / 0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Результаты: каналы без неисправностей за предыдущие 7 дней («новые инциденты»)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Правило persistence не видит такие каналы вообще — для него это слепая зона. Именно здесь модели нужна, чтобы дать то, чего правило дать не может.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2329"/>
        <w:gridCol w:w="2329"/>
        <w:gridCol w:w="2329"/>
        <w:gridCol w:w="2329"/>
      </w:tblGrid>
      <w:tr>
        <w:trPr>
          <w:cantSplit/>
          <w:tblHeader/>
        </w:trPr>
        <w:tc>
          <w:tcPr>
            <w:tcW w:type="dxa" w:w="316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Вариант</w:t>
            </w:r>
          </w:p>
        </w:tc>
        <w:tc>
          <w:tcPr>
            <w:tcW w:type="dxa" w:w="172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ROC-AUC</w:t>
            </w:r>
          </w:p>
        </w:tc>
        <w:tc>
          <w:tcPr>
            <w:tcW w:type="dxa" w:w="172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PR-AUC</w:t>
            </w:r>
          </w:p>
        </w:tc>
        <w:tc>
          <w:tcPr>
            <w:tcW w:type="dxa" w:w="259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Точность в топ-100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deployed (в демо)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0,578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0,022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0,05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lgbm_weekly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0,757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0,049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0,06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logreg_weekly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0,662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0,016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0,01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правило persistence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0,500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0,010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0,00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/>
          <w:color w:val="1C1D22"/>
          <w:sz w:val="18"/>
        </w:rPr>
        <w:t>Для правила ROC-AUC = 0,5 по построению (оно не отличает один такой канал от другого).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rPr>
          <w:cantSplit/>
        </w:trPr>
        <w:tc>
          <w:tcPr>
            <w:tcW w:type="dxa" w:w="9216"/>
            <w:shd w:val="clear" w:color="auto" w:fill="F6F4EE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left w:val="single" w:sz="24" w:space="0" w:color="E5412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C81E3C"/>
                <w:sz w:val="18"/>
              </w:rPr>
              <w:t xml:space="preserve">[ЧТО ЭТО ЗНАЧИТ] </w:t>
            </w: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Честный вывод. Модель, стоящая в демо (обучена в январе и не переобучалась), слабее простого правила: правило лучше или равно в большинстве недель по ROC-AUC и по точности в топе. Модель с еженедельным переобучением заметно лучше по ROC-AUC и PR-AUC (18 недель из 21), на топ-100 примерно равна правилу, на топ-200 медиана ниже (24 % против 28 %), хотя по неделям модель выше в 12 из 21. Практическая ценность модели — в каналах, где правило слепо: события в таких каналах составляют 59 % всех событий за период (2 393 из 4 027), именно они определяют, сколько проблем выявляется заранее. Поэтому на пилоте мы закладываем еженедельное переобучение и сравнение с правилом на актах ТОИР, а не обещаем цифры демо.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5. Сценарный полигон: проверка быстрого контура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На реальных данных быстрых опасных событий почти нет, поэтому быстрый контур проверяется на синтетическом полигоне: 185 каналов, эмулируются сутки (шаг 60 с) и месяц (шаг 300 с) с планово заложенными авариями. Спецификация с порогами и протоколом зафиксирована до первого прогона: docs/SCENARIOS_SPEC.md. Результаты ниже — на отложенных наборах (seed 2000–2019), которые прогнаны один раз после заморозки логики; файл docs/SCENARIOS_HELDOUT_RESULTS.json содержит версии кода и контрольные суммы.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rPr>
          <w:cantSplit/>
        </w:trPr>
        <w:tc>
          <w:tcPr>
            <w:tcW w:type="dxa" w:w="9216"/>
            <w:shd w:val="clear" w:color="auto" w:fill="F6F4EE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left w:val="single" w:sz="24" w:space="0" w:color="E5412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C81E3C"/>
                <w:sz w:val="18"/>
              </w:rPr>
              <w:t xml:space="preserve">[ВАЖНО] </w:t>
            </w: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Данные синтетические. Полигон проверяет, что логика срабатывает правильно и не создаёт лишнего шума. Это не оценка качества на реальных авариях Москоллектора.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1553"/>
        <w:gridCol w:w="1553"/>
        <w:gridCol w:w="1553"/>
        <w:gridCol w:w="1553"/>
        <w:gridCol w:w="1553"/>
        <w:gridCol w:w="1553"/>
      </w:tblGrid>
      <w:tr>
        <w:trPr>
          <w:cantSplit/>
          <w:tblHeader/>
        </w:trPr>
        <w:tc>
          <w:tcPr>
            <w:tcW w:type="dxa" w:w="2304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6"/>
              </w:rPr>
              <w:t>Сценарий</w:t>
            </w:r>
          </w:p>
        </w:tc>
        <w:tc>
          <w:tcPr>
            <w:tcW w:type="dxa" w:w="144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6"/>
              </w:rPr>
              <w:t>Быстрый контур: найдено</w:t>
            </w:r>
          </w:p>
        </w:tc>
        <w:tc>
          <w:tcPr>
            <w:tcW w:type="dxa" w:w="129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6"/>
              </w:rPr>
              <w:t>Показатель</w:t>
            </w:r>
          </w:p>
        </w:tc>
        <w:tc>
          <w:tcPr>
            <w:tcW w:type="dxa" w:w="115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6"/>
              </w:rPr>
              <w:t>Медиана</w:t>
            </w:r>
          </w:p>
        </w:tc>
        <w:tc>
          <w:tcPr>
            <w:tcW w:type="dxa" w:w="1584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6"/>
              </w:rPr>
              <w:t>Статич. порог: найдено</w:t>
            </w:r>
          </w:p>
        </w:tc>
        <w:tc>
          <w:tcPr>
            <w:tcW w:type="dxa" w:w="129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6"/>
              </w:rPr>
              <w:t>Медиана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S1 Медленная утечка газа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80 / 80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опережение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6,9 мин</w:t>
            </w:r>
          </w:p>
        </w:tc>
        <w:tc>
          <w:tcPr>
            <w:tcW w:type="dxa" w:w="158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80 / 80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-0,5 мин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S2 Быстрая утечка газа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60 / 60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задержка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62,2 с</w:t>
            </w:r>
          </w:p>
        </w:tc>
        <w:tc>
          <w:tcPr>
            <w:tcW w:type="dxa" w:w="158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60 / 60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62,2 с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S3 Перегрев трубопровода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80 / 80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опережение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37,2 мин</w:t>
            </w:r>
          </w:p>
        </w:tc>
        <w:tc>
          <w:tcPr>
            <w:tcW w:type="dxa" w:w="158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80 / 80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-0,4 мин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S4 Пожар (тепловой датчик)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60 / 60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задержка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0,0 с</w:t>
            </w:r>
          </w:p>
        </w:tc>
        <w:tc>
          <w:tcPr>
            <w:tcW w:type="dxa" w:w="158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60 / 60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0,0 с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S5 Затопление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60 / 60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задержка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0,0 с</w:t>
            </w:r>
          </w:p>
        </w:tc>
        <w:tc>
          <w:tcPr>
            <w:tcW w:type="dxa" w:w="158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60 / 60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0,0 с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S6 Дребезг контакта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200 / 200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задержка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17,2 с</w:t>
            </w:r>
          </w:p>
        </w:tc>
        <w:tc>
          <w:tcPr>
            <w:tcW w:type="dxa" w:w="158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200 / 200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2,9 с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S7 Потеря связи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80 / 80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задержка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928,2 с</w:t>
            </w:r>
          </w:p>
        </w:tc>
        <w:tc>
          <w:tcPr>
            <w:tcW w:type="dxa" w:w="158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0 / 80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не обнаружено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S8 Колебание газа у уставки</w:t>
            </w:r>
          </w:p>
        </w:tc>
        <w:tc>
          <w:tcPr>
            <w:tcW w:type="dxa" w:w="144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60 / 60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задержка</w:t>
            </w:r>
          </w:p>
        </w:tc>
        <w:tc>
          <w:tcPr>
            <w:tcW w:type="dxa" w:w="115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75,3 с</w:t>
            </w:r>
          </w:p>
        </w:tc>
        <w:tc>
          <w:tcPr>
            <w:tcW w:type="dxa" w:w="158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60 / 60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6"/>
              </w:rPr>
              <w:t>75,3 с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/>
          <w:color w:val="1C1D22"/>
          <w:sz w:val="18"/>
        </w:rPr>
        <w:t>«Опережение» — на сколько минут раньше фиксированного порога 1 % метана (или 45 °C) мы сообщаем диспетчеру; положительное значение — раньше. «Задержка» — сколько секунд проходит от начала события до оповещения. Медианы по 20 наборам.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Сводка по детекторам (20 наборов × сутки)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2329"/>
        <w:gridCol w:w="2329"/>
        <w:gridCol w:w="2329"/>
        <w:gridCol w:w="2329"/>
      </w:tblGrid>
      <w:tr>
        <w:trPr>
          <w:cantSplit/>
          <w:tblHeader/>
        </w:trPr>
        <w:tc>
          <w:tcPr>
            <w:tcW w:type="dxa" w:w="331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Показатель</w:t>
            </w:r>
          </w:p>
        </w:tc>
        <w:tc>
          <w:tcPr>
            <w:tcW w:type="dxa" w:w="187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Быстрый контур</w:t>
            </w:r>
          </w:p>
        </w:tc>
        <w:tc>
          <w:tcPr>
            <w:tcW w:type="dxa" w:w="2304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Статический порог + дедупликация</w:t>
            </w:r>
          </w:p>
        </w:tc>
        <w:tc>
          <w:tcPr>
            <w:tcW w:type="dxa" w:w="172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Наивный порог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События найдены</w:t>
            </w:r>
          </w:p>
        </w:tc>
        <w:tc>
          <w:tcPr>
            <w:tcW w:type="dxa" w:w="18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680 из 680</w:t>
            </w:r>
          </w:p>
        </w:tc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600 из 680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600 из 680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Ложные тревоги (всего)</w:t>
            </w:r>
          </w:p>
        </w:tc>
        <w:tc>
          <w:tcPr>
            <w:tcW w:type="dxa" w:w="18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</w:t>
            </w:r>
          </w:p>
        </w:tc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80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Оповещений в сутки (в среднем)</w:t>
            </w:r>
          </w:p>
        </w:tc>
        <w:tc>
          <w:tcPr>
            <w:tcW w:type="dxa" w:w="18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146</w:t>
            </w:r>
          </w:p>
        </w:tc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535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1414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Инцидентов в списке диспетчера (в среднем)</w:t>
            </w:r>
          </w:p>
        </w:tc>
        <w:tc>
          <w:tcPr>
            <w:tcW w:type="dxa" w:w="18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67</w:t>
            </w:r>
          </w:p>
        </w:tc>
        <w:tc>
          <w:tcPr>
            <w:tcW w:type="dxa" w:w="230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502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1414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Нагрузка на диспетчера: наивный порог даёт в 21,1 раза больше оповещений, чем быстрый контур; статический порог с дедупликацией — в 7,5 раза больше инцидентов в списке.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Колебание у уставки (замечание экспертов)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Сценарий S8 моделирует газ, который «гуляет» около порога 1 %. Наивный порог даёт на одно такое событие 15 оповещений. Статический порог с дедупликацией сводит это к 1 оповещению и 1 инциденту, но не распознаёт колебание как отдельную аномалию и не напоминает о ней. Быстрый контур выдаёт 3 оповещения и 3 инцидента на событие (газовое предупреждение, рост газа, колебание у уставки) и помечает инцидент как колебание у уставки (100 % случаев). Три инцидента вместо одного — известное отклонение от спецификации (№8): детектор не подгонялся под результат, ограничение зафиксировано.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Ограничения полигона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Статические базовые варианты получают ложные тревоги от заранее заложенных «нормальных» отклонений (отрицательные контрольные случаи): их 80 — следствие построения теста, а не независимое измерение.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Для S7 (потеря связи) у статических вариантов нет правила вовсе — преимущество быстрого контура 680 из 680 против 600 из 680 по сути определяется этим сценарием.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В режиме «месяц» шаг замеров 5 минут: опережение по S1 отрицательное (-2,6 мин по seed 42), пометка «колебание у уставки» ставится только в 12,5 % случаев. Для пилота нужна частота опроса газа не реже 1 раза в минуту.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Пороги не подбирались по результатам отложенных наборов; пороги получены из требований заказчика и экспертов и из допущений команды (п. 7).</w:t>
      </w: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6. Скорость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3106"/>
        <w:gridCol w:w="3106"/>
        <w:gridCol w:w="3106"/>
      </w:tblGrid>
      <w:tr>
        <w:trPr>
          <w:cantSplit/>
          <w:tblHeader/>
        </w:trPr>
        <w:tc>
          <w:tcPr>
            <w:tcW w:type="dxa" w:w="331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Замер</w:t>
            </w:r>
          </w:p>
        </w:tc>
        <w:tc>
          <w:tcPr>
            <w:tcW w:type="dxa" w:w="288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Результат</w:t>
            </w:r>
          </w:p>
        </w:tc>
        <w:tc>
          <w:tcPr>
            <w:tcW w:type="dxa" w:w="3024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Что измерено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Пакетная оценка всех 11 485 каналов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62,9 мс (p95 70,7 мс)</w:t>
            </w:r>
          </w:p>
        </w:tc>
        <w:tc>
          <w:tcPr>
            <w:tcW w:type="dxa" w:w="302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только расчёт модели на подготовленных признаках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Оценка одного канала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1,50 мс (p95 2,58 мс)</w:t>
            </w:r>
          </w:p>
        </w:tc>
        <w:tc>
          <w:tcPr>
            <w:tcW w:type="dxa" w:w="302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только расчёт модели на подготовленных признаках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HTTP-нагрузка: 500 запросов, 20 параллельных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111,3 запросов/с, медиана 172 мс, p95 252 мс</w:t>
            </w:r>
          </w:p>
        </w:tc>
        <w:tc>
          <w:tcPr>
            <w:tcW w:type="dxa" w:w="302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полный путь запроса к API через локальную сеть, без ошибок (100 %)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Требование ТЗ — не более 300 секунд на обработку. Замер пакетной оценки не включает чтение потока СМВУ и построение признаков из «сырых» записей: время построения признаков зависит от способа подключения к потоку и подлежит измерению на пилоте (этап «теневой режим»).</w:t>
      </w: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7. Пороги и настраиваемые параметры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Все пороги вынесены в настройки и перечислены в спецификации; в таблице указан источник каждого значения: [З] — задано заказчиком или экспертами, [К] — значение, уже стоявшее в коде, [Д] — допущение команды (будет уточняться на пилоте).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3106"/>
        <w:gridCol w:w="3106"/>
        <w:gridCol w:w="3106"/>
      </w:tblGrid>
      <w:tr>
        <w:trPr>
          <w:cantSplit/>
          <w:tblHeader/>
        </w:trPr>
        <w:tc>
          <w:tcPr>
            <w:tcW w:type="dxa" w:w="360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Параметр</w:t>
            </w:r>
          </w:p>
        </w:tc>
        <w:tc>
          <w:tcPr>
            <w:tcW w:type="dxa" w:w="432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Значение</w:t>
            </w:r>
          </w:p>
        </w:tc>
        <w:tc>
          <w:tcPr>
            <w:tcW w:type="dxa" w:w="129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Источник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Метан: предупреждение / тревога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1,0 % / 5,0 % объёмных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[З]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Рост метана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≥ 0,3 % за 3 замера и наклон ≥ 0,05 %/мин на окне max(5 мин; 3 шага)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[Д]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Температура: предупреждение / тревога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40 / 45 °C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[К]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Быстрый рост температуры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≥ 28 °C и наклон ≥ 0,2 °C/мин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[Д]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Дребезг контакта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≥ 5 переключений за 90 с; закрытие через 15 мин без новых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[К]/[Д]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Колебание у уставки газа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≥ 4 пересечения 1,0 % за 15 мин; сброс через 30 мин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[Д] по замечанию экспертов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Потеря связи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нет замеров дольше max(15 мин; 3 шага)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[Д]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Пожар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сработка теплового датчика — немедленно, с эскалацией по росту температуры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[З]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Затопление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датчик в тревоге — немедленно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[З]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Напоминание о неподтверждённой тревоге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каждые 30 мин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[Д]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Порог очереди диспетчера (модель)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0,42 по баллу модели (не вероятность)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[К]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Подтверждение диспетчером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обязательно (require_dispatcher_confirmation = true)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[З]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Автоподавление дребезга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выключено (auto_suppress_chatter = false)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[З]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Стоимости для расчёта эффекта</w:t>
            </w:r>
          </w:p>
        </w:tc>
        <w:tc>
          <w:tcPr>
            <w:tcW w:type="dxa" w:w="432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аварийный выезд 18 500 ₽; плановый осмотр 3 200 ₽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[Д] нормативные ставки, уточняются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Параметры меняются через экран «Настройки» или POST /api/settings и возвращаются к значениям по умолчанию через POST /api/settings/reset. Прогон Сценарного полигона использует зафиксированный снимок настроек и не зависит от того, что изменено на экране.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Тревога подтверждается или отклоняется диспетчером с указанием причины. Дребезг не гасится автоматически: его решает человек. Это сознательный выбор: ложное гашение при реальной аварии опаснее лишнего оповещения.</w:t>
      </w: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8. Безопасность и журнал решений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Решения диспетчера (подтверждение/отклонение тревоги, причина, время, табельный номер) записываются в журнал confirmed_alarms.json; каждая запись содержит SHA-256 от своих полей (канал, решение, табельный номер, время, примечание) и хэша предыдущей записи. Проверка целостности — GET /api/alarms/audit/verify: любое изменение или удаление записи в середине цепочки обнаруживается.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Вход диспетчера — табельный номер и PIN (в интерфейсе хранятся только в памяти вкладки); в хранилище лежит лишь хэш PIN (PBKDF2-SHA256), сравнение выполняется за постоянное время. Демонстрационные учётные данные (ДИСП-0001 / PIN из переменной окружения LCT_DEMO_DISPATCHER_PIN) предназначены только для стенда; на пилоте заменяются каталогом пользователей заказчика (LDAP/AD).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Все входные данные проверяются схемами Pydantic; ответ 422 на неверные значения, запись в журнал и заявки при этом не выполняется.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Прототип работает в режиме «только чтение» по отношению к данным заказчика: изменяются только собственные журналы решений и заявок прототипа.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Контейнер запускается под непривилегированным пользователем (uid 1000), прокси-заголовки принимаются штатно.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Требования КИИ (187-ФЗ, приказы ФСТЭК № 235 и № 239), сетевая изоляция технологического сегмента через диод данных/DMZ, двухфакторная аутентификация и передача событий в SIEM описаны в docs/DATA_REQUEST_AND_PILOT_METHODOLOGY.md, раздел 5; в прототипе они не реализованы.</w:t>
      </w: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9. Интеграция с системами заказчика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В прототипе источником данных служат файлы организаторов. Для пилота предлагаются однонаправленные адаптеры «только чтение»; конкретный вариант выбирается заказчиком: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3106"/>
        <w:gridCol w:w="3106"/>
        <w:gridCol w:w="3106"/>
      </w:tblGrid>
      <w:tr>
        <w:trPr>
          <w:cantSplit/>
          <w:tblHeader/>
        </w:trPr>
        <w:tc>
          <w:tcPr>
            <w:tcW w:type="dxa" w:w="244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Способ</w:t>
            </w:r>
          </w:p>
        </w:tc>
        <w:tc>
          <w:tcPr>
            <w:tcW w:type="dxa" w:w="460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Что подключается</w:t>
            </w:r>
          </w:p>
        </w:tc>
        <w:tc>
          <w:tcPr>
            <w:tcW w:type="dxa" w:w="216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REST (HTTP/JSON)</w:t>
            </w:r>
          </w:p>
        </w:tc>
        <w:tc>
          <w:tcPr>
            <w:tcW w:type="dxa" w:w="460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получение прогнозов и тревог внешними системами; приём замеров POST /api/predictions/score</w:t>
            </w:r>
          </w:p>
        </w:tc>
        <w:tc>
          <w:tcPr>
            <w:tcW w:type="dxa" w:w="216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реализовано в прототипе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Kafka / MQTT / RabbitMQ</w:t>
            </w:r>
          </w:p>
        </w:tc>
        <w:tc>
          <w:tcPr>
            <w:tcW w:type="dxa" w:w="460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подписка на поток замеров СМВУ (read-only), запись результатов в отдельный топик</w:t>
            </w:r>
          </w:p>
        </w:tc>
        <w:tc>
          <w:tcPr>
            <w:tcW w:type="dxa" w:w="216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описано, адаптер на пилоте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SOAP / ESB предприятия</w:t>
            </w:r>
          </w:p>
        </w:tc>
        <w:tc>
          <w:tcPr>
            <w:tcW w:type="dxa" w:w="460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обмен с корпоративной шиной, выгрузка заявок в CMMS / 1С:ТОИР</w:t>
            </w:r>
          </w:p>
        </w:tc>
        <w:tc>
          <w:tcPr>
            <w:tcW w:type="dxa" w:w="216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описано, адаптер на пилоте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Файловый обмен (CSV)</w:t>
            </w:r>
          </w:p>
        </w:tc>
        <w:tc>
          <w:tcPr>
            <w:tcW w:type="dxa" w:w="460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выгрузка журнала СМВУ и актов ТОИР для обучения</w:t>
            </w:r>
          </w:p>
        </w:tc>
        <w:tc>
          <w:tcPr>
            <w:tcW w:type="dxa" w:w="216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используется в прототипе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Ни один из адаптеров к внешним системам в прототипе не подключён и не проверялся на живых данных заказчика.</w:t>
      </w: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10. Экономика: условие окупаемости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Реальных данных об актах ремонтов и стоимости инцидентов у нас нет, поэтому мы не обещаем сумму экономии. Вместо этого показываем, при какой точности прогноза плановый осмотр окупается, и сравниваем с измеренной точностью.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Допущения: аварийный выезд стоит 18 500 ₽, плановый осмотр — 3 200 ₽ (нормативные ставки, уточняются заказчиком). Если осмотр канала из очереди прогноза заранее устраняет проблему, то он окупается, когда доля подтверждённых проблем в очереди не ниже 3 200 / 18 500 = 17,3 %.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2329"/>
        <w:gridCol w:w="2329"/>
        <w:gridCol w:w="2329"/>
        <w:gridCol w:w="2329"/>
      </w:tblGrid>
      <w:tr>
        <w:trPr>
          <w:cantSplit/>
          <w:tblHeader/>
        </w:trPr>
        <w:tc>
          <w:tcPr>
            <w:tcW w:type="dxa" w:w="259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Вариант</w:t>
            </w:r>
          </w:p>
        </w:tc>
        <w:tc>
          <w:tcPr>
            <w:tcW w:type="dxa" w:w="216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Точность в топ-100 (медиана)</w:t>
            </w:r>
          </w:p>
        </w:tc>
        <w:tc>
          <w:tcPr>
            <w:tcW w:type="dxa" w:w="187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Относительно 17,3 %</w:t>
            </w:r>
          </w:p>
        </w:tc>
        <w:tc>
          <w:tcPr>
            <w:tcW w:type="dxa" w:w="259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Какую долю найденных проблем нужно успевать устранять до аварии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deployed (в демо)</w:t>
            </w:r>
          </w:p>
        </w:tc>
        <w:tc>
          <w:tcPr>
            <w:tcW w:type="dxa" w:w="216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22 %</w:t>
            </w:r>
          </w:p>
        </w:tc>
        <w:tc>
          <w:tcPr>
            <w:tcW w:type="dxa" w:w="18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выше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79 %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lgbm_weekly</w:t>
            </w:r>
          </w:p>
        </w:tc>
        <w:tc>
          <w:tcPr>
            <w:tcW w:type="dxa" w:w="216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38 %</w:t>
            </w:r>
          </w:p>
        </w:tc>
        <w:tc>
          <w:tcPr>
            <w:tcW w:type="dxa" w:w="18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выше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46 %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правило persistence</w:t>
            </w:r>
          </w:p>
        </w:tc>
        <w:tc>
          <w:tcPr>
            <w:tcW w:type="dxa" w:w="216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38 %</w:t>
            </w:r>
          </w:p>
        </w:tc>
        <w:tc>
          <w:tcPr>
            <w:tcW w:type="dxa" w:w="18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выше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46 %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Последний столбец: если не каждая найденная проблема превращается в предотвращённую аварию, окупаемость требует, чтобы доля устранённых заранее была не ниже указанной (формула: 3 200 / (18 500 × точность)). Это условие, а не прогноз экономии: доля предотвращаемых проблем определяется только на пилоте.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rPr>
          <w:cantSplit/>
        </w:trPr>
        <w:tc>
          <w:tcPr>
            <w:tcW w:type="dxa" w:w="9216"/>
            <w:shd w:val="clear" w:color="auto" w:fill="F6F4EE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left w:val="single" w:sz="24" w:space="0" w:color="E5412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C81E3C"/>
                <w:sz w:val="18"/>
              </w:rPr>
              <w:t xml:space="preserve">[ОГРАНИЧЕНИЕ] </w:t>
            </w:r>
            <w:r>
              <w:rPr>
                <w:rFonts w:ascii="Arial" w:hAnsi="Arial"/>
                <w:b w:val="0"/>
                <w:i w:val="0"/>
                <w:color w:val="1C1D22"/>
                <w:sz w:val="18"/>
              </w:rPr>
              <w:t>Метки основаны на журнале СМВУ, а не на актах ремонтов, поэтому «найденная проблема» — это совпадение с разметкой. Прежние сценарные оценки экономии в млн рублей в год в этой редакции не используются.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11. Установка и запуск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Docker (рекомендуется)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Требуется Docker с Compose. В корне репозитория:</w:t>
      </w:r>
    </w:p>
    <w:p>
      <w:pPr>
        <w:keepNext/>
        <w:spacing w:after="0"/>
        <w:ind w:left="216"/>
        <w:jc w:val="left"/>
        <w:shd w:val="clear" w:color="auto" w:fill="F1F2F6"/>
      </w:pPr>
      <w:r>
        <w:rPr>
          <w:rFonts w:ascii="DejaVu Sans Mono" w:hAnsi="DejaVu Sans Mono"/>
          <w:color w:val="1C1D22"/>
          <w:sz w:val="17"/>
        </w:rPr>
        <w:t>docker compose up --build</w:t>
      </w:r>
    </w:p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Интерфейс — http://localhost:8000, документация API — http://localhost:8000/docs. Данные журналов хранятся в каталоге backend/data репозитория (монтируется в контейнер). Проверка живости: GET /api/health.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Без Docker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Python 3.10+, Node.js 20+:</w:t>
      </w:r>
    </w:p>
    <w:p>
      <w:pPr>
        <w:keepNext/>
        <w:spacing w:after="0"/>
        <w:ind w:left="216"/>
        <w:jc w:val="left"/>
        <w:shd w:val="clear" w:color="auto" w:fill="F1F2F6"/>
      </w:pPr>
      <w:r>
        <w:rPr>
          <w:rFonts w:ascii="DejaVu Sans Mono" w:hAnsi="DejaVu Sans Mono"/>
          <w:color w:val="1C1D22"/>
          <w:sz w:val="17"/>
        </w:rPr>
        <w:t>pip install -r requirements.txt</w:t>
      </w:r>
    </w:p>
    <w:p>
      <w:pPr>
        <w:keepNext/>
        <w:spacing w:after="0"/>
        <w:ind w:left="216"/>
        <w:jc w:val="left"/>
        <w:shd w:val="clear" w:color="auto" w:fill="F1F2F6"/>
      </w:pPr>
      <w:r>
        <w:rPr>
          <w:rFonts w:ascii="DejaVu Sans Mono" w:hAnsi="DejaVu Sans Mono"/>
          <w:color w:val="1C1D22"/>
          <w:sz w:val="17"/>
        </w:rPr>
        <w:t>cd frontend &amp;&amp; npm ci &amp;&amp; npm run build &amp;&amp; cd ..</w:t>
      </w:r>
    </w:p>
    <w:p>
      <w:pPr>
        <w:keepNext/>
        <w:spacing w:after="0"/>
        <w:ind w:left="216"/>
        <w:jc w:val="left"/>
        <w:shd w:val="clear" w:color="auto" w:fill="F1F2F6"/>
      </w:pPr>
      <w:r>
        <w:rPr>
          <w:rFonts w:ascii="DejaVu Sans Mono" w:hAnsi="DejaVu Sans Mono"/>
          <w:color w:val="1C1D22"/>
          <w:sz w:val="17"/>
        </w:rPr>
        <w:t>python -m uvicorn backend.app.main:app --host 0.0.0.0 --port 8000</w:t>
      </w:r>
    </w:p>
    <w:p>
      <w:pPr>
        <w:spacing w:after="40"/>
      </w:pP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Проверка и воспроизведение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4658"/>
        <w:gridCol w:w="4658"/>
      </w:tblGrid>
      <w:tr>
        <w:trPr>
          <w:cantSplit/>
          <w:tblHeader/>
        </w:trPr>
        <w:tc>
          <w:tcPr>
            <w:tcW w:type="dxa" w:w="3744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Команда</w:t>
            </w:r>
          </w:p>
        </w:tc>
        <w:tc>
          <w:tcPr>
            <w:tcW w:type="dxa" w:w="547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374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python -m pytest tests/ -q</w:t>
            </w:r>
          </w:p>
        </w:tc>
        <w:tc>
          <w:tcPr>
            <w:tcW w:type="dxa" w:w="54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108 автотестов (API, калибровка, бэктест, Сценарный полигон)</w:t>
            </w:r>
          </w:p>
        </w:tc>
      </w:tr>
      <w:tr>
        <w:trPr>
          <w:cantSplit/>
        </w:trPr>
        <w:tc>
          <w:tcPr>
            <w:tcW w:type="dxa" w:w="374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python scripts/reproduce_metrics.py</w:t>
            </w:r>
          </w:p>
        </w:tc>
        <w:tc>
          <w:tcPr>
            <w:tcW w:type="dxa" w:w="54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пересчёт метрик модели из кэша признаков</w:t>
            </w:r>
          </w:p>
        </w:tc>
      </w:tr>
      <w:tr>
        <w:trPr>
          <w:cantSplit/>
        </w:trPr>
        <w:tc>
          <w:tcPr>
            <w:tcW w:type="dxa" w:w="374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python scripts/rolling_backtest.py</w:t>
            </w:r>
          </w:p>
        </w:tc>
        <w:tc>
          <w:tcPr>
            <w:tcW w:type="dxa" w:w="54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пересчёт недельного бэктеста (с ключом --extract — из исходного журнала)</w:t>
            </w:r>
          </w:p>
        </w:tc>
      </w:tr>
      <w:tr>
        <w:trPr>
          <w:cantSplit/>
        </w:trPr>
        <w:tc>
          <w:tcPr>
            <w:tcW w:type="dxa" w:w="374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python tools/heldout_eval.py</w:t>
            </w:r>
          </w:p>
        </w:tc>
        <w:tc>
          <w:tcPr>
            <w:tcW w:type="dxa" w:w="54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прогон отложенных наборов Сценарного полигона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Для воспроизведения метрик исходный журнал (1,5 ГБ) не нужен: используется кэш признаков; контрольные суммы данных и порядок воспроизведения — в docs/DATA_PROVENANCE_AND_REPRODUCIBILITY.md.</w:t>
      </w: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12. Используемые библиотеки</w:t>
      </w:r>
    </w:p>
    <w:p>
      <w:pPr>
        <w:keepNext/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Серверная часть (requirements.txt), версии зафиксированы: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2329"/>
        <w:gridCol w:w="2329"/>
        <w:gridCol w:w="2329"/>
        <w:gridCol w:w="2329"/>
      </w:tblGrid>
      <w:tr>
        <w:trPr>
          <w:cantSplit/>
          <w:tblHeader/>
        </w:trPr>
        <w:tc>
          <w:tcPr>
            <w:tcW w:type="dxa" w:w="288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Библиотека</w:t>
            </w:r>
          </w:p>
        </w:tc>
        <w:tc>
          <w:tcPr>
            <w:tcW w:type="dxa" w:w="172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Версия</w:t>
            </w:r>
          </w:p>
        </w:tc>
        <w:tc>
          <w:tcPr>
            <w:tcW w:type="dxa" w:w="288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Библиотека</w:t>
            </w:r>
          </w:p>
        </w:tc>
        <w:tc>
          <w:tcPr>
            <w:tcW w:type="dxa" w:w="172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Версия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fastapi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0.141.1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numpy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2.2.6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uvicorn[standard]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0.53.0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pandas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2.3.3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pydantic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2.13.4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joblib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1.6.0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lightgbm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4.7.0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pytest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9.1.1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scikit-learn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1.7.2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httpx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0.28.1</w:t>
            </w:r>
          </w:p>
        </w:tc>
      </w:tr>
    </w:tbl>
    <w:p>
      <w:pPr>
        <w:spacing w:after="40"/>
      </w:pPr>
    </w:p>
    <w:p>
      <w:pPr>
        <w:keepNext/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Интерфейс (frontend/package.json):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2329"/>
        <w:gridCol w:w="2329"/>
        <w:gridCol w:w="2329"/>
        <w:gridCol w:w="2329"/>
      </w:tblGrid>
      <w:tr>
        <w:trPr>
          <w:cantSplit/>
          <w:tblHeader/>
        </w:trPr>
        <w:tc>
          <w:tcPr>
            <w:tcW w:type="dxa" w:w="288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Пакет</w:t>
            </w:r>
          </w:p>
        </w:tc>
        <w:tc>
          <w:tcPr>
            <w:tcW w:type="dxa" w:w="172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Версия</w:t>
            </w:r>
          </w:p>
        </w:tc>
        <w:tc>
          <w:tcPr>
            <w:tcW w:type="dxa" w:w="2880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Пакет</w:t>
            </w:r>
          </w:p>
        </w:tc>
        <w:tc>
          <w:tcPr>
            <w:tcW w:type="dxa" w:w="1728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Версия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@tailwindcss/postcss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^4.3.3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lucide-react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^1.16.0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@types/leaflet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^1.9.12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postcss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^8.5.28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@types/react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^18.3.3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react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^18.3.1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@types/react-dom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^18.3.0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react-dom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^18.3.1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@vitejs/plugin-react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^4.3.4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tailwindcss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^4.3.3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autoprefixer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^10.6.1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typescript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^5.5.3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leaflet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^1.9.4</w:t>
            </w:r>
          </w:p>
        </w:tc>
        <w:tc>
          <w:tcPr>
            <w:tcW w:type="dxa" w:w="2880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vite</w:t>
            </w:r>
          </w:p>
        </w:tc>
        <w:tc>
          <w:tcPr>
            <w:tcW w:type="dxa" w:w="172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^6.4.3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Все компоненты — открытое программное обеспечение; исходный код проекта открыт и не обфусцирован.</w:t>
      </w:r>
    </w:p>
    <w:p>
      <w:pPr>
        <w:keepNext/>
        <w:spacing w:before="320" w:after="120"/>
        <w:pBdr>
          <w:bottom w:val="single" w:sz="8" w:space="2" w:color="2233FF"/>
        </w:pBdr>
      </w:pPr>
      <w:r>
        <w:rPr>
          <w:rFonts w:ascii="Arial" w:hAnsi="Arial"/>
          <w:b/>
          <w:i w:val="0"/>
          <w:color w:val="1C1D22"/>
          <w:sz w:val="30"/>
        </w:rPr>
        <w:t>13. Ограничения и план пилота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Ограничения текущей версии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Метки — по журналу СМВУ, а не по актам ремонтов. Метрики показывают совпадение с этой разметкой.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Модель в демо обучена в январе и не переобучалась; она слабее простого правила (п. 4). Еженедельное переобучение проверено бэктестом, но в демо не включено.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Быстрый контур проверен на синтетических данных; на реальных аварийных записях Москоллектора не проверялся.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Не подключены СМВУ, ОДС, CMMS в реальном времени; хранилища — JSON-файлы (на пилоте — PostgreSQL).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color w:val="1C1D22"/>
          <w:sz w:val="20"/>
        </w:rPr>
        <w:t>Расчёты скорости не включают построение признаков из сырого потока.</w:t>
      </w:r>
    </w:p>
    <w:p>
      <w:pPr>
        <w:keepNext/>
        <w:spacing w:before="200" w:after="60"/>
      </w:pPr>
      <w:r>
        <w:rPr>
          <w:rFonts w:ascii="Arial" w:hAnsi="Arial"/>
          <w:b/>
          <w:i w:val="0"/>
          <w:color w:val="2233FF"/>
          <w:sz w:val="23"/>
        </w:rPr>
        <w:t>План опытно-промышленной эксплуатации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BD3"/>
          <w:left w:val="single" w:sz="4" w:space="0" w:color="C9CBD3"/>
          <w:bottom w:val="single" w:sz="4" w:space="0" w:color="C9CBD3"/>
          <w:right w:val="single" w:sz="4" w:space="0" w:color="C9CBD3"/>
          <w:insideH w:val="single" w:sz="4" w:space="0" w:color="C9CBD3"/>
          <w:insideV w:val="single" w:sz="4" w:space="0" w:color="C9CBD3"/>
        </w:tblBorders>
      </w:tblPr>
      <w:tblGrid>
        <w:gridCol w:w="2329"/>
        <w:gridCol w:w="2329"/>
        <w:gridCol w:w="2329"/>
        <w:gridCol w:w="2329"/>
      </w:tblGrid>
      <w:tr>
        <w:trPr>
          <w:cantSplit/>
          <w:tblHeader/>
        </w:trPr>
        <w:tc>
          <w:tcPr>
            <w:tcW w:type="dxa" w:w="187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Этап</w:t>
            </w:r>
          </w:p>
        </w:tc>
        <w:tc>
          <w:tcPr>
            <w:tcW w:type="dxa" w:w="129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Срок</w:t>
            </w:r>
          </w:p>
        </w:tc>
        <w:tc>
          <w:tcPr>
            <w:tcW w:type="dxa" w:w="3456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Что делаем</w:t>
            </w:r>
          </w:p>
        </w:tc>
        <w:tc>
          <w:tcPr>
            <w:tcW w:type="dxa" w:w="2592"/>
            <w:shd w:val="clear" w:color="auto" w:fill="E9EB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Критерий перехода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0. Ретро-валидация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2–4 недели</w:t>
            </w:r>
          </w:p>
        </w:tc>
        <w:tc>
          <w:tcPr>
            <w:tcW w:type="dxa" w:w="345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получаем журнал ОДС и акты ТОИР за 12–24 месяца, переобучаем и проверяем на реальных исходах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ROC-AUC ≥ 0,78 на отложенной выборке; точность ≥ 18 % при полноте ≥ 65 %; отсутствие утечек данных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1. Теневой режим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1–2 месяца</w:t>
            </w:r>
          </w:p>
        </w:tc>
        <w:tc>
          <w:tcPr>
            <w:tcW w:type="dxa" w:w="345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читаем поток СМВУ, пишем прогнозы в отдельный журнал, диспетчеры работают как обычно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p95 задержки &lt; 1 с; доступность ≥ 99,9 %; опережение сигнала СМВУ не менее 4 часов в ≥ 50 % случаев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C1D22"/>
                <w:sz w:val="17"/>
              </w:rPr>
              <w:t>2. Советчик диспетчера</w:t>
            </w:r>
          </w:p>
        </w:tc>
        <w:tc>
          <w:tcPr>
            <w:tcW w:type="dxa" w:w="129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3–6 месяцев</w:t>
            </w:r>
          </w:p>
        </w:tc>
        <w:tc>
          <w:tcPr>
            <w:tcW w:type="dxa" w:w="345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рекомендательная карточка на рабочем месте ОДС, решение остаётся за диспетчером</w:t>
            </w:r>
          </w:p>
        </w:tc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C1D22"/>
                <w:sz w:val="17"/>
              </w:rPr>
              <w:t>снижение доли ложных выездов (кластерная оценка, методика — docs/DATA_REQUEST_AND_PILOT_METHODOLOGY.md)</w:t>
            </w:r>
          </w:p>
        </w:tc>
      </w:tr>
    </w:tbl>
    <w:p>
      <w:pPr>
        <w:spacing w:after="40"/>
      </w:pP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color w:val="1C1D22"/>
          <w:sz w:val="20"/>
        </w:rPr>
        <w:t>Требуемые от заказчика данные (журнал ОДС, акты ТОИР, тарифы, паспорта каналов) перечислены в той же методике, раздел 2.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